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rFonts w:hint="default" w:cs="Times New Roman"/>
          <w:sz w:val="24"/>
          <w:szCs w:val="24"/>
          <w:vertAlign w:val="baseline"/>
        </w:rPr>
      </w:pPr>
      <w:r>
        <w:rPr>
          <w:rFonts w:hint="default" w:cs="Times New Roman"/>
          <w:sz w:val="24"/>
          <w:szCs w:val="24"/>
          <w:vertAlign w:val="baseline"/>
        </w:rPr>
        <w:t>Supplementary Figure Legend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rFonts w:hint="default" w:cs="Times New Roman"/>
          <w:sz w:val="24"/>
          <w:szCs w:val="24"/>
          <w:vertAlign w:val="baseline"/>
        </w:rPr>
      </w:pPr>
      <w:r>
        <w:rPr>
          <w:rFonts w:hint="default" w:cs="Times New Roman"/>
          <w:sz w:val="24"/>
          <w:szCs w:val="24"/>
          <w:vertAlign w:val="baseline"/>
        </w:rPr>
        <w:t>Figure S1 (A) Acute pyogenic granuloma-like lesion (PG) (</w:t>
      </w:r>
      <w:r>
        <w:rPr>
          <w:rFonts w:hint="default" w:cs="Times New Roman"/>
          <w:sz w:val="24"/>
          <w:szCs w:val="24"/>
          <w:vertAlign w:val="baseline"/>
        </w:rPr>
        <w:t xml:space="preserve">orange arrow, </w:t>
      </w:r>
      <w:r>
        <w:rPr>
          <w:rFonts w:hint="default" w:cs="Times New Roman"/>
          <w:sz w:val="24"/>
          <w:szCs w:val="24"/>
          <w:vertAlign w:val="baseline"/>
        </w:rPr>
        <w:t>Patient 2</w:t>
      </w:r>
      <w:r>
        <w:rPr>
          <w:rFonts w:hint="default" w:cs="Times New Roman"/>
          <w:sz w:val="24"/>
          <w:szCs w:val="24"/>
          <w:vertAlign w:val="baseline"/>
        </w:rPr>
        <w:t>4</w:t>
      </w:r>
      <w:r>
        <w:rPr>
          <w:rFonts w:hint="default" w:cs="Times New Roman"/>
          <w:sz w:val="24"/>
          <w:szCs w:val="24"/>
          <w:vertAlign w:val="baseline"/>
        </w:rPr>
        <w:t>). (</w:t>
      </w:r>
      <w:r>
        <w:rPr>
          <w:rFonts w:hint="default" w:cs="Times New Roman"/>
          <w:sz w:val="24"/>
          <w:szCs w:val="24"/>
          <w:vertAlign w:val="baseline"/>
        </w:rPr>
        <w:t>B</w:t>
      </w:r>
      <w:r>
        <w:rPr>
          <w:rFonts w:hint="default" w:cs="Times New Roman"/>
          <w:sz w:val="24"/>
          <w:szCs w:val="24"/>
          <w:vertAlign w:val="baseline"/>
        </w:rPr>
        <w:t>) The gradually epithelialized PG (orange arrow, Patient 25). (</w:t>
      </w:r>
      <w:r>
        <w:rPr>
          <w:rFonts w:hint="default" w:cs="Times New Roman"/>
          <w:sz w:val="24"/>
          <w:szCs w:val="24"/>
          <w:vertAlign w:val="baseline"/>
        </w:rPr>
        <w:t>C</w:t>
      </w:r>
      <w:r>
        <w:rPr>
          <w:rFonts w:hint="default" w:cs="Times New Roman"/>
          <w:sz w:val="24"/>
          <w:szCs w:val="24"/>
          <w:vertAlign w:val="baseline"/>
        </w:rPr>
        <w:t xml:space="preserve">) </w:t>
      </w:r>
      <w:r>
        <w:rPr>
          <w:rFonts w:hint="eastAsia" w:cs="Times New Roman"/>
          <w:sz w:val="24"/>
          <w:szCs w:val="24"/>
          <w:vertAlign w:val="baseline"/>
          <w:lang w:val="en-US" w:eastAsia="zh-Hans"/>
        </w:rPr>
        <w:t>The</w:t>
      </w:r>
      <w:r>
        <w:rPr>
          <w:rFonts w:hint="default" w:cs="Times New Roman"/>
          <w:sz w:val="24"/>
          <w:szCs w:val="24"/>
          <w:vertAlign w:val="baseline"/>
          <w:lang w:eastAsia="zh-Hans"/>
        </w:rPr>
        <w:t xml:space="preserve"> 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  <w:t>gradually epithelialized PG</w:t>
      </w:r>
      <w:r>
        <w:rPr>
          <w:rFonts w:hint="eastAsia" w:ascii="Times New Roman" w:hAnsi="Times New Roman" w:eastAsia="Calibri" w:cs="Times New Roman"/>
          <w:kern w:val="0"/>
          <w:sz w:val="24"/>
          <w:szCs w:val="24"/>
          <w:lang w:val="en-US" w:eastAsia="zh-Hans" w:bidi="ar"/>
        </w:rPr>
        <w:t>s</w:t>
      </w:r>
      <w:r>
        <w:rPr>
          <w:rFonts w:hint="default" w:cs="Times New Roman"/>
          <w:sz w:val="24"/>
          <w:szCs w:val="24"/>
          <w:vertAlign w:val="baseline"/>
        </w:rPr>
        <w:t xml:space="preserve"> (orange arrow, Patient 34). (</w:t>
      </w:r>
      <w:r>
        <w:rPr>
          <w:rFonts w:hint="default" w:cs="Times New Roman"/>
          <w:sz w:val="24"/>
          <w:szCs w:val="24"/>
          <w:vertAlign w:val="baseline"/>
        </w:rPr>
        <w:t>D</w:t>
      </w:r>
      <w:r>
        <w:rPr>
          <w:rFonts w:hint="default" w:cs="Times New Roman"/>
          <w:sz w:val="24"/>
          <w:szCs w:val="24"/>
          <w:vertAlign w:val="baseline"/>
        </w:rPr>
        <w:t>) Chronic PG (orange arrow, Patient 26). (</w:t>
      </w:r>
      <w:r>
        <w:rPr>
          <w:rFonts w:hint="default" w:cs="Times New Roman"/>
          <w:sz w:val="24"/>
          <w:szCs w:val="24"/>
          <w:vertAlign w:val="baseline"/>
        </w:rPr>
        <w:t>E</w:t>
      </w:r>
      <w:r>
        <w:rPr>
          <w:rFonts w:hint="default" w:cs="Times New Roman"/>
          <w:sz w:val="24"/>
          <w:szCs w:val="24"/>
          <w:vertAlign w:val="baseline"/>
        </w:rPr>
        <w:t xml:space="preserve">) Subgungal abscess and pustular crusts (Patient 43). </w:t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  <w:jc w:val="left"/>
        <w:rPr>
          <w:rFonts w:hint="default" w:cs="Times New Roman"/>
          <w:sz w:val="24"/>
          <w:szCs w:val="24"/>
          <w:vertAlign w:val="baseline"/>
        </w:rPr>
      </w:pPr>
      <w:r>
        <w:rPr>
          <w:rFonts w:hint="default" w:cs="Times New Roman"/>
          <w:sz w:val="24"/>
          <w:szCs w:val="24"/>
          <w:vertAlign w:val="baseline"/>
        </w:rPr>
        <w:t>Figure S2 (A) Necrotic tissue and exudate coverage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  <w:t>(yellow arrow)</w:t>
      </w:r>
      <w:r>
        <w:rPr>
          <w:rFonts w:hint="default" w:eastAsia="Calibri" w:cs="Times New Roman"/>
          <w:kern w:val="0"/>
          <w:sz w:val="24"/>
          <w:szCs w:val="24"/>
          <w:lang w:eastAsia="zh-CN" w:bidi="ar"/>
        </w:rPr>
        <w:t>.</w:t>
      </w:r>
      <w:r>
        <w:rPr>
          <w:rFonts w:hint="default" w:ascii="Times New Roman" w:hAnsi="Times New Roman" w:eastAsia="Calibri" w:cs="Times New Roman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cs="Times New Roman"/>
          <w:sz w:val="24"/>
          <w:szCs w:val="24"/>
          <w:vertAlign w:val="baseline"/>
        </w:rPr>
        <w:t>Inflammatory epidermis with loss of anatomical structure (red arrow). (B) Necrotic tissue and exudate coverage (yellow arrow). (</w:t>
      </w:r>
      <w:r>
        <w:rPr>
          <w:rFonts w:hint="default" w:cs="Times New Roman"/>
          <w:sz w:val="24"/>
          <w:szCs w:val="24"/>
          <w:vertAlign w:val="baseline"/>
        </w:rPr>
        <w:t>C</w:t>
      </w:r>
      <w:r>
        <w:rPr>
          <w:rFonts w:hint="default" w:cs="Times New Roman"/>
          <w:sz w:val="24"/>
          <w:szCs w:val="24"/>
          <w:vertAlign w:val="baseline"/>
        </w:rPr>
        <w:t>) Hyperkeratosis and parakeratosis of stratum corneum (green arrow), inflammatory granulation tissue in dermis (blue arrow). (</w:t>
      </w:r>
      <w:r>
        <w:rPr>
          <w:rFonts w:hint="default" w:cs="Times New Roman"/>
          <w:sz w:val="24"/>
          <w:szCs w:val="24"/>
          <w:vertAlign w:val="baseline"/>
        </w:rPr>
        <w:t>D</w:t>
      </w:r>
      <w:r>
        <w:rPr>
          <w:rFonts w:hint="default" w:cs="Times New Roman"/>
          <w:sz w:val="24"/>
          <w:szCs w:val="24"/>
          <w:vertAlign w:val="baseline"/>
        </w:rPr>
        <w:t>)-(</w:t>
      </w:r>
      <w:r>
        <w:rPr>
          <w:rFonts w:hint="default" w:cs="Times New Roman"/>
          <w:sz w:val="24"/>
          <w:szCs w:val="24"/>
          <w:vertAlign w:val="baseline"/>
        </w:rPr>
        <w:t>F</w:t>
      </w:r>
      <w:r>
        <w:rPr>
          <w:rFonts w:hint="default" w:cs="Times New Roman"/>
          <w:sz w:val="24"/>
          <w:szCs w:val="24"/>
          <w:vertAlign w:val="baseline"/>
        </w:rPr>
        <w:t>) Granulation tissue. Hematoxylin-eosin stain; original magnification: (A), (B)</w:t>
      </w:r>
      <w:r>
        <w:rPr>
          <w:rFonts w:hint="default" w:cs="Times New Roman"/>
          <w:sz w:val="24"/>
          <w:szCs w:val="24"/>
          <w:vertAlign w:val="baseline"/>
        </w:rPr>
        <w:t xml:space="preserve"> </w:t>
      </w:r>
      <w:r>
        <w:rPr>
          <w:rFonts w:hint="default" w:cs="Times New Roman"/>
          <w:sz w:val="24"/>
          <w:szCs w:val="24"/>
          <w:vertAlign w:val="baseline"/>
        </w:rPr>
        <w:t>× 50, (</w:t>
      </w:r>
      <w:r>
        <w:rPr>
          <w:rFonts w:hint="default" w:cs="Times New Roman"/>
          <w:sz w:val="24"/>
          <w:szCs w:val="24"/>
          <w:vertAlign w:val="baseline"/>
        </w:rPr>
        <w:t>C</w:t>
      </w:r>
      <w:r>
        <w:rPr>
          <w:rFonts w:hint="default" w:cs="Times New Roman"/>
          <w:sz w:val="24"/>
          <w:szCs w:val="24"/>
          <w:vertAlign w:val="baseline"/>
        </w:rPr>
        <w:t>), (</w:t>
      </w:r>
      <w:r>
        <w:rPr>
          <w:rFonts w:hint="default" w:cs="Times New Roman"/>
          <w:sz w:val="24"/>
          <w:szCs w:val="24"/>
          <w:vertAlign w:val="baseline"/>
        </w:rPr>
        <w:t>D</w:t>
      </w:r>
      <w:r>
        <w:rPr>
          <w:rFonts w:hint="default" w:cs="Times New Roman"/>
          <w:sz w:val="24"/>
          <w:szCs w:val="24"/>
          <w:vertAlign w:val="baseline"/>
        </w:rPr>
        <w:t>) × 100, (</w:t>
      </w:r>
      <w:r>
        <w:rPr>
          <w:rFonts w:hint="default" w:cs="Times New Roman"/>
          <w:sz w:val="24"/>
          <w:szCs w:val="24"/>
          <w:vertAlign w:val="baseline"/>
        </w:rPr>
        <w:t>E</w:t>
      </w:r>
      <w:r>
        <w:rPr>
          <w:rFonts w:hint="default" w:cs="Times New Roman"/>
          <w:sz w:val="24"/>
          <w:szCs w:val="24"/>
          <w:vertAlign w:val="baseline"/>
        </w:rPr>
        <w:t>), (</w:t>
      </w:r>
      <w:r>
        <w:rPr>
          <w:rFonts w:hint="default" w:cs="Times New Roman"/>
          <w:sz w:val="24"/>
          <w:szCs w:val="24"/>
          <w:vertAlign w:val="baseline"/>
        </w:rPr>
        <w:t>F</w:t>
      </w:r>
      <w:r>
        <w:rPr>
          <w:rFonts w:hint="default" w:cs="Times New Roman"/>
          <w:sz w:val="24"/>
          <w:szCs w:val="24"/>
          <w:vertAlign w:val="baseline"/>
        </w:rPr>
        <w:t>)</w:t>
      </w:r>
      <w:r>
        <w:rPr>
          <w:rFonts w:hint="default" w:cs="Times New Roman"/>
          <w:sz w:val="24"/>
          <w:szCs w:val="24"/>
          <w:vertAlign w:val="baseline"/>
        </w:rPr>
        <w:t xml:space="preserve"> </w:t>
      </w:r>
      <w:r>
        <w:rPr>
          <w:rFonts w:hint="default" w:cs="Times New Roman"/>
          <w:sz w:val="24"/>
          <w:szCs w:val="24"/>
          <w:vertAlign w:val="baseline"/>
        </w:rPr>
        <w:t>× 200; (A), (</w:t>
      </w:r>
      <w:r>
        <w:rPr>
          <w:rFonts w:hint="default" w:cs="Times New Roman"/>
          <w:sz w:val="24"/>
          <w:szCs w:val="24"/>
          <w:vertAlign w:val="baseline"/>
        </w:rPr>
        <w:t>C</w:t>
      </w:r>
      <w:r>
        <w:rPr>
          <w:rFonts w:hint="default" w:cs="Times New Roman"/>
          <w:sz w:val="24"/>
          <w:szCs w:val="24"/>
          <w:vertAlign w:val="baseline"/>
        </w:rPr>
        <w:t>), (</w:t>
      </w:r>
      <w:r>
        <w:rPr>
          <w:rFonts w:hint="default" w:cs="Times New Roman"/>
          <w:sz w:val="24"/>
          <w:szCs w:val="24"/>
          <w:vertAlign w:val="baseline"/>
        </w:rPr>
        <w:t>E</w:t>
      </w:r>
      <w:r>
        <w:rPr>
          <w:rFonts w:hint="default" w:cs="Times New Roman"/>
          <w:sz w:val="24"/>
          <w:szCs w:val="24"/>
          <w:vertAlign w:val="baseline"/>
        </w:rPr>
        <w:t>) Pyogenic granuloma-like lesion (PG) from Patient 26; (B), (</w:t>
      </w:r>
      <w:r>
        <w:rPr>
          <w:rFonts w:hint="default" w:cs="Times New Roman"/>
          <w:sz w:val="24"/>
          <w:szCs w:val="24"/>
          <w:vertAlign w:val="baseline"/>
        </w:rPr>
        <w:t>D</w:t>
      </w:r>
      <w:r>
        <w:rPr>
          <w:rFonts w:hint="default" w:cs="Times New Roman"/>
          <w:sz w:val="24"/>
          <w:szCs w:val="24"/>
          <w:vertAlign w:val="baseline"/>
        </w:rPr>
        <w:t>), (</w:t>
      </w:r>
      <w:r>
        <w:rPr>
          <w:rFonts w:hint="default" w:cs="Times New Roman"/>
          <w:sz w:val="24"/>
          <w:szCs w:val="24"/>
          <w:vertAlign w:val="baseline"/>
        </w:rPr>
        <w:t>F</w:t>
      </w:r>
      <w:r>
        <w:rPr>
          <w:rFonts w:hint="default" w:cs="Times New Roman"/>
          <w:sz w:val="24"/>
          <w:szCs w:val="24"/>
          <w:vertAlign w:val="baseline"/>
        </w:rPr>
        <w:t xml:space="preserve">) The right lateral </w:t>
      </w:r>
      <w:bookmarkStart w:id="0" w:name="_GoBack"/>
      <w:bookmarkEnd w:id="0"/>
      <w:r>
        <w:rPr>
          <w:rFonts w:hint="default" w:cs="Times New Roman"/>
          <w:sz w:val="24"/>
          <w:szCs w:val="24"/>
          <w:vertAlign w:val="baseline"/>
        </w:rPr>
        <w:t>nail fold from Patient 43.</w:t>
      </w:r>
    </w:p>
    <w:p>
      <w:r>
        <w:rPr>
          <w:rFonts w:hint="default" w:cs="Times New Roman"/>
          <w:sz w:val="24"/>
          <w:szCs w:val="24"/>
          <w:vertAlign w:val="baseline"/>
        </w:rPr>
        <w:t>Figure S3 (A)</w:t>
      </w:r>
      <w:r>
        <w:rPr>
          <w:rFonts w:hint="default" w:cs="Times New Roman"/>
          <w:sz w:val="24"/>
          <w:szCs w:val="24"/>
          <w:vertAlign w:val="baseline"/>
        </w:rPr>
        <w:t xml:space="preserve"> </w:t>
      </w:r>
      <w:r>
        <w:rPr>
          <w:rFonts w:hint="default" w:cs="Times New Roman"/>
          <w:sz w:val="24"/>
          <w:szCs w:val="24"/>
          <w:vertAlign w:val="baseline"/>
        </w:rPr>
        <w:t>Superficial granulation of keratin (red arrow) and onychorrhexis (blue arrow, Patient 12).</w:t>
      </w:r>
      <w:r>
        <w:rPr>
          <w:rFonts w:hint="default" w:cs="Times New Roman"/>
          <w:sz w:val="24"/>
          <w:szCs w:val="24"/>
          <w:vertAlign w:val="baseline"/>
        </w:rPr>
        <w:t xml:space="preserve"> </w:t>
      </w:r>
      <w:r>
        <w:rPr>
          <w:rFonts w:hint="default" w:cs="Times New Roman"/>
          <w:sz w:val="24"/>
          <w:szCs w:val="24"/>
          <w:vertAlign w:val="baseline"/>
        </w:rPr>
        <w:t>(B) Onychorrhexis (blue arrow, Patient 48). (</w:t>
      </w:r>
      <w:r>
        <w:rPr>
          <w:rFonts w:hint="default" w:cs="Times New Roman"/>
          <w:sz w:val="24"/>
          <w:szCs w:val="24"/>
          <w:vertAlign w:val="baseline"/>
        </w:rPr>
        <w:t>C</w:t>
      </w:r>
      <w:r>
        <w:rPr>
          <w:rFonts w:hint="default" w:cs="Times New Roman"/>
          <w:sz w:val="24"/>
          <w:szCs w:val="24"/>
          <w:vertAlign w:val="baseline"/>
        </w:rPr>
        <w:t>) Onychoschizia (green arrow) and Beau's lines (yellow arrow, Patient 58). (</w:t>
      </w:r>
      <w:r>
        <w:rPr>
          <w:rFonts w:hint="default" w:cs="Times New Roman"/>
          <w:sz w:val="24"/>
          <w:szCs w:val="24"/>
          <w:vertAlign w:val="baseline"/>
        </w:rPr>
        <w:t>D</w:t>
      </w:r>
      <w:r>
        <w:rPr>
          <w:rFonts w:hint="default" w:cs="Times New Roman"/>
          <w:sz w:val="24"/>
          <w:szCs w:val="24"/>
          <w:vertAlign w:val="baseline"/>
        </w:rPr>
        <w:t>) Onychoschizia (green arrow, Patient 10) (</w:t>
      </w:r>
      <w:r>
        <w:rPr>
          <w:rFonts w:hint="default" w:cs="Times New Roman"/>
          <w:sz w:val="24"/>
          <w:szCs w:val="24"/>
          <w:vertAlign w:val="baseline"/>
        </w:rPr>
        <w:t>E</w:t>
      </w:r>
      <w:r>
        <w:rPr>
          <w:rFonts w:hint="default" w:cs="Times New Roman"/>
          <w:sz w:val="24"/>
          <w:szCs w:val="24"/>
          <w:vertAlign w:val="baseline"/>
        </w:rPr>
        <w:t>) Beau's lines (yellow arrow, Patient 52). (</w:t>
      </w:r>
      <w:r>
        <w:rPr>
          <w:rFonts w:hint="default" w:cs="Times New Roman"/>
          <w:sz w:val="24"/>
          <w:szCs w:val="24"/>
          <w:vertAlign w:val="baseline"/>
        </w:rPr>
        <w:t>F</w:t>
      </w:r>
      <w:r>
        <w:rPr>
          <w:rFonts w:hint="default" w:cs="Times New Roman"/>
          <w:sz w:val="24"/>
          <w:szCs w:val="24"/>
          <w:vertAlign w:val="baseline"/>
        </w:rPr>
        <w:t xml:space="preserve">) Ingrown toenails (purple arrow, Patient 36).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5FC742"/>
    <w:rsid w:val="797DB29C"/>
    <w:rsid w:val="B9B48C18"/>
    <w:rsid w:val="CC5FC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iPriority="99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 w:line="240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semiHidden/>
    <w:unhideWhenUsed/>
    <w:qFormat/>
    <w:uiPriority w:val="99"/>
    <w:pPr>
      <w:spacing w:after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2023-06-26T17:49:00Z</dcterms:created>
  <dc:creator>huzixin </dc:creator>
  <cp:lastModifiedBy>huzixin </cp:lastModifiedBy>
  <dcterms:modified xsi:type="dcterms:W3CDTF">2023-07-10T20:47:49Z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8B73398D4482782E9CDBAB6445D2F214_43</vt:lpwstr>
  </property>
</Properties>
</file>