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gif" ContentType="image/gif"/>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3" Type="http://schemas.openxmlformats.org/officeDocument/2006/relationships/custom-properties" Target="docProps/custom.xml" /><Relationship Id="rId2" Type="http://schemas.openxmlformats.org/officeDocument/2006/relationships/extended-properties" Target="docProps/app.xml" /></Relationships>
</file>

<file path=word/document.xml><?xml version="1.0" encoding="utf-8"?>
<w:document xmlns:w="http://schemas.openxmlformats.org/wordprocessingml/2006/main" xmlns:a="http://schemas.openxmlformats.org/drawingml/2006/main" xmlns:wp="http://schemas.openxmlformats.org/drawingml/2006/wordprocessingDrawing" xmlns:pic="http://schemas.openxmlformats.org/drawingml/2006/picture" xmlns:r="http://schemas.openxmlformats.org/officeDocument/2006/relationships" xmlns:m="http://schemas.openxmlformats.org/officeDocument/2006/math" xmlns:w14="http://schemas.microsoft.com/office/word/2010/wordml" xmlns:wps="http://schemas.microsoft.com/office/word/2010/wordprocessingShape" xmlns:mc="http://schemas.openxmlformats.org/markup-compatibility/2006" mc:Ignorable="w14 wps">
  <w:body>
    <w:p w14:paraId="1C844C95">
      <w:pPr>
        <w:rPr>
          <w:rFonts w:hint="eastAsia" w:eastAsia="宋体"/>
          <w:lang w:eastAsia="zh-CN"/>
        </w:rPr>
      </w:pPr>
    </w:p>
    <w:p w14:paraId="369FCE04">
      <w:pPr>
        <w:rPr>
          <w:rFonts w:hint="eastAsia" w:eastAsia="宋体"/>
          <w:lang w:eastAsia="zh-CN"/>
        </w:rPr>
      </w:pPr>
    </w:p>
    <w:p w14:paraId="6A928CEE">
      <w:pPr>
        <w:jc w:val="left"/>
        <w:rPr>
          <w:rFonts w:hint="eastAsia" w:eastAsia="宋体"/>
          <w:lang w:eastAsia="zh-CN"/>
        </w:rPr>
      </w:pPr>
      <w:r>
        <w:rPr>
          <w:rFonts w:hint="eastAsia" w:eastAsia="宋体"/>
          <w:lang w:eastAsia="zh-CN"/>
        </w:rPr>
        <w:drawing>
          <wp:inline distT="0" distB="0" distL="114300" distR="114300">
            <wp:extent cx="2260600" cy="781050"/>
            <wp:effectExtent l="0" t="0" r="6350" b="6985"/>
            <wp:docPr id="2" name="图片 1" descr="塔里木大学VI-基础部分_A4.01标志标准中英文全称横式使用规范与不可入侵范围"/>
            <wp:cNvGraphicFramePr>
              <a:graphicFrameLocks noChangeAspect="1"/>
            </wp:cNvGraphicFramePr>
            <a:graphic>
              <a:graphicData uri="http://schemas.openxmlformats.org/drawingml/2006/picture">
                <pic:pic>
                  <pic:nvPicPr>
                    <pic:cNvPr id="3" name="图片 1" descr="塔里木大学VI-基础部分_A4.01标志标准中英文全称横式使用规范与不可入侵范围"/>
                    <pic:cNvPicPr>
                      <a:picLocks noChangeAspect="1"/>
                    </pic:cNvPicPr>
                  </pic:nvPicPr>
                  <pic:blipFill>
                    <a:blip r:embed="rId6"/>
                    <a:stretch>
                      <a:fillRect/>
                    </a:stretch>
                  </pic:blipFill>
                  <pic:spPr>
                    <a:xfrm>
                      <a:off x="0" y="0"/>
                      <a:ext cx="2260600" cy="781050"/>
                    </a:xfrm>
                    <a:prstGeom prst="rect">
                      <a:avLst/>
                    </a:prstGeom>
                    <a:noFill/>
                    <a:ln>
                      <a:noFill/>
                    </a:ln>
                  </pic:spPr>
                </pic:pic>
              </a:graphicData>
            </a:graphic>
          </wp:inline>
        </w:drawing>
      </w:r>
    </w:p>
    <w:p w14:paraId="4651466F">
      <w:pPr>
        <w:rPr>
          <w:rFonts w:hint="eastAsia"/>
        </w:rPr>
      </w:pPr>
    </w:p>
    <w:p w14:paraId="4E7A7E45">
      <w:pPr>
        <w:rPr>
          <w:rFonts w:hint="eastAsia"/>
        </w:rPr>
      </w:pPr>
    </w:p>
    <w:p w14:paraId="4C06D6F6">
      <w:pPr>
        <w:rPr>
          <w:rFonts w:hint="eastAsia"/>
        </w:rPr>
      </w:pPr>
    </w:p>
    <w:p w14:paraId="7AA9A7E3">
      <w:pPr>
        <w:rPr>
          <w:rFonts w:hint="eastAsia"/>
        </w:rPr>
      </w:pPr>
    </w:p>
    <w:p w14:paraId="504C68B3">
      <w:pPr>
        <w:jc w:val="center"/>
        <w:rPr>
          <w:rFonts w:hint="eastAsia" w:ascii="宋体" w:hAnsi="宋体" w:eastAsia="宋体" w:cs="宋体"/>
          <w:b w:val="0"/>
          <w:bCs w:val="1"/>
          <w:sz w:val="52"/>
          <w:szCs w:val="52"/>
        </w:rPr>
      </w:pPr>
      <w:r>
        <w:rPr>
          <w:rFonts w:hint="eastAsia" w:ascii="宋体" w:hAnsi="宋体" w:eastAsia="宋体" w:cs="宋体"/>
          <w:b w:val="0"/>
          <w:bCs w:val="1"/>
          <w:sz w:val="52"/>
          <w:szCs w:val="52"/>
        </w:rPr>
        <w:t>大学生创新训练</w:t>
      </w:r>
      <w:r>
        <w:rPr>
          <w:rFonts w:hint="eastAsia" w:ascii="宋体" w:hAnsi="宋体" w:eastAsia="宋体" w:cs="宋体"/>
          <w:b w:val="0"/>
          <w:bCs w:val="1"/>
          <w:sz w:val="52"/>
          <w:szCs w:val="52"/>
          <w:lang w:val="en-US" w:eastAsia="zh-CN"/>
        </w:rPr>
        <w:t>计划</w:t>
      </w:r>
      <w:r>
        <w:rPr>
          <w:rFonts w:hint="eastAsia" w:ascii="宋体" w:hAnsi="宋体" w:eastAsia="宋体" w:cs="宋体"/>
          <w:b w:val="0"/>
          <w:bCs w:val="1"/>
          <w:sz w:val="52"/>
          <w:szCs w:val="52"/>
        </w:rPr>
        <w:t>申报书</w:t>
      </w:r>
    </w:p>
    <w:p w14:paraId="2A1DBA14">
      <w:pPr>
        <w:jc w:val="center"/>
        <w:rPr>
          <w:rFonts w:hint="eastAsia" w:ascii="宋体" w:hAnsi="宋体" w:eastAsia="宋体" w:cs="宋体"/>
          <w:sz w:val="36"/>
          <w:szCs w:val="36"/>
        </w:rPr>
      </w:pPr>
      <w:r>
        <w:rPr>
          <w:rFonts w:hint="eastAsia" w:ascii="宋体" w:hAnsi="宋体" w:eastAsia="宋体" w:cs="宋体"/>
          <w:color w:val="000000"/>
          <w:sz w:val="36"/>
          <w:szCs w:val="36"/>
          <w:lang w:eastAsia="zh-CN"/>
        </w:rPr>
        <w:t>（</w:t>
      </w:r>
      <w:r>
        <w:rPr>
          <w:rFonts w:hint="eastAsia" w:ascii="宋体" w:hAnsi="宋体" w:eastAsia="宋体" w:cs="宋体"/>
          <w:color w:val="000000"/>
          <w:sz w:val="36"/>
          <w:szCs w:val="36"/>
          <w:lang w:val="en-US" w:eastAsia="zh-CN"/>
        </w:rPr>
        <w:t>创新训练项目</w:t>
      </w:r>
      <w:r>
        <w:rPr>
          <w:rFonts w:hint="eastAsia" w:ascii="宋体" w:hAnsi="宋体" w:eastAsia="宋体" w:cs="宋体"/>
          <w:color w:val="000000"/>
          <w:sz w:val="36"/>
          <w:szCs w:val="36"/>
          <w:lang w:eastAsia="zh-CN"/>
        </w:rPr>
        <w:t>）</w:t>
      </w:r>
    </w:p>
    <w:p w14:paraId="2C92BC78">
      <w:pPr>
        <w:jc w:val="both"/>
        <w:rPr>
          <w:rFonts w:hint="eastAsia" w:ascii="黑体" w:hAnsi="黑体" w:eastAsia="黑体"/>
          <w:sz w:val="36"/>
          <w:szCs w:val="36"/>
        </w:rPr>
      </w:pPr>
    </w:p>
    <w:p w14:paraId="0C0112CF">
      <w:pPr>
        <w:keepNext w:val="0"/>
        <w:keepLines w:val="0"/>
        <w:pageBreakBefore w:val="0"/>
        <w:widowControl w:val="0"/>
        <w:kinsoku w:val="1"/>
        <w:wordWrap w:val="1"/>
        <w:overflowPunct w:val="1"/>
        <w:topLinePunct w:val="0"/>
        <w:autoSpaceDE w:val="1"/>
        <w:autoSpaceDN w:val="1"/>
        <w:bidi w:val="0"/>
        <w:adjustRightInd w:val="1"/>
        <w:snapToGrid w:val="1"/>
        <w:ind w:left="2700" w:right="0" w:hanging="1500" w:firstLineChars="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项目名称：</w:t>
      </w:r>
    </w:p>
    <w:p w14:paraId="55038F89">
      <w:pPr>
        <w:keepNext w:val="0"/>
        <w:keepLines w:val="0"/>
        <w:pageBreakBefore w:val="0"/>
        <w:widowControl w:val="0"/>
        <w:kinsoku w:val="1"/>
        <w:wordWrap w:val="1"/>
        <w:overflowPunct w:val="1"/>
        <w:topLinePunct w:val="0"/>
        <w:autoSpaceDE w:val="1"/>
        <w:autoSpaceDN w:val="1"/>
        <w:bidi w:val="0"/>
        <w:adjustRightInd w:val="1"/>
        <w:snapToGrid w:val="1"/>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项目负责人：</w:t>
      </w:r>
    </w:p>
    <w:p w14:paraId="0F2372DD">
      <w:pPr>
        <w:keepNext w:val="0"/>
        <w:keepLines w:val="0"/>
        <w:pageBreakBefore w:val="0"/>
        <w:widowControl w:val="0"/>
        <w:kinsoku w:val="1"/>
        <w:wordWrap w:val="1"/>
        <w:overflowPunct w:val="1"/>
        <w:topLinePunct w:val="0"/>
        <w:autoSpaceDE w:val="1"/>
        <w:autoSpaceDN w:val="1"/>
        <w:bidi w:val="0"/>
        <w:adjustRightInd w:val="1"/>
        <w:snapToGrid w:val="1"/>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学    号：</w:t>
      </w:r>
    </w:p>
    <w:p w14:paraId="2A5A84E4">
      <w:pPr>
        <w:keepNext w:val="0"/>
        <w:keepLines w:val="0"/>
        <w:pageBreakBefore w:val="0"/>
        <w:widowControl w:val="0"/>
        <w:kinsoku w:val="1"/>
        <w:wordWrap w:val="1"/>
        <w:overflowPunct w:val="1"/>
        <w:topLinePunct w:val="0"/>
        <w:autoSpaceDE w:val="1"/>
        <w:autoSpaceDN w:val="1"/>
        <w:bidi w:val="0"/>
        <w:adjustRightInd w:val="1"/>
        <w:snapToGrid w:val="1"/>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班    级：</w:t>
      </w:r>
    </w:p>
    <w:p w14:paraId="24E70EA9">
      <w:pPr>
        <w:keepNext w:val="0"/>
        <w:keepLines w:val="0"/>
        <w:pageBreakBefore w:val="0"/>
        <w:widowControl w:val="0"/>
        <w:kinsoku w:val="1"/>
        <w:wordWrap w:val="1"/>
        <w:overflowPunct w:val="1"/>
        <w:topLinePunct w:val="0"/>
        <w:autoSpaceDE w:val="1"/>
        <w:autoSpaceDN w:val="1"/>
        <w:bidi w:val="0"/>
        <w:adjustRightInd w:val="1"/>
        <w:snapToGrid w:val="1"/>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联系电话：</w:t>
      </w:r>
    </w:p>
    <w:p w14:paraId="6E52B4B8">
      <w:pPr>
        <w:keepNext w:val="0"/>
        <w:keepLines w:val="0"/>
        <w:pageBreakBefore w:val="0"/>
        <w:widowControl w:val="0"/>
        <w:kinsoku w:val="1"/>
        <w:wordWrap w:val="1"/>
        <w:overflowPunct w:val="1"/>
        <w:topLinePunct w:val="0"/>
        <w:autoSpaceDE w:val="1"/>
        <w:autoSpaceDN w:val="1"/>
        <w:bidi w:val="0"/>
        <w:adjustRightInd w:val="1"/>
        <w:snapToGrid w:val="1"/>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所属学院：</w:t>
      </w:r>
    </w:p>
    <w:p w14:paraId="14E340EA">
      <w:pPr>
        <w:keepNext w:val="0"/>
        <w:keepLines w:val="0"/>
        <w:pageBreakBefore w:val="0"/>
        <w:widowControl w:val="0"/>
        <w:kinsoku w:val="1"/>
        <w:wordWrap w:val="1"/>
        <w:overflowPunct w:val="1"/>
        <w:topLinePunct w:val="0"/>
        <w:autoSpaceDE w:val="1"/>
        <w:autoSpaceDN w:val="1"/>
        <w:bidi w:val="0"/>
        <w:adjustRightInd w:val="1"/>
        <w:snapToGrid w:val="1"/>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指导教师：</w:t>
      </w:r>
    </w:p>
    <w:p w14:paraId="43B742DC">
      <w:pPr>
        <w:keepNext w:val="0"/>
        <w:keepLines w:val="0"/>
        <w:pageBreakBefore w:val="0"/>
        <w:widowControl w:val="0"/>
        <w:kinsoku w:val="1"/>
        <w:wordWrap w:val="1"/>
        <w:overflowPunct w:val="1"/>
        <w:topLinePunct w:val="0"/>
        <w:autoSpaceDE w:val="1"/>
        <w:autoSpaceDN w:val="1"/>
        <w:bidi w:val="0"/>
        <w:adjustRightInd w:val="1"/>
        <w:snapToGrid w:val="1"/>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u w:val="none"/>
          <w:lang w:val="en-US" w:eastAsia="zh-CN"/>
        </w:rPr>
        <w:t>联系电话：</w:t>
      </w:r>
    </w:p>
    <w:p w14:paraId="52C9DF82">
      <w:pPr>
        <w:spacing w:line="480" w:lineRule="auto"/>
        <w:ind w:left="1200" w:firstLine="0"/>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起止时间：</w:t>
      </w:r>
    </w:p>
    <w:p w14:paraId="34DA69B7">
      <w:pPr>
        <w:spacing w:line="480" w:lineRule="auto"/>
        <w:rPr>
          <w:rFonts w:hint="eastAsia" w:ascii="黑体" w:hAnsi="黑体" w:eastAsia="黑体" w:cs="黑体"/>
          <w:b w:val="0"/>
          <w:bCs w:val="0"/>
          <w:sz w:val="30"/>
          <w:szCs w:val="30"/>
          <w:lang w:val="en-US" w:eastAsia="zh-CN"/>
        </w:rPr>
      </w:pPr>
    </w:p>
    <w:p w14:paraId="52C96B77">
      <w:pPr>
        <w:rPr>
          <w:rFonts w:hint="eastAsia" w:ascii="黑体" w:hAnsi="黑体" w:eastAsia="黑体" w:cs="黑体"/>
          <w:sz w:val="36"/>
        </w:rPr>
      </w:pPr>
    </w:p>
    <w:p w14:paraId="435BCCC1">
      <w:pPr>
        <w:rPr>
          <w:rFonts w:hint="eastAsia" w:ascii="黑体" w:hAnsi="黑体" w:eastAsia="黑体" w:cs="黑体"/>
          <w:sz w:val="36"/>
        </w:rPr>
      </w:pPr>
    </w:p>
    <w:p w14:paraId="733CC358">
      <w:pPr>
        <w:keepNext w:val="0"/>
        <w:keepLines w:val="0"/>
        <w:pageBreakBefore w:val="0"/>
        <w:widowControl w:val="0"/>
        <w:kinsoku w:val="1"/>
        <w:wordWrap w:val="1"/>
        <w:overflowPunct w:val="1"/>
        <w:topLinePunct w:val="0"/>
        <w:autoSpaceDE w:val="1"/>
        <w:autoSpaceDN w:val="1"/>
        <w:bidi w:val="0"/>
        <w:adjustRightInd w:val="1"/>
        <w:snapToGrid w:val="1"/>
        <w:jc w:val="center"/>
        <w:textAlignment w:val="auto"/>
        <w:rPr>
          <w:rFonts w:hint="eastAsia" w:ascii="黑体" w:hAnsi="黑体" w:eastAsia="黑体" w:cs="黑体"/>
          <w:b w:val="0"/>
          <w:bCs w:val="0"/>
          <w:sz w:val="28"/>
          <w:szCs w:val="24"/>
          <w:lang w:val="en-US" w:eastAsia="zh-CN"/>
        </w:rPr>
      </w:pPr>
      <w:r>
        <w:rPr>
          <w:rFonts w:hint="eastAsia" w:ascii="黑体" w:hAnsi="黑体" w:eastAsia="黑体" w:cs="黑体"/>
          <w:b w:val="0"/>
          <w:bCs w:val="0"/>
          <w:sz w:val="28"/>
          <w:szCs w:val="24"/>
          <w:lang w:val="en-US" w:eastAsia="zh-CN"/>
        </w:rPr>
        <w:t>塔里木大学教务处制</w:t>
      </w:r>
    </w:p>
    <w:p w14:paraId="68D9065E">
      <w:pPr>
        <w:pageBreakBefore w:val="1"/>
        <w:jc w:val="center"/>
        <w:rPr>
          <w:rFonts w:eastAsia="楷体_GB2312"/>
          <w:b w:val="1"/>
          <w:bCs w:val="1"/>
          <w:sz w:val="36"/>
        </w:rPr>
      </w:pPr>
      <w:r>
        <w:rPr>
          <w:rFonts w:hint="eastAsia" w:ascii="小标宋" w:hAnsi="小标宋" w:eastAsia="小标宋" w:cs="小标宋"/>
          <w:b w:val="0"/>
          <w:bCs w:val="0"/>
          <w:sz w:val="44"/>
        </w:rPr>
        <w:t>填 写 须 知</w:t>
      </w:r>
    </w:p>
    <w:p w14:paraId="3619FE53">
      <w:pPr>
        <w:keepNext w:val="0"/>
        <w:keepLines w:val="0"/>
        <w:pageBreakBefore w:val="0"/>
        <w:widowControl w:val="0"/>
        <w:kinsoku w:val="1"/>
        <w:wordWrap w:val="1"/>
        <w:overflowPunct w:val="1"/>
        <w:topLinePunct w:val="0"/>
        <w:autoSpaceDE w:val="1"/>
        <w:autoSpaceDN w:val="1"/>
        <w:bidi w:val="0"/>
        <w:adjustRightInd w:val="1"/>
        <w:snapToGrid w:val="1"/>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一、项目分类说明：</w:t>
      </w:r>
    </w:p>
    <w:p w14:paraId="67BC2FAF">
      <w:pPr>
        <w:keepNext w:val="0"/>
        <w:keepLines w:val="0"/>
        <w:pageBreakBefore w:val="0"/>
        <w:widowControl w:val="0"/>
        <w:kinsoku w:val="1"/>
        <w:wordWrap w:val="1"/>
        <w:overflowPunct w:val="1"/>
        <w:topLinePunct w:val="0"/>
        <w:autoSpaceDE w:val="1"/>
        <w:autoSpaceDN w:val="1"/>
        <w:bidi w:val="0"/>
        <w:adjustRightInd w:val="1"/>
        <w:snapToGrid w:val="1"/>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1.创新训练项目是本科生个人或团队，在导师指导下，自主完成创新性实验方法的设计、设备和材料的准备、实验的实施、数据处理与分析、总结报告撰写等工作。</w:t>
      </w:r>
    </w:p>
    <w:p w14:paraId="6BBE510C">
      <w:pPr>
        <w:keepNext w:val="0"/>
        <w:keepLines w:val="0"/>
        <w:pageBreakBefore w:val="0"/>
        <w:widowControl w:val="0"/>
        <w:kinsoku w:val="1"/>
        <w:wordWrap w:val="1"/>
        <w:overflowPunct w:val="1"/>
        <w:topLinePunct w:val="0"/>
        <w:autoSpaceDE w:val="1"/>
        <w:autoSpaceDN w:val="1"/>
        <w:bidi w:val="0"/>
        <w:adjustRightInd w:val="1"/>
        <w:snapToGrid w:val="1"/>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2.创业训练项目是本科生团队，在导师指导下，团队中每个学生在项目实施过程中扮演一个或多个具体的角色，通过编制商业计划书、开展可行性研究、模拟企业运行、进行一定程度的验证试验，撰写创业报告等工作。</w:t>
      </w:r>
    </w:p>
    <w:p w14:paraId="58BF5569">
      <w:pPr>
        <w:keepNext w:val="0"/>
        <w:keepLines w:val="0"/>
        <w:pageBreakBefore w:val="0"/>
        <w:widowControl w:val="0"/>
        <w:kinsoku w:val="1"/>
        <w:wordWrap w:val="1"/>
        <w:overflowPunct w:val="1"/>
        <w:topLinePunct w:val="0"/>
        <w:autoSpaceDE w:val="1"/>
        <w:autoSpaceDN w:val="1"/>
        <w:bidi w:val="0"/>
        <w:adjustRightInd w:val="1"/>
        <w:snapToGrid w:val="1"/>
        <w:spacing w:line="520" w:lineRule="exact"/>
        <w:ind w:left="107" w:leftChars="51" w:right="227" w:firstLine="560" w:firstLineChars="200"/>
        <w:textAlignment w:val="auto"/>
        <w:rPr>
          <w:rFonts w:hint="default" w:ascii="仿宋_GB2312" w:eastAsia="仿宋_GB2312"/>
          <w:sz w:val="28"/>
          <w:szCs w:val="28"/>
          <w:lang w:val="en-US" w:eastAsia="zh-CN"/>
        </w:rPr>
      </w:pPr>
      <w:r>
        <w:rPr>
          <w:rFonts w:hint="eastAsia" w:ascii="仿宋_GB2312" w:eastAsia="仿宋_GB2312"/>
          <w:sz w:val="28"/>
          <w:szCs w:val="28"/>
          <w:lang w:val="en-US" w:eastAsia="zh-CN"/>
        </w:rPr>
        <w:t>3.创业实践项目是学生团队，在学校导师和企业导师共同指导下，采用创新训练项目或创新性实验等成果，提出具有市场前景的创新性产品或服务，以此为基础开展创业实践活动。</w:t>
      </w:r>
    </w:p>
    <w:p w14:paraId="7B57B53C">
      <w:pPr>
        <w:keepNext w:val="0"/>
        <w:keepLines w:val="0"/>
        <w:pageBreakBefore w:val="0"/>
        <w:widowControl w:val="0"/>
        <w:kinsoku w:val="1"/>
        <w:wordWrap w:val="1"/>
        <w:overflowPunct w:val="1"/>
        <w:topLinePunct w:val="0"/>
        <w:autoSpaceDE w:val="1"/>
        <w:autoSpaceDN w:val="1"/>
        <w:bidi w:val="0"/>
        <w:adjustRightInd w:val="1"/>
        <w:snapToGrid w:val="1"/>
        <w:spacing w:line="520" w:lineRule="exact"/>
        <w:ind w:left="107" w:leftChars="51" w:right="227" w:firstLine="560" w:firstLineChars="200"/>
        <w:textAlignment w:val="auto"/>
        <w:rPr>
          <w:rFonts w:hint="eastAsia" w:ascii="仿宋_GB2312" w:hAnsi="Times New Roman" w:eastAsia="仿宋_GB2312" w:cs="Times New Roman"/>
          <w:kern w:val="2"/>
          <w:sz w:val="28"/>
          <w:szCs w:val="28"/>
          <w:lang w:val="en-US" w:eastAsia="zh-CN" w:bidi="ar-SA"/>
        </w:rPr>
      </w:pPr>
      <w:r>
        <w:rPr>
          <w:rFonts w:hint="eastAsia" w:ascii="仿宋_GB2312" w:eastAsia="仿宋_GB2312"/>
          <w:sz w:val="28"/>
          <w:szCs w:val="28"/>
        </w:rPr>
        <w:t>二、申报书请按顺序逐项填写，填写内容必须实事求是，表达明确严谨。空缺项要填“无”。</w:t>
      </w:r>
      <w:r>
        <w:rPr>
          <w:rFonts w:hint="eastAsia" w:ascii="仿宋_GB2312" w:hAnsi="Times New Roman" w:eastAsia="仿宋_GB2312" w:cs="Times New Roman"/>
          <w:kern w:val="2"/>
          <w:sz w:val="28"/>
          <w:szCs w:val="28"/>
          <w:lang w:val="en-US" w:eastAsia="zh-CN" w:bidi="ar-SA"/>
        </w:rPr>
        <w:t xml:space="preserve">正文填写需采用宋体五号字体、单倍行距、双面印刷、左侧装订成册，注意排版和打印的美观。 </w:t>
      </w:r>
    </w:p>
    <w:p w14:paraId="533DF83D">
      <w:pPr>
        <w:keepNext w:val="0"/>
        <w:keepLines w:val="0"/>
        <w:pageBreakBefore w:val="0"/>
        <w:widowControl w:val="0"/>
        <w:kinsoku w:val="1"/>
        <w:wordWrap w:val="1"/>
        <w:overflowPunct w:val="1"/>
        <w:topLinePunct w:val="0"/>
        <w:autoSpaceDE w:val="1"/>
        <w:autoSpaceDN w:val="1"/>
        <w:bidi w:val="0"/>
        <w:adjustRightInd w:val="1"/>
        <w:snapToGrid w:val="1"/>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三、申请参加大学生创新创业训练计划项目团队的人数含负责人在内不得超过5人。</w:t>
      </w:r>
    </w:p>
    <w:p w14:paraId="6AC86FD3">
      <w:pPr>
        <w:keepNext w:val="0"/>
        <w:keepLines w:val="0"/>
        <w:pageBreakBefore w:val="0"/>
        <w:widowControl w:val="0"/>
        <w:kinsoku w:val="1"/>
        <w:wordWrap w:val="1"/>
        <w:overflowPunct w:val="1"/>
        <w:topLinePunct w:val="0"/>
        <w:autoSpaceDE w:val="1"/>
        <w:autoSpaceDN w:val="1"/>
        <w:bidi w:val="0"/>
        <w:adjustRightInd w:val="1"/>
        <w:snapToGrid w:val="1"/>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四、填写完后用A4纸张双面打印，不得随意涂改。</w:t>
      </w:r>
    </w:p>
    <w:p w14:paraId="31102C6A">
      <w:pPr>
        <w:keepNext w:val="0"/>
        <w:keepLines w:val="0"/>
        <w:pageBreakBefore w:val="0"/>
        <w:widowControl w:val="0"/>
        <w:kinsoku w:val="1"/>
        <w:wordWrap w:val="1"/>
        <w:overflowPunct w:val="1"/>
        <w:topLinePunct w:val="0"/>
        <w:autoSpaceDE w:val="1"/>
        <w:autoSpaceDN w:val="1"/>
        <w:bidi w:val="0"/>
        <w:adjustRightInd w:val="1"/>
        <w:snapToGrid w:val="1"/>
        <w:spacing w:line="560" w:lineRule="exact"/>
        <w:jc w:val="center"/>
        <w:textAlignment w:val="auto"/>
        <w:rPr>
          <w:rFonts w:ascii="仿宋_GB2312" w:eastAsia="仿宋_GB2312"/>
          <w:b w:val="1"/>
          <w:sz w:val="28"/>
        </w:rPr>
        <w:sectPr>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pPr>
    </w:p>
    <w:tbl>
      <w:tblPr>
        <w:tblStyle w:val="00001f"/>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6"/>
        <w:gridCol w:w="360"/>
        <w:gridCol w:w="722"/>
        <w:gridCol w:w="719"/>
        <w:gridCol w:w="548"/>
        <w:gridCol w:w="2335"/>
        <w:gridCol w:w="715"/>
        <w:gridCol w:w="732"/>
        <w:gridCol w:w="2689"/>
      </w:tblGrid>
      <w:tr>
        <w:trPr>
          <w:trHeight w:val="435" w:hRule="atLeast"/>
          <w:jc w:val="center"/>
        </w:trPr>
        <w:tc>
          <w:tcPr>
            <w:tcW w:w="1548" w:type="dxa"/>
            <w:gridSpan w:val="3"/>
            <w:noWrap w:val="0"/>
            <w:vAlign w:val="center"/>
          </w:tcPr>
          <w:p w14:paraId="191EC4AF">
            <w:pPr>
              <w:jc w:val="center"/>
              <w:rPr>
                <w:rFonts w:hint="eastAsia" w:ascii="黑体" w:hAnsi="黑体" w:eastAsia="黑体"/>
              </w:rPr>
            </w:pPr>
            <w:r>
              <w:rPr>
                <w:rFonts w:hint="eastAsia" w:ascii="黑体" w:hAnsi="黑体" w:eastAsia="黑体"/>
              </w:rPr>
              <w:t>项目名称</w:t>
            </w:r>
          </w:p>
        </w:tc>
        <w:tc>
          <w:tcPr>
            <w:tcW w:w="7738" w:type="dxa"/>
            <w:gridSpan w:val="6"/>
            <w:noWrap w:val="0"/>
            <w:vAlign w:val="center"/>
          </w:tcPr>
          <w:p w14:paraId="525C63A6">
            <w:pPr>
              <w:jc w:val="center"/>
              <w:rPr>
                <w:rFonts w:hint="eastAsia" w:eastAsia="宋体"/>
                <w:lang w:eastAsia="zh-CN"/>
              </w:rPr>
            </w:pPr>
          </w:p>
        </w:tc>
      </w:tr>
      <w:tr>
        <w:trPr>
          <w:trHeight w:val="435" w:hRule="atLeast"/>
          <w:jc w:val="center"/>
        </w:trPr>
        <w:tc>
          <w:tcPr>
            <w:tcW w:w="1548" w:type="dxa"/>
            <w:gridSpan w:val="3"/>
            <w:noWrap w:val="0"/>
            <w:vAlign w:val="center"/>
          </w:tcPr>
          <w:p w14:paraId="4BC4ECD9">
            <w:pPr>
              <w:jc w:val="center"/>
              <w:rPr>
                <w:rFonts w:hint="default" w:ascii="黑体" w:hAnsi="黑体" w:eastAsia="黑体"/>
                <w:lang w:val="en-US" w:eastAsia="zh-CN"/>
              </w:rPr>
            </w:pPr>
            <w:r>
              <w:rPr>
                <w:rFonts w:hint="eastAsia" w:ascii="黑体" w:hAnsi="黑体" w:eastAsia="黑体"/>
                <w:lang w:val="en-US" w:eastAsia="zh-CN"/>
              </w:rPr>
              <w:t>项目所属专业大类及代码</w:t>
            </w:r>
          </w:p>
        </w:tc>
        <w:tc>
          <w:tcPr>
            <w:tcW w:w="7738" w:type="dxa"/>
            <w:gridSpan w:val="6"/>
            <w:noWrap w:val="0"/>
            <w:vAlign w:val="center"/>
          </w:tcPr>
          <w:p w14:paraId="1479F2D5">
            <w:pPr>
              <w:jc w:val="left"/>
              <w:rPr>
                <w:rFonts w:hint="default" w:eastAsia="宋体"/>
                <w:lang w:val="en-US" w:eastAsia="zh-CN"/>
              </w:rPr>
            </w:pPr>
          </w:p>
        </w:tc>
      </w:tr>
      <w:tr>
        <w:trPr>
          <w:trHeight w:val="435" w:hRule="atLeast"/>
          <w:jc w:val="center"/>
        </w:trPr>
        <w:tc>
          <w:tcPr>
            <w:tcW w:w="1548" w:type="dxa"/>
            <w:gridSpan w:val="3"/>
            <w:noWrap w:val="0"/>
            <w:vAlign w:val="center"/>
          </w:tcPr>
          <w:p w14:paraId="51B9ABC0">
            <w:pPr>
              <w:jc w:val="center"/>
              <w:rPr>
                <w:rFonts w:ascii="黑体" w:hAnsi="黑体" w:eastAsia="黑体"/>
              </w:rPr>
            </w:pPr>
            <w:r>
              <w:rPr>
                <w:rFonts w:hint="eastAsia" w:ascii="黑体" w:hAnsi="黑体" w:eastAsia="黑体"/>
              </w:rPr>
              <w:t>项目起止时间</w:t>
            </w:r>
          </w:p>
        </w:tc>
        <w:tc>
          <w:tcPr>
            <w:tcW w:w="7738" w:type="dxa"/>
            <w:gridSpan w:val="6"/>
            <w:noWrap w:val="0"/>
            <w:vAlign w:val="center"/>
          </w:tcPr>
          <w:p w14:paraId="18DD95B6">
            <w:pPr>
              <w:jc w:val="center"/>
              <w:rPr>
                <w:rFonts w:hint="eastAsia" w:eastAsia="宋体"/>
                <w:lang w:eastAsia="zh-CN"/>
              </w:rPr>
            </w:pPr>
          </w:p>
        </w:tc>
      </w:tr>
      <w:tr>
        <w:trPr>
          <w:cantSplit w:val="1"/>
          <w:trHeight w:val="435" w:hRule="atLeast"/>
          <w:jc w:val="center"/>
        </w:trPr>
        <w:tc>
          <w:tcPr>
            <w:tcW w:w="466" w:type="dxa"/>
            <w:vMerge w:val="restart"/>
            <w:noWrap w:val="0"/>
            <w:textDirection w:val="tbRlV"/>
            <w:vAlign w:val="center"/>
          </w:tcPr>
          <w:p w14:paraId="2415BB6B">
            <w:pPr>
              <w:ind w:left="113" w:right="113"/>
              <w:jc w:val="center"/>
              <w:rPr>
                <w:rFonts w:ascii="黑体" w:hAnsi="黑体" w:eastAsia="黑体"/>
              </w:rPr>
            </w:pPr>
            <w:r>
              <w:rPr>
                <w:rFonts w:hint="eastAsia" w:ascii="黑体" w:hAnsi="黑体" w:eastAsia="黑体"/>
              </w:rPr>
              <w:t>负责人</w:t>
            </w:r>
          </w:p>
        </w:tc>
        <w:tc>
          <w:tcPr>
            <w:tcW w:w="1082" w:type="dxa"/>
            <w:gridSpan w:val="2"/>
            <w:noWrap w:val="0"/>
            <w:vAlign w:val="center"/>
          </w:tcPr>
          <w:p w14:paraId="78A9CEE3">
            <w:pPr>
              <w:jc w:val="center"/>
              <w:rPr>
                <w:rFonts w:ascii="黑体" w:hAnsi="黑体" w:eastAsia="黑体"/>
              </w:rPr>
            </w:pPr>
            <w:r>
              <w:rPr>
                <w:rFonts w:hint="eastAsia" w:ascii="黑体" w:hAnsi="黑体" w:eastAsia="黑体"/>
              </w:rPr>
              <w:t>姓名</w:t>
            </w:r>
          </w:p>
        </w:tc>
        <w:tc>
          <w:tcPr>
            <w:tcW w:w="719" w:type="dxa"/>
            <w:noWrap w:val="0"/>
            <w:vAlign w:val="center"/>
          </w:tcPr>
          <w:p w14:paraId="153E2BDA">
            <w:pPr>
              <w:jc w:val="center"/>
              <w:rPr>
                <w:rFonts w:ascii="黑体" w:hAnsi="黑体" w:eastAsia="黑体"/>
              </w:rPr>
            </w:pPr>
            <w:r>
              <w:rPr>
                <w:rFonts w:hint="eastAsia" w:ascii="黑体" w:hAnsi="黑体" w:eastAsia="黑体"/>
              </w:rPr>
              <w:t>年级</w:t>
            </w:r>
          </w:p>
        </w:tc>
        <w:tc>
          <w:tcPr>
            <w:tcW w:w="2883" w:type="dxa"/>
            <w:gridSpan w:val="2"/>
            <w:noWrap w:val="0"/>
            <w:vAlign w:val="center"/>
          </w:tcPr>
          <w:p w14:paraId="1CD21082">
            <w:pPr>
              <w:jc w:val="center"/>
              <w:rPr>
                <w:rFonts w:ascii="黑体" w:hAnsi="黑体" w:eastAsia="黑体"/>
              </w:rPr>
            </w:pPr>
            <w:r>
              <w:rPr>
                <w:rFonts w:hint="eastAsia" w:ascii="黑体" w:hAnsi="黑体" w:eastAsia="黑体"/>
              </w:rPr>
              <w:t>所在学院、专业</w:t>
            </w:r>
          </w:p>
        </w:tc>
        <w:tc>
          <w:tcPr>
            <w:tcW w:w="1447" w:type="dxa"/>
            <w:gridSpan w:val="2"/>
            <w:noWrap w:val="0"/>
            <w:vAlign w:val="center"/>
          </w:tcPr>
          <w:p w14:paraId="2436792C">
            <w:pPr>
              <w:jc w:val="center"/>
              <w:rPr>
                <w:rFonts w:ascii="黑体" w:hAnsi="黑体" w:eastAsia="黑体"/>
              </w:rPr>
            </w:pPr>
            <w:r>
              <w:rPr>
                <w:rFonts w:hint="eastAsia" w:ascii="黑体" w:hAnsi="黑体" w:eastAsia="黑体"/>
              </w:rPr>
              <w:t>联系电话</w:t>
            </w:r>
          </w:p>
        </w:tc>
        <w:tc>
          <w:tcPr>
            <w:tcW w:w="2689" w:type="dxa"/>
            <w:noWrap w:val="0"/>
            <w:vAlign w:val="center"/>
          </w:tcPr>
          <w:p w14:paraId="08141AC0">
            <w:pPr>
              <w:jc w:val="center"/>
              <w:rPr>
                <w:rFonts w:hint="eastAsia" w:ascii="黑体" w:hAnsi="黑体" w:eastAsia="黑体"/>
              </w:rPr>
            </w:pPr>
            <w:r>
              <w:rPr>
                <w:rFonts w:hint="eastAsia" w:ascii="黑体" w:hAnsi="黑体" w:eastAsia="黑体"/>
              </w:rPr>
              <w:t>E-mail</w:t>
            </w:r>
          </w:p>
        </w:tc>
      </w:tr>
      <w:tr>
        <w:trPr>
          <w:cantSplit w:val="1"/>
          <w:trHeight w:val="435" w:hRule="atLeast"/>
          <w:jc w:val="center"/>
        </w:trPr>
        <w:tc>
          <w:tcPr>
            <w:tcW w:w="466" w:type="dxa"/>
            <w:vMerge w:val="continue"/>
            <w:noWrap w:val="0"/>
            <w:textDirection w:val="tbRlV"/>
            <w:vAlign w:val="center"/>
          </w:tcPr>
          <w:p w14:paraId="5FE5EFB8">
            <w:pPr>
              <w:ind w:left="113" w:right="113"/>
              <w:jc w:val="center"/>
              <w:rPr>
                <w:rFonts w:hint="eastAsia" w:ascii="黑体" w:hAnsi="黑体" w:eastAsia="黑体"/>
              </w:rPr>
            </w:pPr>
          </w:p>
        </w:tc>
        <w:tc>
          <w:tcPr>
            <w:tcW w:w="1082" w:type="dxa"/>
            <w:gridSpan w:val="2"/>
            <w:tcBorders>
              <w:bottom w:val="single" w:color="auto" w:sz="4" w:space="0"/>
            </w:tcBorders>
            <w:noWrap w:val="0"/>
            <w:vAlign w:val="center"/>
          </w:tcPr>
          <w:p w14:paraId="5DA50315">
            <w:pPr>
              <w:jc w:val="center"/>
              <w:rPr>
                <w:rFonts w:hint="eastAsia" w:eastAsia="宋体"/>
                <w:lang w:eastAsia="zh-CN"/>
              </w:rPr>
            </w:pPr>
          </w:p>
        </w:tc>
        <w:tc>
          <w:tcPr>
            <w:tcW w:w="719" w:type="dxa"/>
            <w:tcBorders>
              <w:bottom w:val="single" w:color="auto" w:sz="4" w:space="0"/>
            </w:tcBorders>
            <w:noWrap w:val="0"/>
            <w:vAlign w:val="center"/>
          </w:tcPr>
          <w:p w14:paraId="4DD33FDB">
            <w:pPr>
              <w:jc w:val="center"/>
              <w:rPr>
                <w:rFonts w:hint="eastAsia" w:eastAsia="宋体"/>
                <w:lang w:eastAsia="zh-CN"/>
              </w:rPr>
            </w:pPr>
          </w:p>
        </w:tc>
        <w:tc>
          <w:tcPr>
            <w:tcW w:w="2883" w:type="dxa"/>
            <w:gridSpan w:val="2"/>
            <w:tcBorders>
              <w:top w:val="nil"/>
              <w:bottom w:val="single" w:color="auto" w:sz="4" w:space="0"/>
            </w:tcBorders>
            <w:noWrap w:val="0"/>
            <w:vAlign w:val="center"/>
          </w:tcPr>
          <w:p w14:paraId="206C9963">
            <w:pPr>
              <w:jc w:val="center"/>
              <w:rPr>
                <w:rFonts w:hint="eastAsia" w:eastAsia="宋体"/>
                <w:lang w:eastAsia="zh-CN"/>
              </w:rPr>
            </w:pPr>
          </w:p>
        </w:tc>
        <w:tc>
          <w:tcPr>
            <w:tcW w:w="1447" w:type="dxa"/>
            <w:gridSpan w:val="2"/>
            <w:tcBorders>
              <w:bottom w:val="single" w:color="auto" w:sz="4" w:space="0"/>
            </w:tcBorders>
            <w:noWrap w:val="0"/>
            <w:vAlign w:val="center"/>
          </w:tcPr>
          <w:p w14:paraId="6BB6E857">
            <w:pPr>
              <w:jc w:val="center"/>
              <w:rPr>
                <w:rFonts w:hint="eastAsia" w:eastAsia="宋体"/>
                <w:lang w:eastAsia="zh-CN"/>
              </w:rPr>
            </w:pPr>
          </w:p>
        </w:tc>
        <w:tc>
          <w:tcPr>
            <w:tcW w:w="2689" w:type="dxa"/>
            <w:tcBorders>
              <w:bottom w:val="single" w:color="auto" w:sz="4" w:space="0"/>
            </w:tcBorders>
            <w:noWrap w:val="0"/>
            <w:vAlign w:val="center"/>
          </w:tcPr>
          <w:p w14:paraId="25684F6C">
            <w:pPr>
              <w:jc w:val="center"/>
              <w:rPr>
                <w:rFonts w:hint="eastAsia" w:eastAsia="宋体"/>
                <w:lang w:eastAsia="zh-CN"/>
              </w:rPr>
            </w:pPr>
          </w:p>
        </w:tc>
      </w:tr>
      <w:tr>
        <w:trPr>
          <w:cantSplit w:val="1"/>
          <w:trHeight w:val="1856" w:hRule="atLeast"/>
          <w:jc w:val="center"/>
        </w:trPr>
        <w:tc>
          <w:tcPr>
            <w:tcW w:w="826" w:type="dxa"/>
            <w:gridSpan w:val="2"/>
            <w:noWrap w:val="0"/>
            <w:vAlign w:val="center"/>
          </w:tcPr>
          <w:p w14:paraId="366FB58E">
            <w:pPr>
              <w:jc w:val="center"/>
              <w:rPr>
                <w:rFonts w:hint="eastAsia" w:ascii="黑体" w:hAnsi="黑体" w:eastAsia="黑体"/>
              </w:rPr>
            </w:pPr>
            <w:r>
              <w:rPr>
                <w:rFonts w:hint="eastAsia" w:ascii="黑体" w:hAnsi="黑体" w:eastAsia="黑体"/>
              </w:rPr>
              <w:t>参与</w:t>
            </w:r>
            <w:r>
              <w:rPr>
                <w:rFonts w:hint="eastAsia" w:ascii="黑体" w:hAnsi="黑体" w:eastAsia="黑体"/>
                <w:lang w:val="en-US" w:eastAsia="zh-CN"/>
              </w:rPr>
              <w:t>创新创业或科研</w:t>
            </w:r>
            <w:r>
              <w:rPr>
                <w:rFonts w:hint="eastAsia" w:ascii="黑体" w:hAnsi="黑体" w:eastAsia="黑体"/>
              </w:rPr>
              <w:t>情况</w:t>
            </w:r>
          </w:p>
        </w:tc>
        <w:tc>
          <w:tcPr>
            <w:tcW w:w="8460" w:type="dxa"/>
            <w:gridSpan w:val="7"/>
            <w:tcBorders>
              <w:bottom w:val="single" w:color="auto" w:sz="4" w:space="0"/>
            </w:tcBorders>
            <w:noWrap w:val="0"/>
            <w:vAlign w:val="top"/>
          </w:tcPr>
          <w:p w14:paraId="146DA0EE">
            <w:pPr>
              <w:jc w:val="both"/>
              <w:rPr>
                <w:rFonts w:hint="eastAsia" w:eastAsia="宋体"/>
                <w:lang w:val="en-US" w:eastAsia="zh-CN"/>
              </w:rPr>
            </w:pPr>
          </w:p>
        </w:tc>
      </w:tr>
      <w:tr>
        <w:trPr>
          <w:cantSplit w:val="1"/>
          <w:trHeight w:val="435" w:hRule="atLeast"/>
          <w:jc w:val="center"/>
        </w:trPr>
        <w:tc>
          <w:tcPr>
            <w:tcW w:w="466" w:type="dxa"/>
            <w:vMerge w:val="restart"/>
            <w:noWrap w:val="0"/>
            <w:textDirection w:val="tbRlV"/>
            <w:vAlign w:val="center"/>
          </w:tcPr>
          <w:p w14:paraId="1DD99930">
            <w:pPr>
              <w:ind w:left="113" w:right="113"/>
              <w:jc w:val="center"/>
              <w:rPr>
                <w:rFonts w:hint="eastAsia" w:ascii="黑体" w:hAnsi="黑体" w:eastAsia="黑体"/>
              </w:rPr>
            </w:pPr>
            <w:r>
              <w:rPr>
                <w:rFonts w:hint="eastAsia" w:ascii="黑体" w:hAnsi="黑体" w:eastAsia="黑体"/>
              </w:rPr>
              <w:t>项目组成员</w:t>
            </w:r>
          </w:p>
        </w:tc>
        <w:tc>
          <w:tcPr>
            <w:tcW w:w="1082" w:type="dxa"/>
            <w:gridSpan w:val="2"/>
            <w:tcBorders>
              <w:top w:val="single" w:color="auto" w:sz="4" w:space="0"/>
              <w:bottom w:val="single" w:color="auto" w:sz="4" w:space="0"/>
            </w:tcBorders>
            <w:noWrap w:val="0"/>
            <w:vAlign w:val="center"/>
          </w:tcPr>
          <w:p w14:paraId="4AEEE8E4">
            <w:pPr>
              <w:jc w:val="center"/>
              <w:rPr>
                <w:rFonts w:ascii="黑体" w:hAnsi="黑体" w:eastAsia="黑体"/>
              </w:rPr>
            </w:pPr>
            <w:r>
              <w:rPr>
                <w:rFonts w:hint="eastAsia" w:ascii="黑体" w:hAnsi="黑体" w:eastAsia="黑体"/>
              </w:rPr>
              <w:t>姓名</w:t>
            </w:r>
          </w:p>
        </w:tc>
        <w:tc>
          <w:tcPr>
            <w:tcW w:w="719" w:type="dxa"/>
            <w:tcBorders>
              <w:top w:val="single" w:color="auto" w:sz="4" w:space="0"/>
              <w:bottom w:val="single" w:color="auto" w:sz="4" w:space="0"/>
            </w:tcBorders>
            <w:noWrap w:val="0"/>
            <w:vAlign w:val="center"/>
          </w:tcPr>
          <w:p w14:paraId="12EBFCC2">
            <w:pPr>
              <w:jc w:val="center"/>
              <w:rPr>
                <w:rFonts w:ascii="黑体" w:hAnsi="黑体" w:eastAsia="黑体"/>
              </w:rPr>
            </w:pPr>
            <w:r>
              <w:rPr>
                <w:rFonts w:hint="eastAsia" w:ascii="黑体" w:hAnsi="黑体" w:eastAsia="黑体"/>
              </w:rPr>
              <w:t>年级</w:t>
            </w:r>
          </w:p>
        </w:tc>
        <w:tc>
          <w:tcPr>
            <w:tcW w:w="2883" w:type="dxa"/>
            <w:gridSpan w:val="2"/>
            <w:tcBorders>
              <w:top w:val="single" w:color="auto" w:sz="4" w:space="0"/>
              <w:bottom w:val="single" w:color="auto" w:sz="4" w:space="0"/>
            </w:tcBorders>
            <w:noWrap w:val="0"/>
            <w:vAlign w:val="center"/>
          </w:tcPr>
          <w:p w14:paraId="3396DB65">
            <w:pPr>
              <w:jc w:val="center"/>
              <w:rPr>
                <w:rFonts w:ascii="黑体" w:hAnsi="黑体" w:eastAsia="黑体"/>
              </w:rPr>
            </w:pPr>
            <w:r>
              <w:rPr>
                <w:rFonts w:hint="eastAsia" w:ascii="黑体" w:hAnsi="黑体" w:eastAsia="黑体"/>
              </w:rPr>
              <w:t>所在学院、专业</w:t>
            </w:r>
          </w:p>
        </w:tc>
        <w:tc>
          <w:tcPr>
            <w:tcW w:w="1447" w:type="dxa"/>
            <w:gridSpan w:val="2"/>
            <w:tcBorders>
              <w:top w:val="single" w:color="auto" w:sz="4" w:space="0"/>
              <w:bottom w:val="single" w:color="auto" w:sz="4" w:space="0"/>
            </w:tcBorders>
            <w:noWrap w:val="0"/>
            <w:vAlign w:val="center"/>
          </w:tcPr>
          <w:p w14:paraId="73F11031">
            <w:pPr>
              <w:jc w:val="center"/>
              <w:rPr>
                <w:rFonts w:ascii="黑体" w:hAnsi="黑体" w:eastAsia="黑体"/>
              </w:rPr>
            </w:pPr>
            <w:r>
              <w:rPr>
                <w:rFonts w:hint="eastAsia" w:ascii="黑体" w:hAnsi="黑体" w:eastAsia="黑体"/>
              </w:rPr>
              <w:t>联系电话</w:t>
            </w:r>
          </w:p>
        </w:tc>
        <w:tc>
          <w:tcPr>
            <w:tcW w:w="2689" w:type="dxa"/>
            <w:tcBorders>
              <w:top w:val="single" w:color="auto" w:sz="4" w:space="0"/>
              <w:bottom w:val="single" w:color="auto" w:sz="4" w:space="0"/>
            </w:tcBorders>
            <w:noWrap w:val="0"/>
            <w:vAlign w:val="center"/>
          </w:tcPr>
          <w:p w14:paraId="6AD5B50B">
            <w:pPr>
              <w:jc w:val="center"/>
              <w:rPr>
                <w:rFonts w:hint="eastAsia" w:ascii="黑体" w:hAnsi="黑体" w:eastAsia="黑体"/>
              </w:rPr>
            </w:pPr>
            <w:r>
              <w:rPr>
                <w:rFonts w:hint="eastAsia" w:ascii="黑体" w:hAnsi="黑体" w:eastAsia="黑体"/>
              </w:rPr>
              <w:t>项目分工</w:t>
            </w:r>
          </w:p>
        </w:tc>
      </w:tr>
      <w:tr>
        <w:trPr>
          <w:cantSplit w:val="1"/>
          <w:trHeight w:val="435" w:hRule="atLeast"/>
          <w:jc w:val="center"/>
        </w:trPr>
        <w:tc>
          <w:tcPr>
            <w:tcW w:w="466" w:type="dxa"/>
            <w:vMerge w:val="continue"/>
            <w:noWrap w:val="0"/>
            <w:textDirection w:val="tbRlV"/>
            <w:vAlign w:val="center"/>
          </w:tcPr>
          <w:p w14:paraId="7EAD3E79">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1B9F24D8">
            <w:pPr>
              <w:jc w:val="center"/>
            </w:pPr>
          </w:p>
        </w:tc>
        <w:tc>
          <w:tcPr>
            <w:tcW w:w="719" w:type="dxa"/>
            <w:tcBorders>
              <w:top w:val="single" w:color="auto" w:sz="4" w:space="0"/>
              <w:bottom w:val="single" w:color="auto" w:sz="4" w:space="0"/>
            </w:tcBorders>
            <w:noWrap w:val="0"/>
            <w:vAlign w:val="center"/>
          </w:tcPr>
          <w:p w14:paraId="2FDE55E0">
            <w:pPr>
              <w:jc w:val="center"/>
              <w:rPr>
                <w:rFonts w:hint="eastAsia"/>
              </w:rPr>
            </w:pPr>
          </w:p>
        </w:tc>
        <w:tc>
          <w:tcPr>
            <w:tcW w:w="2883" w:type="dxa"/>
            <w:gridSpan w:val="2"/>
            <w:tcBorders>
              <w:top w:val="single" w:color="auto" w:sz="4" w:space="0"/>
              <w:bottom w:val="single" w:color="auto" w:sz="4" w:space="0"/>
            </w:tcBorders>
            <w:noWrap w:val="0"/>
            <w:vAlign w:val="center"/>
          </w:tcPr>
          <w:p w14:paraId="44582349">
            <w:pPr>
              <w:jc w:val="center"/>
              <w:rPr>
                <w:rFonts w:hint="eastAsia"/>
              </w:rPr>
            </w:pPr>
          </w:p>
        </w:tc>
        <w:tc>
          <w:tcPr>
            <w:tcW w:w="1447" w:type="dxa"/>
            <w:gridSpan w:val="2"/>
            <w:tcBorders>
              <w:top w:val="single" w:color="auto" w:sz="4" w:space="0"/>
              <w:bottom w:val="single" w:color="auto" w:sz="4" w:space="0"/>
            </w:tcBorders>
            <w:noWrap w:val="0"/>
            <w:vAlign w:val="center"/>
          </w:tcPr>
          <w:p w14:paraId="24C376D2">
            <w:pPr>
              <w:jc w:val="center"/>
              <w:rPr>
                <w:rFonts w:hint="eastAsia"/>
              </w:rPr>
            </w:pPr>
          </w:p>
        </w:tc>
        <w:tc>
          <w:tcPr>
            <w:tcW w:w="2689" w:type="dxa"/>
            <w:tcBorders>
              <w:top w:val="single" w:color="auto" w:sz="4" w:space="0"/>
              <w:bottom w:val="single" w:color="auto" w:sz="4" w:space="0"/>
            </w:tcBorders>
            <w:noWrap w:val="0"/>
            <w:vAlign w:val="center"/>
          </w:tcPr>
          <w:p w14:paraId="46D96696">
            <w:pPr>
              <w:jc w:val="center"/>
              <w:rPr>
                <w:rFonts w:hint="eastAsia"/>
              </w:rPr>
            </w:pPr>
          </w:p>
        </w:tc>
      </w:tr>
      <w:tr>
        <w:trPr>
          <w:cantSplit w:val="1"/>
          <w:trHeight w:val="435" w:hRule="atLeast"/>
          <w:jc w:val="center"/>
        </w:trPr>
        <w:tc>
          <w:tcPr>
            <w:tcW w:w="466" w:type="dxa"/>
            <w:vMerge w:val="continue"/>
            <w:noWrap w:val="0"/>
            <w:textDirection w:val="tbRlV"/>
            <w:vAlign w:val="center"/>
          </w:tcPr>
          <w:p w14:paraId="4FBA457B">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5F2C89F">
            <w:pPr>
              <w:jc w:val="center"/>
            </w:pPr>
          </w:p>
        </w:tc>
        <w:tc>
          <w:tcPr>
            <w:tcW w:w="719" w:type="dxa"/>
            <w:tcBorders>
              <w:top w:val="single" w:color="auto" w:sz="4" w:space="0"/>
              <w:bottom w:val="single" w:color="auto" w:sz="4" w:space="0"/>
            </w:tcBorders>
            <w:noWrap w:val="0"/>
            <w:vAlign w:val="center"/>
          </w:tcPr>
          <w:p w14:paraId="633889FA">
            <w:pPr>
              <w:jc w:val="center"/>
              <w:rPr>
                <w:rFonts w:hint="eastAsia"/>
              </w:rPr>
            </w:pPr>
          </w:p>
        </w:tc>
        <w:tc>
          <w:tcPr>
            <w:tcW w:w="2883" w:type="dxa"/>
            <w:gridSpan w:val="2"/>
            <w:tcBorders>
              <w:top w:val="single" w:color="auto" w:sz="4" w:space="0"/>
              <w:bottom w:val="single" w:color="auto" w:sz="4" w:space="0"/>
            </w:tcBorders>
            <w:noWrap w:val="0"/>
            <w:vAlign w:val="center"/>
          </w:tcPr>
          <w:p w14:paraId="137CEE6B">
            <w:pPr>
              <w:jc w:val="center"/>
              <w:rPr>
                <w:rFonts w:hint="eastAsia"/>
              </w:rPr>
            </w:pPr>
          </w:p>
        </w:tc>
        <w:tc>
          <w:tcPr>
            <w:tcW w:w="1447" w:type="dxa"/>
            <w:gridSpan w:val="2"/>
            <w:tcBorders>
              <w:top w:val="single" w:color="auto" w:sz="4" w:space="0"/>
              <w:bottom w:val="single" w:color="auto" w:sz="4" w:space="0"/>
            </w:tcBorders>
            <w:noWrap w:val="0"/>
            <w:vAlign w:val="center"/>
          </w:tcPr>
          <w:p w14:paraId="61282B3F">
            <w:pPr>
              <w:jc w:val="center"/>
              <w:rPr>
                <w:rFonts w:hint="eastAsia"/>
              </w:rPr>
            </w:pPr>
          </w:p>
        </w:tc>
        <w:tc>
          <w:tcPr>
            <w:tcW w:w="2689" w:type="dxa"/>
            <w:tcBorders>
              <w:top w:val="single" w:color="auto" w:sz="4" w:space="0"/>
              <w:bottom w:val="single" w:color="auto" w:sz="4" w:space="0"/>
            </w:tcBorders>
            <w:noWrap w:val="0"/>
            <w:vAlign w:val="center"/>
          </w:tcPr>
          <w:p w14:paraId="3DDB8709">
            <w:pPr>
              <w:jc w:val="center"/>
              <w:rPr>
                <w:rFonts w:hint="eastAsia"/>
              </w:rPr>
            </w:pPr>
          </w:p>
        </w:tc>
      </w:tr>
      <w:tr>
        <w:trPr>
          <w:cantSplit w:val="1"/>
          <w:trHeight w:val="435" w:hRule="atLeast"/>
          <w:jc w:val="center"/>
        </w:trPr>
        <w:tc>
          <w:tcPr>
            <w:tcW w:w="466" w:type="dxa"/>
            <w:vMerge w:val="continue"/>
            <w:noWrap w:val="0"/>
            <w:textDirection w:val="tbRlV"/>
            <w:vAlign w:val="center"/>
          </w:tcPr>
          <w:p w14:paraId="72095479">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0C63A226">
            <w:pPr>
              <w:jc w:val="center"/>
            </w:pPr>
          </w:p>
        </w:tc>
        <w:tc>
          <w:tcPr>
            <w:tcW w:w="719" w:type="dxa"/>
            <w:tcBorders>
              <w:top w:val="single" w:color="auto" w:sz="4" w:space="0"/>
              <w:bottom w:val="single" w:color="auto" w:sz="4" w:space="0"/>
            </w:tcBorders>
            <w:noWrap w:val="0"/>
            <w:vAlign w:val="center"/>
          </w:tcPr>
          <w:p w14:paraId="1A69650E">
            <w:pPr>
              <w:jc w:val="center"/>
              <w:rPr>
                <w:rFonts w:hint="eastAsia"/>
              </w:rPr>
            </w:pPr>
          </w:p>
        </w:tc>
        <w:tc>
          <w:tcPr>
            <w:tcW w:w="2883" w:type="dxa"/>
            <w:gridSpan w:val="2"/>
            <w:tcBorders>
              <w:top w:val="single" w:color="auto" w:sz="4" w:space="0"/>
              <w:bottom w:val="single" w:color="auto" w:sz="4" w:space="0"/>
            </w:tcBorders>
            <w:noWrap w:val="0"/>
            <w:vAlign w:val="center"/>
          </w:tcPr>
          <w:p w14:paraId="409F7EAD">
            <w:pPr>
              <w:jc w:val="center"/>
              <w:rPr>
                <w:rFonts w:hint="eastAsia"/>
              </w:rPr>
            </w:pPr>
          </w:p>
        </w:tc>
        <w:tc>
          <w:tcPr>
            <w:tcW w:w="1447" w:type="dxa"/>
            <w:gridSpan w:val="2"/>
            <w:tcBorders>
              <w:top w:val="single" w:color="auto" w:sz="4" w:space="0"/>
              <w:bottom w:val="single" w:color="auto" w:sz="4" w:space="0"/>
            </w:tcBorders>
            <w:noWrap w:val="0"/>
            <w:vAlign w:val="center"/>
          </w:tcPr>
          <w:p w14:paraId="6E67FFD0">
            <w:pPr>
              <w:jc w:val="center"/>
              <w:rPr>
                <w:rFonts w:hint="eastAsia"/>
              </w:rPr>
            </w:pPr>
          </w:p>
        </w:tc>
        <w:tc>
          <w:tcPr>
            <w:tcW w:w="2689" w:type="dxa"/>
            <w:tcBorders>
              <w:top w:val="single" w:color="auto" w:sz="4" w:space="0"/>
              <w:bottom w:val="single" w:color="auto" w:sz="4" w:space="0"/>
            </w:tcBorders>
            <w:noWrap w:val="0"/>
            <w:vAlign w:val="center"/>
          </w:tcPr>
          <w:p w14:paraId="2144C35B">
            <w:pPr>
              <w:jc w:val="center"/>
              <w:rPr>
                <w:rFonts w:hint="eastAsia"/>
              </w:rPr>
            </w:pPr>
          </w:p>
        </w:tc>
      </w:tr>
      <w:tr>
        <w:trPr>
          <w:cantSplit w:val="1"/>
          <w:trHeight w:val="435" w:hRule="atLeast"/>
          <w:jc w:val="center"/>
        </w:trPr>
        <w:tc>
          <w:tcPr>
            <w:tcW w:w="466" w:type="dxa"/>
            <w:vMerge w:val="continue"/>
            <w:noWrap w:val="0"/>
            <w:textDirection w:val="tbRlV"/>
            <w:vAlign w:val="center"/>
          </w:tcPr>
          <w:p w14:paraId="279F6F88">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01FFA2B">
            <w:pPr>
              <w:jc w:val="center"/>
            </w:pPr>
          </w:p>
        </w:tc>
        <w:tc>
          <w:tcPr>
            <w:tcW w:w="719" w:type="dxa"/>
            <w:tcBorders>
              <w:top w:val="single" w:color="auto" w:sz="4" w:space="0"/>
              <w:bottom w:val="single" w:color="auto" w:sz="4" w:space="0"/>
            </w:tcBorders>
            <w:noWrap w:val="0"/>
            <w:vAlign w:val="center"/>
          </w:tcPr>
          <w:p w14:paraId="448C4128">
            <w:pPr>
              <w:jc w:val="center"/>
              <w:rPr>
                <w:rFonts w:hint="eastAsia"/>
              </w:rPr>
            </w:pPr>
          </w:p>
        </w:tc>
        <w:tc>
          <w:tcPr>
            <w:tcW w:w="2883" w:type="dxa"/>
            <w:gridSpan w:val="2"/>
            <w:tcBorders>
              <w:top w:val="single" w:color="auto" w:sz="4" w:space="0"/>
              <w:bottom w:val="single" w:color="auto" w:sz="4" w:space="0"/>
            </w:tcBorders>
            <w:noWrap w:val="0"/>
            <w:vAlign w:val="center"/>
          </w:tcPr>
          <w:p w14:paraId="2F40E958">
            <w:pPr>
              <w:jc w:val="center"/>
              <w:rPr>
                <w:rFonts w:hint="eastAsia"/>
              </w:rPr>
            </w:pPr>
          </w:p>
        </w:tc>
        <w:tc>
          <w:tcPr>
            <w:tcW w:w="1447" w:type="dxa"/>
            <w:gridSpan w:val="2"/>
            <w:tcBorders>
              <w:top w:val="single" w:color="auto" w:sz="4" w:space="0"/>
              <w:bottom w:val="single" w:color="auto" w:sz="4" w:space="0"/>
            </w:tcBorders>
            <w:noWrap w:val="0"/>
            <w:vAlign w:val="center"/>
          </w:tcPr>
          <w:p w14:paraId="4F9E321B">
            <w:pPr>
              <w:jc w:val="center"/>
              <w:rPr>
                <w:rFonts w:hint="eastAsia"/>
              </w:rPr>
            </w:pPr>
          </w:p>
        </w:tc>
        <w:tc>
          <w:tcPr>
            <w:tcW w:w="2689" w:type="dxa"/>
            <w:tcBorders>
              <w:top w:val="single" w:color="auto" w:sz="4" w:space="0"/>
              <w:bottom w:val="single" w:color="auto" w:sz="4" w:space="0"/>
            </w:tcBorders>
            <w:noWrap w:val="0"/>
            <w:vAlign w:val="center"/>
          </w:tcPr>
          <w:p w14:paraId="749B0C24">
            <w:pPr>
              <w:jc w:val="center"/>
              <w:rPr>
                <w:rFonts w:hint="eastAsia"/>
              </w:rPr>
            </w:pPr>
          </w:p>
        </w:tc>
      </w:tr>
      <w:tr>
        <w:trPr>
          <w:cantSplit w:val="1"/>
          <w:trHeight w:val="450" w:hRule="atLeast"/>
          <w:jc w:val="center"/>
        </w:trPr>
        <w:tc>
          <w:tcPr>
            <w:tcW w:w="466" w:type="dxa"/>
            <w:vMerge w:val="restart"/>
            <w:noWrap w:val="0"/>
            <w:textDirection w:val="tbRlV"/>
            <w:vAlign w:val="center"/>
          </w:tcPr>
          <w:p w14:paraId="2EC54A41">
            <w:pPr>
              <w:ind w:left="113" w:right="113"/>
              <w:jc w:val="center"/>
              <w:rPr>
                <w:rFonts w:hint="eastAsia" w:ascii="黑体" w:hAnsi="黑体" w:eastAsia="黑体"/>
              </w:rPr>
            </w:pPr>
            <w:r>
              <w:rPr>
                <w:rFonts w:hint="eastAsia" w:ascii="黑体" w:hAnsi="黑体" w:eastAsia="黑体"/>
              </w:rPr>
              <w:t>指导教师</w:t>
            </w:r>
          </w:p>
        </w:tc>
        <w:tc>
          <w:tcPr>
            <w:tcW w:w="1082" w:type="dxa"/>
            <w:gridSpan w:val="2"/>
            <w:tcBorders>
              <w:top w:val="single" w:color="auto" w:sz="4" w:space="0"/>
              <w:bottom w:val="single" w:color="auto" w:sz="4" w:space="0"/>
            </w:tcBorders>
            <w:noWrap w:val="0"/>
            <w:vAlign w:val="center"/>
          </w:tcPr>
          <w:p w14:paraId="5F500A8C">
            <w:pPr>
              <w:jc w:val="center"/>
              <w:rPr>
                <w:rFonts w:hint="eastAsia" w:ascii="黑体" w:hAnsi="黑体" w:eastAsia="黑体"/>
              </w:rPr>
            </w:pPr>
            <w:r>
              <w:rPr>
                <w:rFonts w:hint="eastAsia" w:ascii="黑体" w:hAnsi="黑体" w:eastAsia="黑体"/>
              </w:rPr>
              <w:t>姓名</w:t>
            </w:r>
          </w:p>
        </w:tc>
        <w:tc>
          <w:tcPr>
            <w:tcW w:w="3602" w:type="dxa"/>
            <w:gridSpan w:val="3"/>
            <w:tcBorders>
              <w:top w:val="single" w:color="auto" w:sz="4" w:space="0"/>
              <w:bottom w:val="single" w:color="auto" w:sz="4" w:space="0"/>
            </w:tcBorders>
            <w:noWrap w:val="0"/>
            <w:vAlign w:val="center"/>
          </w:tcPr>
          <w:p w14:paraId="3EF95E4B">
            <w:pPr>
              <w:jc w:val="center"/>
              <w:rPr>
                <w:rFonts w:hint="eastAsia"/>
              </w:rPr>
            </w:pPr>
          </w:p>
        </w:tc>
        <w:tc>
          <w:tcPr>
            <w:tcW w:w="1447" w:type="dxa"/>
            <w:gridSpan w:val="2"/>
            <w:tcBorders>
              <w:top w:val="single" w:color="auto" w:sz="4" w:space="0"/>
              <w:bottom w:val="single" w:color="auto" w:sz="4" w:space="0"/>
            </w:tcBorders>
            <w:noWrap w:val="0"/>
            <w:vAlign w:val="center"/>
          </w:tcPr>
          <w:p w14:paraId="357AB6D7">
            <w:pPr>
              <w:jc w:val="center"/>
              <w:rPr>
                <w:rFonts w:hint="eastAsia" w:ascii="黑体" w:hAnsi="黑体" w:eastAsia="黑体"/>
              </w:rPr>
            </w:pPr>
            <w:r>
              <w:rPr>
                <w:rFonts w:hint="eastAsia" w:ascii="黑体" w:hAnsi="黑体" w:eastAsia="黑体"/>
              </w:rPr>
              <w:t>职务/职称</w:t>
            </w:r>
          </w:p>
        </w:tc>
        <w:tc>
          <w:tcPr>
            <w:tcW w:w="2689" w:type="dxa"/>
            <w:tcBorders>
              <w:top w:val="single" w:color="auto" w:sz="4" w:space="0"/>
              <w:bottom w:val="single" w:color="auto" w:sz="4" w:space="0"/>
            </w:tcBorders>
            <w:noWrap w:val="0"/>
            <w:vAlign w:val="center"/>
          </w:tcPr>
          <w:p w14:paraId="23D13549">
            <w:pPr>
              <w:jc w:val="center"/>
              <w:rPr>
                <w:rFonts w:hint="eastAsia"/>
              </w:rPr>
            </w:pPr>
          </w:p>
        </w:tc>
      </w:tr>
      <w:tr>
        <w:trPr>
          <w:cantSplit w:val="1"/>
          <w:trHeight w:val="450" w:hRule="atLeast"/>
          <w:jc w:val="center"/>
        </w:trPr>
        <w:tc>
          <w:tcPr>
            <w:tcW w:w="466" w:type="dxa"/>
            <w:vMerge w:val="continue"/>
            <w:noWrap w:val="0"/>
            <w:textDirection w:val="tbRlV"/>
            <w:vAlign w:val="center"/>
          </w:tcPr>
          <w:p w14:paraId="4A67E29E">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1ABDEC9B">
            <w:pPr>
              <w:jc w:val="center"/>
              <w:rPr>
                <w:rFonts w:hint="eastAsia" w:ascii="黑体" w:hAnsi="黑体" w:eastAsia="黑体"/>
              </w:rPr>
            </w:pPr>
            <w:r>
              <w:rPr>
                <w:rFonts w:hint="eastAsia" w:ascii="黑体" w:hAnsi="黑体" w:eastAsia="黑体"/>
              </w:rPr>
              <w:t>所在学院</w:t>
            </w:r>
          </w:p>
        </w:tc>
        <w:tc>
          <w:tcPr>
            <w:tcW w:w="3602" w:type="dxa"/>
            <w:gridSpan w:val="3"/>
            <w:tcBorders>
              <w:top w:val="single" w:color="auto" w:sz="4" w:space="0"/>
              <w:bottom w:val="single" w:color="auto" w:sz="4" w:space="0"/>
            </w:tcBorders>
            <w:noWrap w:val="0"/>
            <w:vAlign w:val="center"/>
          </w:tcPr>
          <w:p w14:paraId="7EA1B7D8">
            <w:pPr>
              <w:jc w:val="center"/>
              <w:rPr>
                <w:rFonts w:hint="eastAsia"/>
              </w:rPr>
            </w:pPr>
          </w:p>
        </w:tc>
        <w:tc>
          <w:tcPr>
            <w:tcW w:w="1447" w:type="dxa"/>
            <w:gridSpan w:val="2"/>
            <w:tcBorders>
              <w:top w:val="single" w:color="auto" w:sz="4" w:space="0"/>
              <w:bottom w:val="single" w:color="auto" w:sz="4" w:space="0"/>
            </w:tcBorders>
            <w:noWrap w:val="0"/>
            <w:vAlign w:val="center"/>
          </w:tcPr>
          <w:p w14:paraId="6C37A812">
            <w:pPr>
              <w:jc w:val="center"/>
              <w:rPr>
                <w:rFonts w:hint="eastAsia" w:ascii="黑体" w:hAnsi="黑体" w:eastAsia="黑体"/>
                <w:lang w:val="en-US" w:eastAsia="zh-CN"/>
              </w:rPr>
            </w:pPr>
            <w:r>
              <w:rPr>
                <w:rFonts w:hint="eastAsia" w:ascii="黑体" w:hAnsi="黑体" w:eastAsia="黑体"/>
                <w:lang w:val="en-US" w:eastAsia="zh-CN"/>
              </w:rPr>
              <w:t>学历</w:t>
            </w:r>
          </w:p>
        </w:tc>
        <w:tc>
          <w:tcPr>
            <w:tcW w:w="2689" w:type="dxa"/>
            <w:tcBorders>
              <w:top w:val="single" w:color="auto" w:sz="4" w:space="0"/>
              <w:bottom w:val="single" w:color="auto" w:sz="4" w:space="0"/>
            </w:tcBorders>
            <w:noWrap w:val="0"/>
            <w:vAlign w:val="center"/>
          </w:tcPr>
          <w:p w14:paraId="36F29B27">
            <w:pPr>
              <w:jc w:val="center"/>
              <w:rPr>
                <w:rFonts w:hint="eastAsia"/>
              </w:rPr>
            </w:pPr>
          </w:p>
        </w:tc>
      </w:tr>
      <w:tr>
        <w:trPr>
          <w:cantSplit w:val="1"/>
          <w:trHeight w:val="468" w:hRule="atLeast"/>
          <w:jc w:val="center"/>
        </w:trPr>
        <w:tc>
          <w:tcPr>
            <w:tcW w:w="466" w:type="dxa"/>
            <w:vMerge w:val="continue"/>
            <w:noWrap w:val="0"/>
            <w:textDirection w:val="tbRlV"/>
            <w:vAlign w:val="center"/>
          </w:tcPr>
          <w:p w14:paraId="73E4327F">
            <w:pPr>
              <w:ind w:left="113" w:right="113"/>
              <w:jc w:val="center"/>
              <w:rPr>
                <w:rFonts w:hint="eastAsia"/>
              </w:rPr>
            </w:pPr>
          </w:p>
        </w:tc>
        <w:tc>
          <w:tcPr>
            <w:tcW w:w="1082" w:type="dxa"/>
            <w:gridSpan w:val="2"/>
            <w:tcBorders>
              <w:top w:val="single" w:color="auto" w:sz="4" w:space="0"/>
              <w:bottom w:val="single" w:color="auto" w:sz="4" w:space="0"/>
            </w:tcBorders>
            <w:noWrap w:val="0"/>
            <w:vAlign w:val="center"/>
          </w:tcPr>
          <w:p w14:paraId="39B34A88">
            <w:pPr>
              <w:jc w:val="center"/>
              <w:rPr>
                <w:rFonts w:hint="eastAsia" w:ascii="黑体" w:hAnsi="黑体" w:eastAsia="黑体"/>
              </w:rPr>
            </w:pPr>
            <w:r>
              <w:rPr>
                <w:rFonts w:hint="eastAsia" w:ascii="黑体" w:hAnsi="黑体" w:eastAsia="黑体"/>
              </w:rPr>
              <w:t>联系电话</w:t>
            </w:r>
          </w:p>
        </w:tc>
        <w:tc>
          <w:tcPr>
            <w:tcW w:w="3602" w:type="dxa"/>
            <w:gridSpan w:val="3"/>
            <w:tcBorders>
              <w:top w:val="single" w:color="auto" w:sz="4" w:space="0"/>
              <w:bottom w:val="single" w:color="auto" w:sz="4" w:space="0"/>
            </w:tcBorders>
            <w:noWrap w:val="0"/>
            <w:vAlign w:val="center"/>
          </w:tcPr>
          <w:p w14:paraId="48C8D50E">
            <w:pPr>
              <w:jc w:val="center"/>
              <w:rPr>
                <w:rFonts w:hint="eastAsia"/>
              </w:rPr>
            </w:pPr>
          </w:p>
        </w:tc>
        <w:tc>
          <w:tcPr>
            <w:tcW w:w="1447" w:type="dxa"/>
            <w:gridSpan w:val="2"/>
            <w:tcBorders>
              <w:top w:val="single" w:color="auto" w:sz="4" w:space="0"/>
              <w:bottom w:val="single" w:color="auto" w:sz="4" w:space="0"/>
            </w:tcBorders>
            <w:noWrap w:val="0"/>
            <w:vAlign w:val="center"/>
          </w:tcPr>
          <w:p w14:paraId="2B7CE74D">
            <w:pPr>
              <w:jc w:val="center"/>
              <w:rPr>
                <w:rFonts w:hint="eastAsia" w:ascii="黑体" w:hAnsi="黑体" w:eastAsia="黑体"/>
              </w:rPr>
            </w:pPr>
            <w:r>
              <w:rPr>
                <w:rFonts w:hint="eastAsia" w:ascii="黑体" w:hAnsi="黑体" w:eastAsia="黑体"/>
              </w:rPr>
              <w:t>E-mail</w:t>
            </w:r>
          </w:p>
        </w:tc>
        <w:tc>
          <w:tcPr>
            <w:tcW w:w="2689" w:type="dxa"/>
            <w:tcBorders>
              <w:top w:val="single" w:color="auto" w:sz="4" w:space="0"/>
              <w:bottom w:val="single" w:color="auto" w:sz="4" w:space="0"/>
            </w:tcBorders>
            <w:noWrap w:val="0"/>
            <w:vAlign w:val="center"/>
          </w:tcPr>
          <w:p w14:paraId="29723506">
            <w:pPr>
              <w:jc w:val="center"/>
              <w:rPr>
                <w:rFonts w:hint="eastAsia"/>
              </w:rPr>
            </w:pPr>
          </w:p>
        </w:tc>
      </w:tr>
      <w:tr>
        <w:trPr>
          <w:cantSplit w:val="1"/>
          <w:trHeight w:val="0" w:hRule="atLeast"/>
          <w:jc w:val="center"/>
        </w:trPr>
        <w:tc>
          <w:tcPr>
            <w:tcW w:w="1548" w:type="dxa"/>
            <w:gridSpan w:val="3"/>
            <w:noWrap w:val="0"/>
            <w:vAlign w:val="center"/>
          </w:tcPr>
          <w:p w14:paraId="1F5757D1">
            <w:pPr>
              <w:jc w:val="center"/>
              <w:rPr>
                <w:rFonts w:hint="eastAsia" w:ascii="黑体" w:hAnsi="黑体" w:eastAsia="黑体"/>
              </w:rPr>
            </w:pPr>
            <w:r>
              <w:rPr>
                <w:rFonts w:hint="eastAsia" w:ascii="黑体" w:hAnsi="黑体" w:eastAsia="黑体"/>
              </w:rPr>
              <w:t>导师简介</w:t>
            </w:r>
          </w:p>
        </w:tc>
        <w:tc>
          <w:tcPr>
            <w:tcW w:w="7738" w:type="dxa"/>
            <w:gridSpan w:val="6"/>
            <w:tcBorders>
              <w:top w:val="single" w:color="auto" w:sz="4" w:space="0"/>
              <w:bottom w:val="single" w:color="auto" w:sz="4" w:space="0"/>
            </w:tcBorders>
            <w:noWrap w:val="0"/>
            <w:vAlign w:val="top"/>
          </w:tcPr>
          <w:p w14:paraId="39B1686A">
            <w:pPr>
              <w:jc w:val="both"/>
              <w:rPr>
                <w:rFonts w:hint="default" w:eastAsia="宋体"/>
                <w:lang w:val="en-US" w:eastAsia="zh-CN"/>
              </w:rPr>
            </w:pPr>
          </w:p>
        </w:tc>
      </w:tr>
      <w:tr>
        <w:trPr>
          <w:cantSplit w:val="1"/>
          <w:trHeight w:val="0" w:hRule="atLeast"/>
          <w:jc w:val="center"/>
        </w:trPr>
        <w:tc>
          <w:tcPr>
            <w:tcW w:w="1548" w:type="dxa"/>
            <w:gridSpan w:val="3"/>
            <w:noWrap w:val="0"/>
            <w:vAlign w:val="center"/>
          </w:tcPr>
          <w:p w14:paraId="48D7658C">
            <w:pPr>
              <w:jc w:val="center"/>
              <w:rPr>
                <w:rFonts w:hint="default" w:ascii="黑体" w:hAnsi="黑体" w:eastAsia="黑体"/>
                <w:lang w:val="en-US" w:eastAsia="zh-CN"/>
              </w:rPr>
            </w:pPr>
            <w:r>
              <w:rPr>
                <w:rFonts w:hint="eastAsia" w:ascii="黑体" w:hAnsi="黑体" w:eastAsia="黑体"/>
                <w:lang w:val="en-US" w:eastAsia="zh-CN"/>
              </w:rPr>
              <w:t>指导教师可对本项目的支持情况</w:t>
            </w:r>
          </w:p>
        </w:tc>
        <w:tc>
          <w:tcPr>
            <w:tcW w:w="7738" w:type="dxa"/>
            <w:gridSpan w:val="6"/>
            <w:tcBorders>
              <w:top w:val="single" w:color="auto" w:sz="4" w:space="0"/>
              <w:bottom w:val="single" w:color="auto" w:sz="4" w:space="0"/>
            </w:tcBorders>
            <w:noWrap w:val="0"/>
            <w:vAlign w:val="top"/>
          </w:tcPr>
          <w:p w14:paraId="1FF116EF">
            <w:pPr>
              <w:jc w:val="both"/>
              <w:rPr>
                <w:rFonts w:hint="eastAsia" w:eastAsia="宋体"/>
                <w:lang w:eastAsia="zh-CN"/>
              </w:rPr>
            </w:pPr>
          </w:p>
        </w:tc>
      </w:tr>
      <w:tr>
        <w:trPr>
          <w:trHeight w:val="0" w:hRule="atLeast"/>
          <w:jc w:val="center"/>
        </w:trPr>
        <w:tc>
          <w:tcPr>
            <w:tcW w:w="9286" w:type="dxa"/>
            <w:gridSpan w:val="9"/>
            <w:noWrap w:val="0"/>
            <w:vAlign w:val="top"/>
          </w:tcPr>
          <w:p w14:paraId="44A3CD25">
            <w:pPr>
              <w:pStyle w:val="000022"/>
              <w:keepNext w:val="0"/>
              <w:keepLines w:val="0"/>
              <w:pageBreakBefore w:val="0"/>
              <w:widowControl w:val="1"/>
              <w:numPr>
                <w:ilvl w:val="0"/>
                <w:numId w:val="1"/>
              </w:numPr>
              <w:suppressLineNumbers w:val="0"/>
              <w:kinsoku w:val="1"/>
              <w:wordWrap w:val="1"/>
              <w:overflowPunct w:val="1"/>
              <w:topLinePunct w:val="0"/>
              <w:autoSpaceDE w:val="1"/>
              <w:autoSpaceDN w:val="1"/>
              <w:bidi w:val="0"/>
              <w:adjustRightInd w:val="1"/>
              <w:snapToGrid w:val="1"/>
              <w:spacing w:before="0" w:beforeAutospacing="0" w:after="80" w:afterAutospacing="0"/>
              <w:ind w:right="0"/>
              <w:jc w:val="left"/>
              <w:textAlignment w:val="auto"/>
              <w:rPr>
                <w:rFonts w:ascii="宋体" w:hAnsi="宋体" w:eastAsia="宋体"/>
                <w:b w:val="1"/>
                <w:sz w:val="21"/>
                <w:szCs w:val="21"/>
              </w:rPr>
            </w:pPr>
            <w:r>
              <w:rPr>
                <w:rFonts w:hint="eastAsia" w:ascii="宋体" w:hAnsi="宋体" w:eastAsia="宋体"/>
                <w:b w:val="1"/>
                <w:sz w:val="21"/>
                <w:szCs w:val="21"/>
              </w:rPr>
              <w:t>项目简介（300字左右）</w:t>
            </w:r>
          </w:p>
          <w:p w14:paraId="166EE142">
            <w:pPr>
              <w:keepNext w:val="0"/>
              <w:keepLines w:val="0"/>
              <w:pageBreakBefore w:val="0"/>
              <w:widowControl w:val="1"/>
              <w:kinsoku w:val="1"/>
              <w:wordWrap w:val="1"/>
              <w:overflowPunct w:val="1"/>
              <w:topLinePunct w:val="0"/>
              <w:autoSpaceDE w:val="1"/>
              <w:autoSpaceDN w:val="1"/>
              <w:bidi w:val="0"/>
              <w:adjustRightInd w:val="1"/>
              <w:snapToGrid w:val="1"/>
              <w:spacing w:after="80" w:line="240" w:lineRule="auto"/>
              <w:ind w:firstLine="420" w:firstLineChars="200"/>
              <w:jc w:val="both"/>
              <w:textAlignment w:val="auto"/>
            </w:pPr>
            <w:r>
              <w:rPr>
                <w:rFonts w:hint="eastAsia" w:ascii="Times New Roman" w:hAnsi="Times New Roman" w:eastAsia="宋体"/>
                <w:b w:val="0"/>
                <w:sz w:val="21"/>
              </w:rPr>
              <w:t>2025年新疆棉花总产616.5万吨、占全国92.8%，膜下滴灌是支撑其节水增产的核心技术。《加快农业农村现代化“十五五”规划》明确“加强新疆优质棉花生产”，并提出“推进人工智能运用和智慧农业发展”，棉田管网的水力监测正属于这一方向。南疆棉田大面积连片种植，支管数量多、分布分散，轮灌切换频繁；据一师阿拉尔市实测，单支管一次连续灌水约0.4—1.8小时，72小时完成一轮全覆盖。支管出现接头泄漏或管路受限时，单看首部总流量无法判断问题出在哪一根支管，运维人员需要进入覆膜田间逐段排查，且往往在灌水不均影响到产量之后才被发现，既浪费水资源，又推高灌溉与人工成本。一师阿拉尔市已建成田间自动化控制灌溉25万亩，田间配套苗情监测仪、表型监测仪与毛管水力监测仪，监测层级集中在苗情、墒情与毛管，支管区段的水力异常尚缺少直接手段。</w:t>
            </w:r>
          </w:p>
          <w:p w14:paraId="5757E91F">
            <w:pPr>
              <w:keepNext w:val="0"/>
              <w:keepLines w:val="0"/>
              <w:pageBreakBefore w:val="0"/>
              <w:widowControl w:val="1"/>
              <w:kinsoku w:val="1"/>
              <w:wordWrap w:val="1"/>
              <w:overflowPunct w:val="1"/>
              <w:topLinePunct w:val="0"/>
              <w:autoSpaceDE w:val="1"/>
              <w:autoSpaceDN w:val="1"/>
              <w:bidi w:val="0"/>
              <w:adjustRightInd w:val="1"/>
              <w:snapToGrid w:val="1"/>
              <w:spacing w:after="80" w:line="240" w:lineRule="auto"/>
              <w:ind w:firstLine="420" w:firstLineChars="200"/>
              <w:jc w:val="both"/>
              <w:textAlignment w:val="auto"/>
            </w:pPr>
            <w:r>
              <w:rPr>
                <w:rFonts w:hint="eastAsia" w:ascii="Times New Roman" w:hAnsi="Times New Roman" w:eastAsia="宋体"/>
                <w:b w:val="0"/>
                <w:sz w:val="21"/>
              </w:rPr>
              <w:t>基于此，本项目面向南疆棉田支管巡检，研制一套集差压—流量感知、早期异常诊断、LoRa无线通信与巡检管理于一体的物联网原型系统。系统由感知诊断节点、LoRa接收端、本地巡检平台与A、B双支路清水台架四部分组成：节点以一只差压变送器直接测量监测区段上下游的压差，并在干管上设一路参照压力，同时记录分流前总流量Q，在本地完成质量检查与异常判断；出现异常候选即经LoRa上报，接收端校验、去重并写入数据库后回复确认；平台呈现支管状态并记录人工核查与复测。</w:t>
            </w:r>
          </w:p>
          <w:p w14:paraId="3653C841">
            <w:pPr>
              <w:keepNext w:val="0"/>
              <w:keepLines w:val="0"/>
              <w:pageBreakBefore w:val="0"/>
              <w:widowControl w:val="1"/>
              <w:kinsoku w:val="1"/>
              <w:wordWrap w:val="1"/>
              <w:overflowPunct w:val="1"/>
              <w:topLinePunct w:val="0"/>
              <w:autoSpaceDE w:val="1"/>
              <w:autoSpaceDN w:val="1"/>
              <w:bidi w:val="0"/>
              <w:adjustRightInd w:val="1"/>
              <w:snapToGrid w:val="1"/>
              <w:spacing w:after="80" w:line="240" w:lineRule="auto"/>
              <w:ind w:firstLine="420" w:firstLineChars="200"/>
              <w:jc w:val="both"/>
              <w:textAlignment w:val="auto"/>
              <w:rPr>
                <w:rFonts w:hint="default" w:ascii="Times New Roman" w:hAnsi="Times New Roman" w:eastAsia="宋体" w:cs="Times New Roman"/>
                <w:sz w:val="21"/>
                <w:szCs w:val="28"/>
                <w:lang w:val="en-US" w:eastAsia="zh-CN"/>
              </w:rPr>
            </w:pPr>
            <w:r>
              <w:rPr>
                <w:rFonts w:hint="eastAsia" w:ascii="Times New Roman" w:hAnsi="Times New Roman" w:eastAsia="宋体"/>
                <w:b w:val="0"/>
                <w:sz w:val="21"/>
              </w:rPr>
              <w:t>项目以等效泄漏与等效受限两类渐进水力异常为对象，以正常供压调整与轮灌切换为对照，先在双支管清水台架上完成标定与机理验证，形成可复核的监测方法与判据适用范围，再为多支管分区监测与现场应用积累基础。系统把感知、提示、核查与复测组织成闭环，有助于维护人员更早发现支管异常、减少灌水不均与水资源浪费，为南疆棉田滴灌运行的精细化管理提供技术支持。</w:t>
            </w:r>
          </w:p>
        </w:tc>
      </w:tr>
      <w:tr>
        <w:trPr>
          <w:trHeight w:val="0" w:hRule="atLeast"/>
          <w:jc w:val="center"/>
        </w:trPr>
        <w:tc>
          <w:tcPr>
            <w:tcW w:w="9286" w:type="dxa"/>
            <w:gridSpan w:val="9"/>
            <w:noWrap w:val="0"/>
            <w:vAlign w:val="top"/>
          </w:tcPr>
          <w:p w14:paraId="2934F138">
            <w:pPr>
              <w:pStyle w:val="000022"/>
              <w:keepNext w:val="0"/>
              <w:keepLines w:val="0"/>
              <w:pageBreakBefore w:val="0"/>
              <w:widowControl w:val="1"/>
              <w:numPr>
                <w:ilvl w:val="0"/>
                <w:numId w:val="1"/>
              </w:numPr>
              <w:suppressLineNumbers w:val="0"/>
              <w:kinsoku w:val="1"/>
              <w:wordWrap w:val="1"/>
              <w:overflowPunct w:val="1"/>
              <w:topLinePunct w:val="0"/>
              <w:autoSpaceDE w:val="1"/>
              <w:autoSpaceDN w:val="1"/>
              <w:bidi w:val="0"/>
              <w:adjustRightInd w:val="1"/>
              <w:snapToGrid w:val="1"/>
              <w:spacing w:before="0" w:beforeAutospacing="0" w:after="80" w:afterAutospacing="0"/>
              <w:ind w:left="0" w:leftChars="0" w:right="0" w:firstLine="0" w:firstLineChars="0"/>
              <w:jc w:val="left"/>
              <w:textAlignment w:val="auto"/>
              <w:rPr>
                <w:rFonts w:ascii="宋体" w:hAnsi="宋体" w:eastAsia="宋体"/>
                <w:b w:val="1"/>
                <w:sz w:val="21"/>
                <w:szCs w:val="21"/>
              </w:rPr>
            </w:pPr>
            <w:r>
              <w:rPr>
                <w:rFonts w:hint="eastAsia" w:ascii="宋体" w:hAnsi="宋体" w:eastAsia="宋体"/>
                <w:b w:val="1"/>
                <w:sz w:val="21"/>
                <w:szCs w:val="21"/>
              </w:rPr>
              <w:t>申请理由（包括自身/团队具备的知识条件、特长、兴趣等）</w:t>
            </w:r>
          </w:p>
          <w:p w14:paraId="67687B74">
            <w:pPr>
              <w:pStyle w:val="000022"/>
              <w:keepNext w:val="0"/>
              <w:keepLines w:val="0"/>
              <w:pageBreakBefore w:val="0"/>
              <w:widowControl w:val="1"/>
              <w:numPr>
                <w:ilvl w:val="0"/>
                <w:numId w:val="0"/>
              </w:numPr>
              <w:suppressLineNumbers w:val="0"/>
              <w:kinsoku w:val="1"/>
              <w:wordWrap w:val="1"/>
              <w:overflowPunct w:val="1"/>
              <w:topLinePunct w:val="0"/>
              <w:autoSpaceDE w:val="1"/>
              <w:autoSpaceDN w:val="1"/>
              <w:bidi w:val="0"/>
              <w:adjustRightInd w:val="1"/>
              <w:snapToGrid w:val="1"/>
              <w:spacing w:before="0" w:beforeAutospacing="0" w:after="80" w:afterAutospacing="0"/>
              <w:ind w:leftChars="0" w:right="0" w:rightChars="0" w:firstLine="420" w:firstLineChars="200"/>
              <w:jc w:val="left"/>
              <w:textAlignment w:val="auto"/>
            </w:pPr>
            <w:r>
              <w:rPr>
                <w:rFonts w:hint="eastAsia" w:ascii="宋体" w:hAnsi="宋体" w:eastAsia="宋体" w:cs="宋体"/>
                <w:b w:val="0"/>
                <w:bCs w:val="0"/>
                <w:i w:val="0"/>
                <w:iCs w:val="0"/>
                <w:color w:val="000000"/>
                <w:spacing w:val="0"/>
                <w:w w:val="100"/>
                <w:sz w:val="21"/>
                <w:szCs w:val="21"/>
                <w:vertAlign w:val="baseline"/>
              </w:rPr>
              <w:t>南疆棉花膜下滴灌依靠管网把灌溉水输送至地膜下的滴灌带，支管承担向下游配水单元供水的任务。当支管接头泄漏、局部受限或供水异常时，维护人员需要先判断异常涉及哪个灌溉单元，再进入田间核查；大面积种植下，单看首部总流量无法直接定位具体支管，逐段查看又受管线分布、轮灌时间与覆膜条件限制。这一现实困难，正是面向支管建立连续观测与异常记录研究的切入点。</w:t>
            </w:r>
          </w:p>
          <w:p w14:paraId="25F7D376">
            <w:pPr>
              <w:pStyle w:val="000022"/>
              <w:keepNext w:val="0"/>
              <w:keepLines w:val="0"/>
              <w:pageBreakBefore w:val="0"/>
              <w:widowControl w:val="1"/>
              <w:suppressLineNumbers w:val="0"/>
              <w:kinsoku w:val="1"/>
              <w:wordWrap w:val="1"/>
              <w:overflowPunct w:val="1"/>
              <w:topLinePunct w:val="0"/>
              <w:autoSpaceDE w:val="1"/>
              <w:autoSpaceDN w:val="1"/>
              <w:bidi w:val="0"/>
              <w:adjustRightInd w:val="1"/>
              <w:snapToGrid w:val="1"/>
              <w:spacing w:before="0" w:beforeAutospacing="0" w:after="80" w:afterAutospacing="0"/>
              <w:ind w:left="0" w:right="0" w:firstLine="420"/>
              <w:jc w:val="left"/>
              <w:textAlignment w:val="auto"/>
            </w:pPr>
            <w:r>
              <w:rPr>
                <w:rFonts w:hint="eastAsia" w:ascii="宋体" w:hAnsi="宋体" w:eastAsia="宋体" w:cs="宋体"/>
                <w:b w:val="0"/>
                <w:bCs w:val="0"/>
                <w:i w:val="0"/>
                <w:iCs w:val="0"/>
                <w:color w:val="000000"/>
                <w:spacing w:val="0"/>
                <w:w w:val="100"/>
                <w:sz w:val="21"/>
                <w:szCs w:val="21"/>
                <w:vertAlign w:val="baseline"/>
              </w:rPr>
              <w:t>项目以支管接头或管路泄漏、局部过流受限为研究对象。单独观察流量，不易分清正常轮灌调节与故障变化，因此在监测区段布置两个压力点并记录分流前总流量，为判断提供更充分的依据；平台将异常支管、变化趋势与建议检查部位关联，维护人员据此查看接头、管段及下游配水单元，再经复测确认处理效果。</w:t>
            </w:r>
          </w:p>
          <w:p w14:paraId="6BF3DE66">
            <w:pPr>
              <w:pStyle w:val="000022"/>
              <w:keepNext w:val="0"/>
              <w:keepLines w:val="0"/>
              <w:pageBreakBefore w:val="0"/>
              <w:widowControl w:val="1"/>
              <w:suppressLineNumbers w:val="0"/>
              <w:kinsoku w:val="1"/>
              <w:wordWrap w:val="1"/>
              <w:overflowPunct w:val="1"/>
              <w:topLinePunct w:val="0"/>
              <w:autoSpaceDE w:val="1"/>
              <w:autoSpaceDN w:val="1"/>
              <w:bidi w:val="0"/>
              <w:adjustRightInd w:val="1"/>
              <w:snapToGrid w:val="1"/>
              <w:spacing w:before="0" w:beforeAutospacing="0" w:after="80" w:afterAutospacing="0"/>
              <w:ind w:left="0" w:right="0" w:firstLine="420"/>
              <w:jc w:val="left"/>
              <w:textAlignment w:val="auto"/>
            </w:pPr>
            <w:r>
              <w:rPr>
                <w:rFonts w:hint="eastAsia" w:ascii="宋体" w:hAnsi="宋体" w:eastAsia="宋体" w:cs="宋体"/>
                <w:b w:val="0"/>
                <w:bCs w:val="0"/>
                <w:i w:val="0"/>
                <w:iCs w:val="0"/>
                <w:color w:val="000000"/>
                <w:spacing w:val="0"/>
                <w:w w:val="100"/>
                <w:sz w:val="21"/>
                <w:szCs w:val="21"/>
                <w:vertAlign w:val="baseline"/>
              </w:rPr>
              <w:t>研制工作涵盖传感测量、嵌入式采集、无线通信与巡检软件，与团队所学通信工程专业高度对应。成员已系统学习C语言、无线通信原理等课程，正在系统学习STM32嵌入式开发、传感与信号处理及数据库等内容，具备器件选型、接口调试、程序设计与数据处理的基础训练。前期已建立水路模型、参数化台架和诊断软件，完成本地数据库接入及桌面封装，采集适配与通信协议在主机端通过多组回放验证——这些是可运行、可复现的前期成果，说明团队具备把原型落成的工程能力，而非停留于设想。</w:t>
            </w:r>
          </w:p>
          <w:p w14:paraId="0029F072">
            <w:pPr>
              <w:pStyle w:val="000022"/>
              <w:keepNext w:val="0"/>
              <w:keepLines w:val="0"/>
              <w:pageBreakBefore w:val="0"/>
              <w:widowControl w:val="1"/>
              <w:suppressLineNumbers w:val="0"/>
              <w:kinsoku w:val="1"/>
              <w:wordWrap w:val="1"/>
              <w:overflowPunct w:val="1"/>
              <w:topLinePunct w:val="0"/>
              <w:autoSpaceDE w:val="1"/>
              <w:autoSpaceDN w:val="1"/>
              <w:bidi w:val="0"/>
              <w:adjustRightInd w:val="1"/>
              <w:snapToGrid w:val="1"/>
              <w:spacing w:before="0" w:beforeAutospacing="0" w:after="80" w:afterAutospacing="0"/>
              <w:ind w:left="0" w:right="0" w:firstLine="420"/>
              <w:jc w:val="left"/>
              <w:textAlignment w:val="auto"/>
              <w:rPr>
                <w:rFonts w:hint="default" w:ascii="Times New Roman" w:hAnsi="Times New Roman" w:eastAsia="宋体" w:cs="Times New Roman"/>
                <w:sz w:val="21"/>
                <w:szCs w:val="28"/>
                <w:lang w:val="en-US" w:eastAsia="zh-CN"/>
              </w:rPr>
            </w:pPr>
            <w:r>
              <w:rPr>
                <w:rFonts w:hint="eastAsia" w:ascii="宋体" w:hAnsi="宋体" w:eastAsia="宋体" w:cs="宋体"/>
                <w:b w:val="0"/>
                <w:bCs w:val="0"/>
                <w:i w:val="0"/>
                <w:iCs w:val="0"/>
                <w:color w:val="000000"/>
                <w:spacing w:val="0"/>
                <w:w w:val="100"/>
                <w:sz w:val="21"/>
                <w:szCs w:val="21"/>
                <w:vertAlign w:val="baseline"/>
              </w:rPr>
              <w:t>团队兴趣聚焦农业物联网与智能巡检，成员按传感采集、诊断算法、无线通信与平台软件分工，可并行推进、交叉联调；指导教师具备本方向指导与资源支持条件（详见信息表及第八章）。接下来的工作以独立标定和真实采集为起点，逐步完成节点、无线与台架联调，在有记录、有对照的试验中检验系统效果。</w:t>
            </w:r>
          </w:p>
        </w:tc>
      </w:tr>
      <w:tr>
        <w:trPr>
          <w:trHeight w:val="0" w:hRule="atLeast"/>
          <w:jc w:val="center"/>
        </w:trPr>
        <w:tc>
          <w:tcPr>
            <w:tcW w:w="9286" w:type="dxa"/>
            <w:gridSpan w:val="9"/>
            <w:noWrap w:val="0"/>
            <w:vAlign w:val="top"/>
          </w:tcPr>
          <w:p w14:paraId="0B73741C">
            <w:pPr>
              <w:keepNext w:val="0"/>
              <w:keepLines w:val="0"/>
              <w:pageBreakBefore w:val="0"/>
              <w:widowControl w:val="0"/>
              <w:numPr>
                <w:ilvl w:val="0"/>
                <w:numId w:val="2"/>
              </w:numPr>
              <w:kinsoku w:val="1"/>
              <w:wordWrap w:val="1"/>
              <w:overflowPunct w:val="1"/>
              <w:topLinePunct w:val="0"/>
              <w:autoSpaceDE w:val="1"/>
              <w:autoSpaceDN w:val="1"/>
              <w:bidi w:val="0"/>
              <w:adjustRightInd w:val="1"/>
              <w:snapToGrid w:val="1"/>
              <w:spacing w:after="80"/>
              <w:jc w:val="left"/>
              <w:textAlignment w:val="auto"/>
              <w:rPr>
                <w:rFonts w:hint="eastAsia" w:ascii="宋体" w:hAnsi="宋体" w:eastAsia="宋体" w:cs="宋体"/>
                <w:b w:val="1"/>
                <w:sz w:val="21"/>
                <w:szCs w:val="21"/>
              </w:rPr>
            </w:pPr>
            <w:r>
              <w:rPr>
                <w:rFonts w:hint="eastAsia" w:ascii="宋体" w:hAnsi="宋体" w:eastAsia="宋体" w:cs="宋体"/>
                <w:b w:val="1"/>
                <w:sz w:val="21"/>
                <w:szCs w:val="21"/>
              </w:rPr>
              <w:t>项目方案（项目内容、项目目标、</w:t>
            </w:r>
            <w:r>
              <w:rPr>
                <w:rFonts w:hint="eastAsia" w:ascii="宋体" w:hAnsi="宋体" w:eastAsia="宋体" w:cs="宋体"/>
                <w:b w:val="1"/>
                <w:color w:val="auto"/>
                <w:sz w:val="21"/>
                <w:szCs w:val="21"/>
              </w:rPr>
              <w:t>技术路线、实验方案</w:t>
            </w:r>
            <w:r>
              <w:rPr>
                <w:rFonts w:hint="eastAsia" w:ascii="宋体" w:hAnsi="宋体" w:eastAsia="宋体" w:cs="宋体"/>
                <w:b w:val="1"/>
                <w:sz w:val="21"/>
                <w:szCs w:val="21"/>
              </w:rPr>
              <w:t>、要解决的主要问题）</w:t>
            </w:r>
          </w:p>
          <w:p w14:paraId="595145DD">
            <w:pPr>
              <w:spacing w:after="80"/>
              <w:ind w:firstLine="0"/>
              <w:jc w:val="left"/>
              <w:outlineLvl w:val="1"/>
              <w:rPr>
                <w:rFonts w:hint="eastAsia" w:eastAsia="宋体"/>
                <w:lang w:eastAsia="zh-CN"/>
              </w:rPr>
            </w:pPr>
            <w:r>
              <w:rPr>
                <w:rFonts w:hint="eastAsia" w:ascii="Times New Roman" w:hAnsi="Times New Roman" w:eastAsia="宋体"/>
                <w:b w:val="1"/>
                <w:sz w:val="21"/>
              </w:rPr>
              <w:t>3.1. 项目内容</w:t>
            </w:r>
          </w:p>
          <w:p w14:paraId="5CC36414">
            <w:pPr>
              <w:spacing w:after="80"/>
              <w:ind w:firstLine="0"/>
              <w:jc w:val="left"/>
              <w:outlineLvl w:val="2"/>
            </w:pPr>
            <w:r>
              <w:rPr>
                <w:rFonts w:hint="eastAsia" w:ascii="Times New Roman" w:hAnsi="Times New Roman" w:eastAsia="宋体"/>
                <w:b w:val="1"/>
                <w:sz w:val="21"/>
              </w:rPr>
              <w:t>3.1.1. 研究对象与监测对象</w:t>
            </w:r>
          </w:p>
          <w:p w14:paraId="339C12CC">
            <w:pPr>
              <w:spacing w:after="80"/>
              <w:ind w:firstLine="420"/>
              <w:jc w:val="both"/>
            </w:pPr>
            <w:r>
              <w:rPr>
                <w:rFonts w:hint="eastAsia" w:ascii="Times New Roman" w:hAnsi="Times New Roman" w:eastAsia="宋体"/>
                <w:b w:val="0"/>
                <w:sz w:val="21"/>
              </w:rPr>
              <w:t>本项目以支管为监测对象，研制集差压—流量感知、早期异常诊断、LoRa通信与巡检管理于一体的物联网原型系统，并通过清水台架完成方法验证。研究围绕接头或管路泄漏、两测点之间的局部过流受限两类异常展开；上游供压调整、正常轮灌切换、邻支路负载变化与下游出流结构变化都可能形成与故障相似的观测，因此将供压调整、正常轮灌切换与负载变化列为对照工况，并将邻支路开关与上游供压变化作为影响被测支管判据的主要扰动来源。</w:t>
            </w:r>
          </w:p>
          <w:p w14:paraId="4098CEBA">
            <w:pPr>
              <w:spacing w:after="80"/>
              <w:ind w:firstLine="420"/>
              <w:jc w:val="both"/>
            </w:pPr>
            <w:r>
              <w:rPr>
                <w:rFonts w:hint="eastAsia" w:ascii="Times New Roman" w:hAnsi="Times New Roman" w:eastAsia="宋体"/>
                <w:b w:val="0"/>
                <w:sz w:val="21"/>
              </w:rPr>
              <w:t>研究围绕接头或管路泄漏、两压力测点之间的局部过流受限两类异常展开。上游供压调整、正常轮灌切换、邻支路负载变化与下游出流结构变化都可能形成与故障相似的观测，因此</w:t>
            </w:r>
            <w:r>
              <w:rPr>
                <w:rFonts w:hint="eastAsia"/>
                <w:b w:val="0"/>
                <w:sz w:val="21"/>
                <w:lang w:val="en-US" w:eastAsia="zh-CN"/>
              </w:rPr>
              <w:t>我们</w:t>
            </w:r>
            <w:r>
              <w:rPr>
                <w:rFonts w:hint="eastAsia" w:ascii="Times New Roman" w:hAnsi="Times New Roman" w:eastAsia="宋体"/>
                <w:b w:val="0"/>
                <w:sz w:val="21"/>
              </w:rPr>
              <w:t>将供压调整、正常轮灌切换与负载变化列为对照工况，并将邻支路开关与上游供压变化作为影响被测支管判据的主要扰动来源。</w:t>
            </w:r>
          </w:p>
          <w:p w14:paraId="24F483BC">
            <w:pPr>
              <w:spacing w:after="80"/>
              <w:ind w:firstLine="0"/>
              <w:jc w:val="left"/>
              <w:outlineLvl w:val="2"/>
            </w:pPr>
            <w:r>
              <w:rPr>
                <w:rFonts w:hint="eastAsia" w:ascii="Times New Roman" w:hAnsi="Times New Roman" w:eastAsia="宋体"/>
                <w:b w:val="1"/>
                <w:sz w:val="21"/>
              </w:rPr>
              <w:t>3.1.2. 系统组成与验证范围</w:t>
            </w:r>
          </w:p>
          <w:p w14:paraId="0897AF31">
            <w:pPr>
              <w:spacing w:after="80"/>
              <w:ind w:firstLine="420"/>
              <w:jc w:val="both"/>
            </w:pPr>
            <w:r>
              <w:rPr>
                <w:rFonts w:hint="eastAsia"/>
                <w:b w:val="0"/>
                <w:sz w:val="21"/>
                <w:lang w:val="en-US" w:eastAsia="zh-CN"/>
              </w:rPr>
              <w:t>本</w:t>
            </w:r>
            <w:r>
              <w:rPr>
                <w:rFonts w:hint="eastAsia" w:ascii="Times New Roman" w:hAnsi="Times New Roman" w:eastAsia="宋体"/>
                <w:b w:val="0"/>
                <w:sz w:val="21"/>
              </w:rPr>
              <w:t>系统由感知诊断节点、LoRa接收端和本地巡检平台组成：节点获取压力与流量并完成本地判断，接收端连接计算机，平台呈现趋势并记录维护过程。</w:t>
            </w:r>
            <w:r>
              <w:rPr>
                <w:rFonts w:hint="eastAsia"/>
                <w:b w:val="0"/>
                <w:sz w:val="21"/>
                <w:lang w:val="en-US" w:eastAsia="zh-CN"/>
              </w:rPr>
              <w:t>目前阶段是</w:t>
            </w:r>
            <w:r>
              <w:rPr>
                <w:rFonts w:hint="eastAsia" w:ascii="Times New Roman" w:hAnsi="Times New Roman" w:eastAsia="宋体"/>
                <w:b w:val="0"/>
                <w:sz w:val="21"/>
              </w:rPr>
              <w:t>建设一个监测节点与A、B双支路清水台架，A支路为被测支管，B支路模拟另一支管；采集</w:t>
            </w:r>
            <w:r>
              <w:rPr>
                <w:rFonts w:hint="eastAsia"/>
                <w:b w:val="0"/>
                <w:sz w:val="21"/>
                <w:lang w:val="en-US" w:eastAsia="zh-CN"/>
              </w:rPr>
              <w:t>要</w:t>
            </w:r>
            <w:r>
              <w:rPr>
                <w:rFonts w:hint="eastAsia" w:ascii="Times New Roman" w:hAnsi="Times New Roman" w:eastAsia="宋体"/>
                <w:b w:val="0"/>
                <w:sz w:val="21"/>
              </w:rPr>
              <w:t>先验证固定1Hz基线，再比较事件触发策略，</w:t>
            </w:r>
            <w:r>
              <w:rPr>
                <w:rFonts w:hint="eastAsia"/>
                <w:b w:val="0"/>
                <w:sz w:val="21"/>
                <w:lang w:val="en-US" w:eastAsia="zh-CN"/>
              </w:rPr>
              <w:t>最后</w:t>
            </w:r>
            <w:r>
              <w:rPr>
                <w:rFonts w:hint="eastAsia" w:ascii="Times New Roman" w:hAnsi="Times New Roman" w:eastAsia="宋体"/>
                <w:b w:val="0"/>
                <w:sz w:val="21"/>
              </w:rPr>
              <w:t>控制环节保留软件请求与LED或蜂鸣器演示接口。位置提示</w:t>
            </w:r>
            <w:r>
              <w:rPr>
                <w:rFonts w:hint="eastAsia"/>
                <w:b w:val="0"/>
                <w:sz w:val="21"/>
                <w:lang w:val="en-US" w:eastAsia="zh-CN"/>
              </w:rPr>
              <w:t>则</w:t>
            </w:r>
            <w:r>
              <w:rPr>
                <w:rFonts w:hint="eastAsia" w:ascii="Times New Roman" w:hAnsi="Times New Roman" w:eastAsia="宋体"/>
                <w:b w:val="0"/>
                <w:sz w:val="21"/>
              </w:rPr>
              <w:t>采用“支管编号—测点区段—建议检查部位”，</w:t>
            </w:r>
            <w:r>
              <w:rPr>
                <w:rFonts w:hint="eastAsia"/>
                <w:b w:val="0"/>
                <w:sz w:val="21"/>
                <w:lang w:val="en-US" w:eastAsia="zh-CN"/>
              </w:rPr>
              <w:t>同时，</w:t>
            </w:r>
            <w:r>
              <w:rPr>
                <w:rFonts w:hint="eastAsia" w:ascii="Times New Roman" w:hAnsi="Times New Roman" w:eastAsia="宋体"/>
                <w:b w:val="0"/>
                <w:sz w:val="21"/>
              </w:rPr>
              <w:t>设备与支管标识贯穿采集、事件与维护记录。</w:t>
            </w:r>
          </w:p>
          <w:p w14:paraId="380926A7">
            <w:pPr>
              <w:spacing w:after="80"/>
              <w:ind w:firstLine="420"/>
              <w:jc w:val="both"/>
            </w:pPr>
            <w:r>
              <w:rPr>
                <w:rFonts w:hint="eastAsia"/>
                <w:b w:val="0"/>
                <w:sz w:val="21"/>
                <w:lang w:val="en-US" w:eastAsia="zh-CN"/>
              </w:rPr>
              <w:t>目前的实验研究处于双支管模型的实验室检验阶段，重点考察B支路开关与上游供压变化下A支路泄漏与受限判据是否稳健，明确哪些观测能够可靠提示。现场多节点同步关联、共同扰动与局部异常的普适辨识需要首部或干管参照与更多监测点，列入下一阶段研究。</w:t>
            </w:r>
          </w:p>
          <w:p w14:paraId="68C9AAC5">
            <w:pPr>
              <w:spacing w:after="80"/>
              <w:ind w:firstLine="0"/>
              <w:jc w:val="left"/>
              <w:outlineLvl w:val="1"/>
            </w:pPr>
            <w:r>
              <w:rPr>
                <w:rFonts w:hint="eastAsia" w:ascii="Times New Roman" w:hAnsi="Times New Roman" w:eastAsia="宋体"/>
                <w:b w:val="1"/>
                <w:sz w:val="21"/>
              </w:rPr>
              <w:t>3.2. 项目目标</w:t>
            </w:r>
          </w:p>
          <w:p w14:paraId="1C00D1D4">
            <w:pPr>
              <w:spacing w:after="80"/>
              <w:ind w:firstLine="420"/>
              <w:jc w:val="both"/>
            </w:pPr>
            <w:r>
              <w:rPr>
                <w:rFonts w:hint="eastAsia" w:ascii="Times New Roman" w:hAnsi="Times New Roman" w:eastAsia="宋体"/>
                <w:b w:val="0"/>
                <w:sz w:val="21"/>
              </w:rPr>
              <w:t>（1）研制1套支管故障诊断物联网原型，包括差压—流量感知节点、干管参照测点、LoRa接收端、双支路清水台架和本地巡检平台，并完成采集、提示、接收、核查复测与模拟控制流程。</w:t>
            </w:r>
          </w:p>
          <w:p w14:paraId="00358E42">
            <w:pPr>
              <w:spacing w:after="80"/>
              <w:ind w:firstLine="420"/>
              <w:jc w:val="both"/>
            </w:pPr>
            <w:r>
              <w:rPr>
                <w:rFonts w:hint="eastAsia" w:ascii="Times New Roman" w:hAnsi="Times New Roman" w:eastAsia="宋体"/>
                <w:b w:val="0"/>
                <w:sz w:val="21"/>
              </w:rPr>
              <w:t>（2）实现对渐进泄漏与局部过流受限的早期提示，能够区分正常调节与故障变化；在双支路模型台架上检验邻支路开关与上游供压变化下判据的稳健性，给出判据的适用范围。</w:t>
            </w:r>
          </w:p>
          <w:p w14:paraId="42D2D105">
            <w:pPr>
              <w:spacing w:after="80"/>
              <w:ind w:firstLine="420"/>
              <w:jc w:val="both"/>
            </w:pPr>
            <w:r>
              <w:rPr>
                <w:rFonts w:hint="eastAsia" w:ascii="Times New Roman" w:hAnsi="Times New Roman" w:eastAsia="宋体"/>
                <w:b w:val="0"/>
                <w:sz w:val="21"/>
              </w:rPr>
              <w:t>（3）力争在标定确认的工作范围内，使10%与15%故障组首次持续候选正确比例达到90%，正常运行确认误报不高于1次/小时，并统计达到15%参照前的有效提示比例。</w:t>
            </w:r>
          </w:p>
          <w:p w14:paraId="6D221A44">
            <w:pPr>
              <w:spacing w:after="80"/>
              <w:ind w:firstLine="420"/>
              <w:jc w:val="both"/>
            </w:pPr>
            <w:r>
              <w:rPr>
                <w:rFonts w:hint="eastAsia" w:ascii="Times New Roman" w:hAnsi="Times New Roman" w:eastAsia="宋体"/>
                <w:b w:val="0"/>
                <w:sz w:val="21"/>
              </w:rPr>
              <w:t>（4）形成标定、故障、正常调节、扰动与通信对照等原始数据，整理论文稿与软件著作权申请材料。</w:t>
            </w:r>
          </w:p>
          <w:p w14:paraId="20BD46DF">
            <w:pPr>
              <w:spacing w:after="80"/>
              <w:ind w:firstLine="0"/>
              <w:jc w:val="left"/>
              <w:outlineLvl w:val="1"/>
            </w:pPr>
            <w:r>
              <w:rPr>
                <w:rFonts w:hint="eastAsia" w:ascii="Times New Roman" w:hAnsi="Times New Roman" w:eastAsia="宋体"/>
                <w:b w:val="1"/>
                <w:sz w:val="21"/>
              </w:rPr>
              <w:t>3.3. 技术路线</w:t>
            </w:r>
          </w:p>
          <w:p w14:paraId="52F5A861">
            <w:pPr>
              <w:spacing w:after="80"/>
              <w:ind w:firstLine="420"/>
              <w:jc w:val="both"/>
            </w:pPr>
            <w:r>
              <w:rPr>
                <w:rFonts w:hint="eastAsia"/>
                <w:b w:val="0"/>
                <w:sz w:val="21"/>
                <w:lang w:val="en-US" w:eastAsia="zh-CN"/>
              </w:rPr>
              <w:t>项目的</w:t>
            </w:r>
            <w:r>
              <w:rPr>
                <w:rFonts w:hint="eastAsia" w:ascii="Times New Roman" w:hAnsi="Times New Roman" w:eastAsia="宋体"/>
                <w:b w:val="0"/>
                <w:sz w:val="21"/>
              </w:rPr>
              <w:t>技术路线</w:t>
            </w:r>
            <w:r>
              <w:rPr>
                <w:rFonts w:hint="eastAsia"/>
                <w:b w:val="0"/>
                <w:sz w:val="21"/>
                <w:lang w:val="en-US" w:eastAsia="zh-CN"/>
              </w:rPr>
              <w:t>以</w:t>
            </w:r>
            <w:r>
              <w:rPr>
                <w:rFonts w:hint="eastAsia" w:ascii="Times New Roman" w:hAnsi="Times New Roman" w:eastAsia="宋体"/>
                <w:b w:val="0"/>
                <w:sz w:val="21"/>
              </w:rPr>
              <w:t>“测量—判断—传输—展示与核查”</w:t>
            </w:r>
            <w:r>
              <w:rPr>
                <w:rFonts w:hint="eastAsia"/>
                <w:b w:val="0"/>
                <w:sz w:val="21"/>
                <w:lang w:val="en-US" w:eastAsia="zh-CN"/>
              </w:rPr>
              <w:t>为</w:t>
            </w:r>
            <w:r>
              <w:rPr>
                <w:rFonts w:hint="eastAsia" w:ascii="Times New Roman" w:hAnsi="Times New Roman" w:eastAsia="宋体"/>
                <w:b w:val="0"/>
                <w:sz w:val="21"/>
              </w:rPr>
              <w:t>主线组织，分总体设计、硬件模块设计、测量平台与水力模型、软件模块设计四个部分展开：硬件部分把感知与判断所需的物理接口从传感器闭合到主控引脚；测量平台部分建立测点在水路中的位置与可用的水力关系；软件部分完成判断、上报与核查的闭环。各模块独立标定、逐级联调，最后在双支路台架上完成模型</w:t>
            </w:r>
            <w:r>
              <w:rPr>
                <w:rFonts w:hint="eastAsia"/>
                <w:b w:val="0"/>
                <w:sz w:val="21"/>
                <w:lang w:val="en-US" w:eastAsia="zh-CN"/>
              </w:rPr>
              <w:t>的</w:t>
            </w:r>
            <w:r>
              <w:rPr>
                <w:rFonts w:hint="eastAsia" w:ascii="Times New Roman" w:hAnsi="Times New Roman" w:eastAsia="宋体"/>
                <w:b w:val="0"/>
                <w:sz w:val="21"/>
              </w:rPr>
              <w:t>实验室检验。</w:t>
            </w:r>
          </w:p>
          <w:p w14:paraId="01BF1592">
            <w:pPr>
              <w:spacing w:after="80"/>
              <w:ind w:firstLine="0"/>
              <w:jc w:val="left"/>
              <w:outlineLvl w:val="2"/>
            </w:pPr>
            <w:r>
              <w:rPr>
                <w:rFonts w:hint="eastAsia" w:ascii="Times New Roman" w:hAnsi="Times New Roman" w:eastAsia="宋体"/>
                <w:b w:val="1"/>
                <w:sz w:val="21"/>
              </w:rPr>
              <w:t>3.3.1. 总体设计</w:t>
            </w:r>
          </w:p>
          <w:p w14:paraId="792D877D">
            <w:pPr>
              <w:spacing w:after="80"/>
              <w:ind w:firstLine="420"/>
              <w:jc w:val="both"/>
            </w:pPr>
            <w:r>
              <w:rPr>
                <w:rFonts w:hint="eastAsia" w:ascii="Times New Roman" w:hAnsi="Times New Roman" w:eastAsia="宋体"/>
                <w:b w:val="0"/>
                <w:sz w:val="21"/>
              </w:rPr>
              <w:t>系统总体结构如图3-1所示，其由感知诊断节点、LoRa接收端、本地巡检平台和双支路清水台架四部分组成，信息流为：节点以差压变送器采集监测区段压差、另采一路干管参照压力与一路脉冲流量，在本地计算特征并作有限判断；有异常事件则经LoRa上报；再接收服务校验、去重并写入数据库后回复确认；最后平台呈现状态并记录人工核查与复测。节点侧硬件为GD32F103CBT6主控、35—40 kPa 档差压变送器与干管参照压力变送器、SGM58031模数转换模块、SEN0549流量计、microSD日志模块和E220-400T22D无线模块；接收侧则为一只无线模块、一只3.3V逻辑USB-TTL转换器和计算机；台架侧为A、B双支路PVC-U水路与独立收集装置。</w:t>
            </w:r>
          </w:p>
          <w:p w14:paraId="2806BDF1">
            <w:pPr>
              <w:spacing w:before="80" w:after="40"/>
              <w:ind w:firstLine="0"/>
              <w:jc w:val="center"/>
            </w:pPr>
            <w:r>
              <w:rPr>
                <w:rFonts w:hint="default" w:ascii="Times New Roman" w:hAnsi="Times New Roman" w:eastAsia="宋体" w:cs="Times New Roman"/>
                <w:sz w:val="21"/>
                <w:szCs w:val="28"/>
                <w:lang w:val="en-US" w:eastAsia="zh-CN"/>
              </w:rPr>
              <w:drawing>
                <wp:inline distT="0" distB="0" distL="114300" distR="114300">
                  <wp:extent cx="5334000" cy="2864485"/>
                  <wp:effectExtent l="0" t="0" r="0" b="3810"/>
                  <wp:docPr id="5" name="图片 1" descr="图3-1 系统总体结构"/>
                  <wp:cNvGraphicFramePr>
                    <a:graphicFrameLocks noChangeAspect="1"/>
                  </wp:cNvGraphicFramePr>
                  <a:graphic>
                    <a:graphicData uri="http://schemas.openxmlformats.org/drawingml/2006/picture">
                      <pic:pic>
                        <pic:nvPicPr>
                          <pic:cNvPr id="6" name="图片 1" descr="图3-1 系统总体结构"/>
                          <pic:cNvPicPr>
                            <a:picLocks noChangeAspect="1"/>
                          </pic:cNvPicPr>
                        </pic:nvPicPr>
                        <pic:blipFill>
                          <a:blip r:embed="rId7"/>
                          <a:stretch>
                            <a:fillRect/>
                          </a:stretch>
                        </pic:blipFill>
                        <pic:spPr>
                          <a:xfrm>
                            <a:off x="0" y="0"/>
                            <a:ext cx="5334000" cy="2864556"/>
                          </a:xfrm>
                          <a:prstGeom prst="rect">
                            <a:avLst/>
                          </a:prstGeom>
                          <a:noFill/>
                          <a:ln>
                            <a:noFill/>
                          </a:ln>
                        </pic:spPr>
                      </pic:pic>
                    </a:graphicData>
                  </a:graphic>
                </wp:inline>
              </w:drawing>
            </w:r>
          </w:p>
          <w:p w14:paraId="7D6A1C4F">
            <w:pPr>
              <w:spacing w:after="120"/>
              <w:ind w:firstLine="0"/>
              <w:jc w:val="center"/>
            </w:pPr>
            <w:r>
              <w:rPr>
                <w:rFonts w:hint="eastAsia" w:ascii="Times New Roman" w:hAnsi="Times New Roman" w:eastAsia="宋体"/>
                <w:b w:val="0"/>
                <w:sz w:val="21"/>
              </w:rPr>
              <w:t>图3-1 系统总体结构</w:t>
            </w:r>
          </w:p>
          <w:p w14:paraId="763D9496">
            <w:pPr>
              <w:spacing w:after="80"/>
              <w:ind w:firstLine="0"/>
              <w:jc w:val="left"/>
              <w:outlineLvl w:val="2"/>
            </w:pPr>
            <w:r>
              <w:rPr>
                <w:rFonts w:hint="eastAsia" w:ascii="Times New Roman" w:hAnsi="Times New Roman" w:eastAsia="宋体"/>
                <w:b w:val="1"/>
                <w:sz w:val="21"/>
              </w:rPr>
              <w:t>3.3.2. 硬件模块设计</w:t>
            </w:r>
          </w:p>
          <w:p w14:paraId="6F98EC82">
            <w:pPr>
              <w:pStyle w:val="00001d"/>
              <w:bidi w:val="0"/>
            </w:pPr>
            <w:r>
              <w:rPr>
                <w:rFonts w:hint="eastAsia"/>
              </w:rPr>
              <w:t>（1）主控模块（GD32F103CBT6）</w:t>
            </w:r>
          </w:p>
          <w:p w14:paraId="0737CCE3">
            <w:pPr>
              <w:spacing w:after="80"/>
              <w:ind w:firstLine="420"/>
              <w:jc w:val="both"/>
            </w:pPr>
            <w:r>
              <w:rPr>
                <w:rFonts w:hint="eastAsia" w:ascii="Times New Roman" w:hAnsi="Times New Roman" w:eastAsia="宋体"/>
                <w:b w:val="0"/>
                <w:sz w:val="21"/>
              </w:rPr>
              <w:t>节点的采集、本地判断与缓存功能</w:t>
            </w:r>
            <w:r>
              <w:rPr>
                <w:rFonts w:hint="eastAsia"/>
                <w:b w:val="0"/>
                <w:sz w:val="21"/>
                <w:lang w:val="en-US" w:eastAsia="zh-CN"/>
              </w:rPr>
              <w:t>都</w:t>
            </w:r>
            <w:r>
              <w:rPr>
                <w:rFonts w:hint="eastAsia" w:ascii="Times New Roman" w:hAnsi="Times New Roman" w:eastAsia="宋体"/>
                <w:b w:val="0"/>
                <w:sz w:val="21"/>
              </w:rPr>
              <w:t>由主控承担。本</w:t>
            </w:r>
            <w:r>
              <w:rPr>
                <w:rFonts w:hint="eastAsia"/>
                <w:b w:val="0"/>
                <w:sz w:val="21"/>
                <w:lang w:val="en-US" w:eastAsia="zh-CN"/>
              </w:rPr>
              <w:t>项目</w:t>
            </w:r>
            <w:r>
              <w:rPr>
                <w:rFonts w:hint="eastAsia" w:ascii="Times New Roman" w:hAnsi="Times New Roman" w:eastAsia="宋体"/>
                <w:b w:val="0"/>
                <w:sz w:val="21"/>
              </w:rPr>
              <w:t>设计选用GD32F103CBT6最小系统板，片上</w:t>
            </w:r>
            <w:r>
              <w:rPr>
                <w:rFonts w:hint="eastAsia"/>
                <w:b w:val="0"/>
                <w:sz w:val="21"/>
                <w:lang w:val="en-US" w:eastAsia="zh-CN"/>
              </w:rPr>
              <w:t>包含</w:t>
            </w:r>
            <w:r>
              <w:rPr>
                <w:rFonts w:hint="eastAsia" w:ascii="Times New Roman" w:hAnsi="Times New Roman" w:eastAsia="宋体"/>
                <w:b w:val="0"/>
                <w:sz w:val="21"/>
              </w:rPr>
              <w:t>128 KB Flash、20KB SRAM，可容纳采集程序、诊断内核与日志缓存。</w:t>
            </w:r>
            <w:r>
              <w:rPr>
                <w:rFonts w:hint="eastAsia"/>
                <w:b w:val="0"/>
                <w:sz w:val="21"/>
                <w:lang w:val="en-US" w:eastAsia="zh-CN"/>
              </w:rPr>
              <w:t>而</w:t>
            </w:r>
            <w:r>
              <w:rPr>
                <w:rFonts w:hint="eastAsia" w:ascii="Times New Roman" w:hAnsi="Times New Roman" w:eastAsia="宋体"/>
                <w:b w:val="0"/>
                <w:sz w:val="21"/>
              </w:rPr>
              <w:t>主控的片内资源</w:t>
            </w:r>
            <w:r>
              <w:rPr>
                <w:rFonts w:hint="eastAsia"/>
                <w:b w:val="0"/>
                <w:sz w:val="21"/>
                <w:lang w:val="en-US" w:eastAsia="zh-CN"/>
              </w:rPr>
              <w:t>正对应</w:t>
            </w:r>
            <w:r>
              <w:rPr>
                <w:rFonts w:hint="eastAsia" w:ascii="Times New Roman" w:hAnsi="Times New Roman" w:eastAsia="宋体"/>
                <w:b w:val="0"/>
                <w:sz w:val="21"/>
              </w:rPr>
              <w:t>本项目</w:t>
            </w:r>
            <w:r>
              <w:rPr>
                <w:rFonts w:hint="eastAsia"/>
                <w:b w:val="0"/>
                <w:sz w:val="21"/>
                <w:lang w:val="en-US" w:eastAsia="zh-CN"/>
              </w:rPr>
              <w:t>所用</w:t>
            </w:r>
            <w:r>
              <w:rPr>
                <w:rFonts w:hint="eastAsia" w:ascii="Times New Roman" w:hAnsi="Times New Roman" w:eastAsia="宋体"/>
                <w:b w:val="0"/>
                <w:sz w:val="21"/>
              </w:rPr>
              <w:t>的四类外设：I²C1用于模数转换，TIM2用于脉冲计数，USART1用于无线通信，SPI1用于存储，</w:t>
            </w:r>
            <w:r>
              <w:rPr>
                <w:rFonts w:hint="eastAsia"/>
                <w:b w:val="0"/>
                <w:sz w:val="21"/>
                <w:lang w:val="en-US" w:eastAsia="zh-CN"/>
              </w:rPr>
              <w:t>同时还预</w:t>
            </w:r>
            <w:r>
              <w:rPr>
                <w:rFonts w:hint="eastAsia" w:ascii="Times New Roman" w:hAnsi="Times New Roman" w:eastAsia="宋体"/>
                <w:b w:val="0"/>
                <w:sz w:val="21"/>
              </w:rPr>
              <w:t>留</w:t>
            </w:r>
            <w:r>
              <w:rPr>
                <w:rFonts w:hint="eastAsia"/>
                <w:b w:val="0"/>
                <w:sz w:val="21"/>
                <w:lang w:val="en-US" w:eastAsia="zh-CN"/>
              </w:rPr>
              <w:t>有</w:t>
            </w:r>
            <w:r>
              <w:rPr>
                <w:rFonts w:hint="eastAsia" w:ascii="Times New Roman" w:hAnsi="Times New Roman" w:eastAsia="宋体"/>
                <w:b w:val="0"/>
                <w:sz w:val="21"/>
              </w:rPr>
              <w:t>调试与下载接口。</w:t>
            </w:r>
          </w:p>
          <w:p w14:paraId="7D296781">
            <w:pPr>
              <w:spacing w:after="80"/>
              <w:ind w:firstLine="420"/>
              <w:jc w:val="both"/>
              <w:rPr>
                <w:rFonts w:ascii="Times New Roman" w:hAnsi="Times New Roman" w:eastAsia="宋体"/>
                <w:b w:val="0"/>
                <w:sz w:val="21"/>
              </w:rPr>
            </w:pPr>
            <w:r>
              <w:rPr>
                <w:rFonts w:hint="eastAsia"/>
                <w:b w:val="0"/>
                <w:sz w:val="21"/>
                <w:lang w:val="en-US" w:eastAsia="zh-CN"/>
              </w:rPr>
              <w:t>其原理图如图3-2所示，</w:t>
            </w:r>
            <w:r>
              <w:rPr>
                <w:rFonts w:hint="eastAsia" w:ascii="Times New Roman" w:hAnsi="Times New Roman" w:eastAsia="宋体"/>
                <w:b w:val="0"/>
                <w:sz w:val="21"/>
              </w:rPr>
              <w:t>引脚按17路分配且无重复：PB6、PB7为I²C1的SCL与SDA，接模数转换模块；PA0为TIM2_CH1，接流量缓冲器输出作脉冲计数；PA9、PA10为USART1，交叉接无线模块的RXD与TXD；PA4—PA7为SPI1，分别作microSD的片选、时钟、主入从出与主出从入，片选</w:t>
            </w:r>
            <w:r>
              <w:rPr>
                <w:rFonts w:hint="eastAsia"/>
                <w:b w:val="0"/>
                <w:sz w:val="21"/>
                <w:lang w:val="en-US" w:eastAsia="zh-CN"/>
              </w:rPr>
              <w:t>信号</w:t>
            </w:r>
            <w:r>
              <w:rPr>
                <w:rFonts w:hint="eastAsia" w:ascii="Times New Roman" w:hAnsi="Times New Roman" w:eastAsia="宋体"/>
                <w:b w:val="0"/>
                <w:sz w:val="21"/>
              </w:rPr>
              <w:t>按普通GPIO</w:t>
            </w:r>
            <w:r>
              <w:rPr>
                <w:rFonts w:hint="eastAsia"/>
                <w:b w:val="0"/>
                <w:sz w:val="21"/>
                <w:lang w:val="en-US" w:eastAsia="zh-CN"/>
              </w:rPr>
              <w:t>方式进行</w:t>
            </w:r>
            <w:r>
              <w:rPr>
                <w:rFonts w:hint="eastAsia" w:ascii="Times New Roman" w:hAnsi="Times New Roman" w:eastAsia="宋体"/>
                <w:b w:val="0"/>
                <w:sz w:val="21"/>
              </w:rPr>
              <w:t>控制；PB10、PB11接无线模块的M0、M1并候选10kΩ下拉，使模块上电即进入透明传输；PB0接模块AUX，仅作本地缓冲状态指示；PA2、PA3</w:t>
            </w:r>
            <w:r>
              <w:rPr>
                <w:rFonts w:hint="eastAsia"/>
                <w:b w:val="0"/>
                <w:sz w:val="21"/>
                <w:lang w:val="en-US" w:eastAsia="zh-CN"/>
              </w:rPr>
              <w:t>预</w:t>
            </w:r>
            <w:r>
              <w:rPr>
                <w:rFonts w:hint="eastAsia" w:ascii="Times New Roman" w:hAnsi="Times New Roman" w:eastAsia="宋体"/>
                <w:b w:val="0"/>
                <w:sz w:val="21"/>
              </w:rPr>
              <w:t>留作临时调试串口；PA13、PA14</w:t>
            </w:r>
            <w:r>
              <w:rPr>
                <w:rFonts w:hint="eastAsia"/>
                <w:b w:val="0"/>
                <w:sz w:val="21"/>
                <w:lang w:val="en-US" w:eastAsia="zh-CN"/>
              </w:rPr>
              <w:t>则用作</w:t>
            </w:r>
            <w:r>
              <w:rPr>
                <w:rFonts w:hint="eastAsia" w:ascii="Times New Roman" w:hAnsi="Times New Roman" w:eastAsia="宋体"/>
                <w:b w:val="0"/>
                <w:sz w:val="21"/>
              </w:rPr>
              <w:t>保留SWD下载与诊断；</w:t>
            </w:r>
            <w:r>
              <w:rPr>
                <w:rFonts w:hint="eastAsia"/>
                <w:b w:val="0"/>
                <w:sz w:val="21"/>
                <w:lang w:val="en-US" w:eastAsia="zh-CN"/>
              </w:rPr>
              <w:t>最后</w:t>
            </w:r>
            <w:r>
              <w:rPr>
                <w:rFonts w:hint="eastAsia" w:ascii="Times New Roman" w:hAnsi="Times New Roman" w:eastAsia="宋体"/>
                <w:b w:val="0"/>
                <w:sz w:val="21"/>
              </w:rPr>
              <w:t>PB1作</w:t>
            </w:r>
            <w:r>
              <w:rPr>
                <w:rFonts w:hint="eastAsia"/>
                <w:b w:val="0"/>
                <w:sz w:val="21"/>
                <w:lang w:val="en-US" w:eastAsia="zh-CN"/>
              </w:rPr>
              <w:t>为</w:t>
            </w:r>
            <w:r>
              <w:rPr>
                <w:rFonts w:hint="eastAsia" w:ascii="Times New Roman" w:hAnsi="Times New Roman" w:eastAsia="宋体"/>
                <w:b w:val="0"/>
                <w:sz w:val="21"/>
              </w:rPr>
              <w:t>人工B支路操作标记输入。</w:t>
            </w:r>
          </w:p>
          <w:p w14:paraId="064473C8">
            <w:pPr>
              <w:spacing w:after="80"/>
              <w:ind w:firstLine="420"/>
              <w:jc w:val="center"/>
              <w:rPr>
                <w:rFonts w:hint="default" w:ascii="Times New Roman" w:hAnsi="Times New Roman" w:eastAsia="宋体"/>
                <w:b w:val="0"/>
                <w:sz w:val="21"/>
                <w:lang w:val="en-US" w:eastAsia="zh-CN"/>
              </w:rPr>
            </w:pPr>
            <w:r>
              <w:rPr>
                <w:rFonts w:hint="default" w:ascii="Times New Roman" w:hAnsi="Times New Roman" w:eastAsia="宋体"/>
                <w:b w:val="0"/>
                <w:sz w:val="21"/>
                <w:lang w:val="en-US" w:eastAsia="zh-CN"/>
              </w:rPr>
              <w:drawing>
                <wp:inline distT="0" distB="0" distL="114300" distR="114300">
                  <wp:extent cx="2397760" cy="2188845"/>
                  <wp:effectExtent l="0" t="0" r="9525" b="2540"/>
                  <wp:docPr id="8" name="图片 14" descr="未命名 1"/>
                  <wp:cNvGraphicFramePr>
                    <a:graphicFrameLocks noChangeAspect="1"/>
                  </wp:cNvGraphicFramePr>
                  <a:graphic>
                    <a:graphicData uri="http://schemas.openxmlformats.org/drawingml/2006/picture">
                      <pic:pic>
                        <pic:nvPicPr>
                          <pic:cNvPr id="9" name="图片 14" descr="未命名 1"/>
                          <pic:cNvPicPr>
                            <a:picLocks noChangeAspect="1"/>
                          </pic:cNvPicPr>
                        </pic:nvPicPr>
                        <pic:blipFill>
                          <a:blip r:embed="rId8"/>
                          <a:srcRect l="30679" t="24835" r="23893" b="13535"/>
                          <a:stretch>
                            <a:fillRect/>
                          </a:stretch>
                        </pic:blipFill>
                        <pic:spPr>
                          <a:xfrm>
                            <a:off x="0" y="0"/>
                            <a:ext cx="2397760" cy="2188845"/>
                          </a:xfrm>
                          <a:prstGeom prst="rect">
                            <a:avLst/>
                          </a:prstGeom>
                        </pic:spPr>
                      </pic:pic>
                    </a:graphicData>
                  </a:graphic>
                </wp:inline>
              </w:drawing>
            </w:r>
          </w:p>
          <w:p w14:paraId="4379CED7">
            <w:pPr>
              <w:spacing w:before="80" w:after="120"/>
              <w:ind w:firstLine="0"/>
              <w:jc w:val="center"/>
              <w:rPr>
                <w:rFonts w:hint="eastAsia" w:ascii="宋体" w:hAnsi="宋体" w:eastAsia="宋体" w:cs="宋体"/>
                <w:b w:val="0"/>
                <w:bCs w:val="1"/>
              </w:rPr>
            </w:pPr>
            <w:r>
              <w:rPr>
                <w:rFonts w:hint="eastAsia" w:ascii="宋体" w:hAnsi="宋体" w:eastAsia="宋体" w:cs="宋体"/>
                <w:b w:val="0"/>
                <w:bCs w:val="1"/>
                <w:sz w:val="21"/>
                <w:lang w:val="en-US" w:eastAsia="zh-CN"/>
              </w:rPr>
              <w:t xml:space="preserve">图3-2 </w:t>
            </w:r>
            <w:r>
              <w:rPr>
                <w:rFonts w:hint="eastAsia" w:ascii="宋体" w:hAnsi="宋体" w:eastAsia="宋体" w:cs="宋体"/>
                <w:b w:val="0"/>
                <w:bCs w:val="1"/>
                <w:sz w:val="21"/>
              </w:rPr>
              <w:t>GD32F103CBT6最小系统板</w:t>
            </w:r>
            <w:r>
              <w:rPr>
                <w:rFonts w:hint="eastAsia" w:ascii="宋体" w:hAnsi="宋体" w:cs="宋体"/>
                <w:b w:val="0"/>
                <w:bCs w:val="1"/>
                <w:sz w:val="21"/>
                <w:lang w:val="en-US" w:eastAsia="zh-CN"/>
              </w:rPr>
              <w:t>原理</w:t>
            </w:r>
            <w:r>
              <w:rPr>
                <w:rFonts w:hint="eastAsia" w:ascii="宋体" w:hAnsi="宋体" w:eastAsia="宋体" w:cs="宋体"/>
                <w:b w:val="0"/>
                <w:bCs w:val="1"/>
                <w:sz w:val="21"/>
              </w:rPr>
              <w:t>图</w:t>
            </w:r>
          </w:p>
          <w:p w14:paraId="7EE86CA0">
            <w:pPr>
              <w:pStyle w:val="00001d"/>
              <w:bidi w:val="0"/>
            </w:pPr>
            <w:r>
              <w:rPr>
                <w:rFonts w:hint="eastAsia"/>
              </w:rPr>
              <w:t>（2）差压变送器与采样回路（35—40 kPa 档＋150Ω）</w:t>
            </w:r>
          </w:p>
          <w:p w14:paraId="6D5B8572">
            <w:pPr>
              <w:spacing w:after="80"/>
              <w:ind w:firstLine="420"/>
              <w:jc w:val="both"/>
              <w:rPr>
                <w:rFonts w:hint="eastAsia" w:eastAsia="宋体"/>
                <w:lang w:eastAsia="zh-CN"/>
              </w:rPr>
            </w:pPr>
            <w:r>
              <w:rPr>
                <w:rFonts w:hint="eastAsia" w:ascii="Times New Roman" w:hAnsi="Times New Roman" w:eastAsia="宋体"/>
                <w:b w:val="0"/>
                <w:sz w:val="21"/>
              </w:rPr>
              <w:t>判据的第一路输入是压力，其测量链由差压变送器、24V供电回路与取样电阻构成。本项目设计选用35—40 kPa 档、两线制4—20mA、±0.5%FS的差压变送器（即麦克传感器MDM490系列），耐静压不低于160kPa、接液材质316L；另在干管上设一只0—200kPa表压变送器作参照测点。差压变送器实物图如图3-3所示。</w:t>
            </w:r>
          </w:p>
          <w:p w14:paraId="61D7CAA6">
            <w:pPr>
              <w:spacing w:after="80"/>
              <w:ind w:firstLine="420"/>
              <w:jc w:val="both"/>
              <w:rPr>
                <w:rFonts w:ascii="Times New Roman" w:hAnsi="Times New Roman" w:eastAsia="宋体"/>
                <w:b w:val="0"/>
                <w:sz w:val="21"/>
              </w:rPr>
            </w:pPr>
            <w:r>
              <w:rPr>
                <w:rFonts w:hint="eastAsia" w:ascii="Times New Roman" w:hAnsi="Times New Roman" w:eastAsia="宋体"/>
                <w:b w:val="0"/>
                <w:sz w:val="21"/>
              </w:rPr>
              <w:t>压力测量采用差压方案：差压变送器直接测量受限元件R上游（P0）与下游（P1）之间的压差，并在干管上另设一路参照压力P2，用于区分上游共同扰动与局部异常。差压选35—40 kPa 档量程、±0.5%FS、两线制4—20mA输出，耐静压不低于160kPa，接液材质316L；量程下限由最大健康压降（10.04kPa）留1.5倍过载余量确定，故可选档位为20kPa与35kPa。变送器与干管参照共用一组24V直流回路，正常电流均不超过20mA。回路电流经150Ω、0.1%、不低于0.25W的低温漂精密电阻取样，4—20mA对应0.6—3.0V，20mA时电阻耗散0.06W。取样电压经保护与滤波后送入模数转换模块的输入通道；取压采用侧向接口，以避免压力件不串联成为节流件。</w:t>
            </w:r>
          </w:p>
          <w:p w14:paraId="230BB13D">
            <w:pPr>
              <w:spacing w:after="80"/>
              <w:ind w:firstLine="420"/>
              <w:jc w:val="center"/>
              <w:rPr>
                <w:rFonts w:ascii="Times New Roman" w:hAnsi="Times New Roman" w:eastAsia="宋体"/>
                <w:b w:val="0"/>
                <w:sz w:val="21"/>
              </w:rPr>
            </w:pPr>
            <w:r>
              <w:drawing>
                <wp:inline distT="0" distB="0" distL="114300" distR="114300">
                  <wp:extent cx="2046605" cy="1939290"/>
                  <wp:effectExtent l="0" t="0" r="4445" b="3810"/>
                  <wp:docPr id="11" name="图片 9"/>
                  <wp:cNvGraphicFramePr>
                    <a:graphicFrameLocks noChangeAspect="1"/>
                  </wp:cNvGraphicFramePr>
                  <a:graphic>
                    <a:graphicData uri="http://schemas.openxmlformats.org/drawingml/2006/picture">
                      <pic:pic>
                        <pic:nvPicPr>
                          <pic:cNvPr id="12" name="图片 9"/>
                          <pic:cNvPicPr>
                            <a:picLocks noChangeAspect="1"/>
                          </pic:cNvPicPr>
                        </pic:nvPicPr>
                        <pic:blipFill>
                          <a:blip r:embed="rId9"/>
                          <a:stretch>
                            <a:fillRect/>
                          </a:stretch>
                        </pic:blipFill>
                        <pic:spPr>
                          <a:xfrm>
                            <a:off x="0" y="0"/>
                            <a:ext cx="2046605" cy="193929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948180" cy="1951355"/>
                  <wp:effectExtent l="0" t="0" r="5715" b="2540"/>
                  <wp:docPr id="14" name="图片 10"/>
                  <wp:cNvGraphicFramePr>
                    <a:graphicFrameLocks noChangeAspect="1"/>
                  </wp:cNvGraphicFramePr>
                  <a:graphic>
                    <a:graphicData uri="http://schemas.openxmlformats.org/drawingml/2006/picture">
                      <pic:pic>
                        <pic:nvPicPr>
                          <pic:cNvPr id="15" name="图片 10"/>
                          <pic:cNvPicPr>
                            <a:picLocks noChangeAspect="1"/>
                          </pic:cNvPicPr>
                        </pic:nvPicPr>
                        <pic:blipFill>
                          <a:blip r:embed="rId10"/>
                          <a:stretch>
                            <a:fillRect/>
                          </a:stretch>
                        </pic:blipFill>
                        <pic:spPr>
                          <a:xfrm>
                            <a:off x="0" y="0"/>
                            <a:ext cx="1948180" cy="1951355"/>
                          </a:xfrm>
                          <a:prstGeom prst="rect">
                            <a:avLst/>
                          </a:prstGeom>
                          <a:noFill/>
                          <a:ln>
                            <a:noFill/>
                          </a:ln>
                        </pic:spPr>
                      </pic:pic>
                    </a:graphicData>
                  </a:graphic>
                </wp:inline>
              </w:drawing>
            </w:r>
          </w:p>
          <w:p w14:paraId="68DAC9A3">
            <w:pPr>
              <w:spacing w:before="80" w:after="120"/>
              <w:ind w:firstLine="0"/>
              <w:jc w:val="center"/>
              <w:rPr>
                <w:rFonts w:hint="eastAsia" w:ascii="宋体" w:hAnsi="宋体" w:eastAsia="宋体" w:cs="宋体"/>
                <w:b w:val="0"/>
                <w:bCs w:val="1"/>
              </w:rPr>
            </w:pPr>
            <w:r>
              <w:rPr>
                <w:rFonts w:hint="eastAsia" w:ascii="宋体" w:hAnsi="宋体" w:cs="宋体"/>
                <w:b w:val="0"/>
                <w:bCs w:val="1"/>
                <w:sz w:val="21"/>
                <w:lang w:val="en-US" w:eastAsia="zh-CN"/>
              </w:rPr>
              <w:t xml:space="preserve">     </w:t>
            </w:r>
            <w:r>
              <w:rPr>
                <w:rFonts w:hint="eastAsia" w:ascii="宋体" w:hAnsi="宋体" w:eastAsia="宋体" w:cs="宋体"/>
                <w:b w:val="0"/>
                <w:bCs w:val="1"/>
                <w:sz w:val="21"/>
                <w:lang w:val="en-US" w:eastAsia="zh-CN"/>
              </w:rPr>
              <w:t>图3-3</w:t>
            </w:r>
            <w:r>
              <w:rPr>
                <w:rFonts w:hint="eastAsia" w:ascii="宋体" w:hAnsi="宋体" w:cs="宋体"/>
                <w:b w:val="0"/>
                <w:bCs w:val="1"/>
                <w:sz w:val="21"/>
                <w:lang w:val="en-US" w:eastAsia="zh-CN"/>
              </w:rPr>
              <w:t xml:space="preserve"> </w:t>
            </w:r>
            <w:r>
              <w:rPr>
                <w:rFonts w:hint="eastAsia" w:ascii="宋体" w:hAnsi="宋体" w:eastAsia="宋体" w:cs="宋体"/>
                <w:b w:val="0"/>
                <w:bCs w:val="1"/>
                <w:sz w:val="21"/>
              </w:rPr>
              <w:t>MPM489压力变送器实物图</w:t>
            </w:r>
            <w:r>
              <w:rPr>
                <w:rFonts w:hint="eastAsia" w:ascii="宋体" w:hAnsi="宋体" w:cs="宋体"/>
                <w:b w:val="0"/>
                <w:bCs w:val="1"/>
                <w:sz w:val="21"/>
                <w:lang w:val="en-US" w:eastAsia="zh-CN"/>
              </w:rPr>
              <w:t xml:space="preserve">        </w:t>
            </w:r>
            <w:r>
              <w:rPr>
                <w:rFonts w:hint="eastAsia" w:ascii="宋体" w:hAnsi="宋体" w:eastAsia="宋体" w:cs="宋体"/>
                <w:b w:val="0"/>
                <w:bCs w:val="1"/>
                <w:sz w:val="21"/>
                <w:lang w:val="en-US" w:eastAsia="zh-CN"/>
              </w:rPr>
              <w:t>图3-4</w:t>
            </w:r>
            <w:r>
              <w:rPr>
                <w:rFonts w:hint="eastAsia" w:ascii="宋体" w:hAnsi="宋体" w:cs="宋体"/>
                <w:b w:val="0"/>
                <w:bCs w:val="1"/>
                <w:sz w:val="21"/>
                <w:lang w:val="en-US" w:eastAsia="zh-CN"/>
              </w:rPr>
              <w:t xml:space="preserve"> </w:t>
            </w:r>
            <w:r>
              <w:rPr>
                <w:rFonts w:hint="eastAsia" w:ascii="宋体" w:hAnsi="宋体" w:eastAsia="宋体" w:cs="宋体"/>
                <w:b w:val="0"/>
                <w:bCs w:val="1"/>
                <w:sz w:val="21"/>
              </w:rPr>
              <w:t>SGM58031（DFR0553）模块实物图</w:t>
            </w:r>
          </w:p>
          <w:p w14:paraId="658B19E4">
            <w:pPr>
              <w:pStyle w:val="00001d"/>
              <w:bidi w:val="0"/>
            </w:pPr>
            <w:r>
              <w:rPr>
                <w:rFonts w:hint="eastAsia"/>
              </w:rPr>
              <w:t>（3）模数转换模块（SGM58031）</w:t>
            </w:r>
          </w:p>
          <w:p w14:paraId="2C1029A0">
            <w:pPr>
              <w:spacing w:after="80"/>
              <w:ind w:firstLine="420"/>
              <w:jc w:val="both"/>
              <w:rPr>
                <w:rFonts w:hint="default" w:eastAsia="宋体"/>
                <w:lang w:val="en-US" w:eastAsia="zh-CN"/>
              </w:rPr>
            </w:pPr>
            <w:r>
              <w:rPr>
                <w:rFonts w:hint="eastAsia" w:ascii="Times New Roman" w:hAnsi="Times New Roman" w:eastAsia="宋体"/>
                <w:b w:val="0"/>
                <w:sz w:val="21"/>
              </w:rPr>
              <w:t>取样后的压力信号是模拟量，</w:t>
            </w:r>
            <w:r>
              <w:rPr>
                <w:rFonts w:hint="eastAsia"/>
                <w:b w:val="0"/>
                <w:sz w:val="21"/>
                <w:lang w:val="en-US" w:eastAsia="zh-CN"/>
              </w:rPr>
              <w:t>需要</w:t>
            </w:r>
            <w:r>
              <w:rPr>
                <w:rFonts w:hint="eastAsia" w:ascii="Times New Roman" w:hAnsi="Times New Roman" w:eastAsia="宋体"/>
                <w:b w:val="0"/>
                <w:sz w:val="21"/>
              </w:rPr>
              <w:t>转换</w:t>
            </w:r>
            <w:r>
              <w:rPr>
                <w:rFonts w:hint="eastAsia"/>
                <w:b w:val="0"/>
                <w:sz w:val="21"/>
                <w:lang w:val="en-US" w:eastAsia="zh-CN"/>
              </w:rPr>
              <w:t>成</w:t>
            </w:r>
            <w:r>
              <w:rPr>
                <w:rFonts w:hint="eastAsia" w:ascii="Times New Roman" w:hAnsi="Times New Roman" w:eastAsia="宋体"/>
                <w:b w:val="0"/>
                <w:sz w:val="21"/>
              </w:rPr>
              <w:t>数字量后由主控读取，因此压力链路的第二级是模数转换。本</w:t>
            </w:r>
            <w:r>
              <w:rPr>
                <w:rFonts w:hint="eastAsia"/>
                <w:b w:val="0"/>
                <w:sz w:val="21"/>
                <w:lang w:val="en-US" w:eastAsia="zh-CN"/>
              </w:rPr>
              <w:t>项目</w:t>
            </w:r>
            <w:r>
              <w:rPr>
                <w:rFonts w:hint="eastAsia" w:ascii="Times New Roman" w:hAnsi="Times New Roman" w:eastAsia="宋体"/>
                <w:b w:val="0"/>
                <w:sz w:val="21"/>
              </w:rPr>
              <w:t>设计选用SGM58031（DFR0553模块），</w:t>
            </w:r>
            <w:r>
              <w:rPr>
                <w:rFonts w:hint="eastAsia"/>
                <w:b w:val="0"/>
                <w:sz w:val="21"/>
                <w:lang w:val="en-US" w:eastAsia="zh-CN"/>
              </w:rPr>
              <w:t>其</w:t>
            </w:r>
            <w:r>
              <w:rPr>
                <w:rFonts w:hint="eastAsia" w:ascii="Times New Roman" w:hAnsi="Times New Roman" w:eastAsia="宋体"/>
                <w:b w:val="0"/>
                <w:sz w:val="21"/>
              </w:rPr>
              <w:t>为16位、I²C接口、可编程增益的转换模块。</w:t>
            </w:r>
            <w:r>
              <w:rPr>
                <w:rFonts w:hint="eastAsia"/>
                <w:b w:val="0"/>
                <w:sz w:val="21"/>
                <w:lang w:val="en-US" w:eastAsia="zh-CN"/>
              </w:rPr>
              <w:t>同时，我们</w:t>
            </w:r>
            <w:r>
              <w:rPr>
                <w:rFonts w:hint="eastAsia" w:ascii="Times New Roman" w:hAnsi="Times New Roman" w:eastAsia="宋体"/>
                <w:b w:val="0"/>
                <w:sz w:val="21"/>
              </w:rPr>
              <w:t>采用</w:t>
            </w:r>
            <w:r>
              <w:rPr>
                <w:rFonts w:hint="eastAsia"/>
                <w:b w:val="0"/>
                <w:sz w:val="21"/>
                <w:lang w:val="en-US" w:eastAsia="zh-CN"/>
              </w:rPr>
              <w:t>的是</w:t>
            </w:r>
            <w:r>
              <w:rPr>
                <w:rFonts w:hint="eastAsia" w:ascii="Times New Roman" w:hAnsi="Times New Roman" w:eastAsia="宋体"/>
                <w:b w:val="0"/>
                <w:sz w:val="21"/>
              </w:rPr>
              <w:t>3.3V供电与±4.096V增益档</w:t>
            </w:r>
            <w:r>
              <w:rPr>
                <w:rFonts w:hint="eastAsia"/>
                <w:b w:val="0"/>
                <w:sz w:val="21"/>
                <w:lang w:eastAsia="zh-CN"/>
              </w:rPr>
              <w:t>，</w:t>
            </w:r>
            <w:r>
              <w:rPr>
                <w:rFonts w:hint="eastAsia" w:ascii="Times New Roman" w:hAnsi="Times New Roman" w:eastAsia="宋体"/>
                <w:b w:val="0"/>
                <w:sz w:val="21"/>
              </w:rPr>
              <w:t>码宽125µV≈0.01042kPa</w:t>
            </w:r>
            <w:r>
              <w:rPr>
                <w:rFonts w:hint="eastAsia"/>
                <w:b w:val="0"/>
                <w:sz w:val="21"/>
                <w:lang w:eastAsia="zh-CN"/>
              </w:rPr>
              <w:t>。</w:t>
            </w:r>
            <w:r>
              <w:rPr>
                <w:rFonts w:hint="eastAsia" w:ascii="Times New Roman" w:hAnsi="Times New Roman" w:eastAsia="宋体"/>
                <w:b w:val="0"/>
                <w:sz w:val="21"/>
              </w:rPr>
              <w:t>两路压力分时转换，并各自记录转换完成时刻；流量</w:t>
            </w:r>
            <w:r>
              <w:rPr>
                <w:rFonts w:hint="eastAsia"/>
                <w:b w:val="0"/>
                <w:sz w:val="21"/>
                <w:lang w:val="en-US" w:eastAsia="zh-CN"/>
              </w:rPr>
              <w:t>则</w:t>
            </w:r>
            <w:r>
              <w:rPr>
                <w:rFonts w:hint="eastAsia" w:ascii="Times New Roman" w:hAnsi="Times New Roman" w:eastAsia="宋体"/>
                <w:b w:val="0"/>
                <w:sz w:val="21"/>
              </w:rPr>
              <w:t>按</w:t>
            </w:r>
            <w:r>
              <w:rPr>
                <w:rFonts w:hint="eastAsia"/>
                <w:b w:val="0"/>
                <w:sz w:val="21"/>
                <w:lang w:val="en-US" w:eastAsia="zh-CN"/>
              </w:rPr>
              <w:t>照</w:t>
            </w:r>
            <w:r>
              <w:rPr>
                <w:rFonts w:hint="eastAsia" w:ascii="Times New Roman" w:hAnsi="Times New Roman" w:eastAsia="宋体"/>
                <w:b w:val="0"/>
                <w:sz w:val="21"/>
              </w:rPr>
              <w:t>独立计数窗口</w:t>
            </w:r>
            <w:r>
              <w:rPr>
                <w:rFonts w:hint="eastAsia"/>
                <w:b w:val="0"/>
                <w:sz w:val="21"/>
                <w:lang w:val="en-US" w:eastAsia="zh-CN"/>
              </w:rPr>
              <w:t>进行时间</w:t>
            </w:r>
            <w:r>
              <w:rPr>
                <w:rFonts w:hint="eastAsia" w:ascii="Times New Roman" w:hAnsi="Times New Roman" w:eastAsia="宋体"/>
                <w:b w:val="0"/>
                <w:sz w:val="21"/>
              </w:rPr>
              <w:t>对齐。这样</w:t>
            </w:r>
            <w:r>
              <w:rPr>
                <w:rFonts w:hint="eastAsia"/>
                <w:b w:val="0"/>
                <w:sz w:val="21"/>
                <w:lang w:val="en-US" w:eastAsia="zh-CN"/>
              </w:rPr>
              <w:t>有效</w:t>
            </w:r>
            <w:r>
              <w:rPr>
                <w:rFonts w:hint="eastAsia" w:ascii="Times New Roman" w:hAnsi="Times New Roman" w:eastAsia="宋体"/>
                <w:b w:val="0"/>
                <w:sz w:val="21"/>
              </w:rPr>
              <w:t>避免用同一时刻代表三种测量，</w:t>
            </w:r>
            <w:r>
              <w:rPr>
                <w:rFonts w:hint="eastAsia"/>
                <w:b w:val="0"/>
                <w:sz w:val="21"/>
                <w:lang w:val="en-US" w:eastAsia="zh-CN"/>
              </w:rPr>
              <w:t>同时</w:t>
            </w:r>
            <w:r>
              <w:rPr>
                <w:rFonts w:hint="eastAsia" w:ascii="Times New Roman" w:hAnsi="Times New Roman" w:eastAsia="宋体"/>
                <w:b w:val="0"/>
                <w:sz w:val="21"/>
              </w:rPr>
              <w:t>防止</w:t>
            </w:r>
            <w:r>
              <w:rPr>
                <w:rFonts w:hint="eastAsia"/>
                <w:b w:val="0"/>
                <w:sz w:val="21"/>
                <w:lang w:val="en-US" w:eastAsia="zh-CN"/>
              </w:rPr>
              <w:t>将</w:t>
            </w:r>
            <w:r>
              <w:rPr>
                <w:rFonts w:hint="eastAsia" w:ascii="Times New Roman" w:hAnsi="Times New Roman" w:eastAsia="宋体"/>
                <w:b w:val="0"/>
                <w:sz w:val="21"/>
              </w:rPr>
              <w:t>异步采样误当作同步观测。</w:t>
            </w:r>
            <w:r>
              <w:rPr>
                <w:rFonts w:hint="eastAsia" w:ascii="宋体" w:hAnsi="宋体" w:eastAsia="宋体" w:cs="宋体"/>
                <w:b w:val="0"/>
                <w:bCs w:val="1"/>
                <w:sz w:val="21"/>
              </w:rPr>
              <w:t>模块实物图</w:t>
            </w:r>
            <w:r>
              <w:rPr>
                <w:rFonts w:hint="eastAsia" w:ascii="宋体" w:hAnsi="宋体" w:cs="宋体"/>
                <w:b w:val="0"/>
                <w:bCs w:val="1"/>
                <w:sz w:val="21"/>
                <w:lang w:val="en-US" w:eastAsia="zh-CN"/>
              </w:rPr>
              <w:t>如图3-4所示。</w:t>
            </w:r>
          </w:p>
          <w:p w14:paraId="567F10EA">
            <w:pPr>
              <w:pStyle w:val="00001d"/>
              <w:bidi w:val="0"/>
            </w:pPr>
            <w:r>
              <w:rPr>
                <w:rFonts w:hint="eastAsia"/>
              </w:rPr>
              <w:t>（4）流量传感器与电平转换（SEN0549＋SN74LVC1G17）</w:t>
            </w:r>
          </w:p>
          <w:p w14:paraId="1A0D6B5A">
            <w:pPr>
              <w:spacing w:after="80"/>
              <w:ind w:firstLine="420"/>
              <w:jc w:val="both"/>
            </w:pPr>
            <w:r>
              <w:rPr>
                <w:rFonts w:hint="eastAsia" w:ascii="Times New Roman" w:hAnsi="Times New Roman" w:eastAsia="宋体"/>
                <w:b w:val="0"/>
                <w:sz w:val="21"/>
              </w:rPr>
              <w:t>判据的第二路输入是流量。本</w:t>
            </w:r>
            <w:r>
              <w:rPr>
                <w:rFonts w:hint="eastAsia"/>
                <w:b w:val="0"/>
                <w:sz w:val="21"/>
                <w:lang w:val="en-US" w:eastAsia="zh-CN"/>
              </w:rPr>
              <w:t>项目</w:t>
            </w:r>
            <w:r>
              <w:rPr>
                <w:rFonts w:hint="eastAsia" w:ascii="Times New Roman" w:hAnsi="Times New Roman" w:eastAsia="宋体"/>
                <w:b w:val="0"/>
                <w:sz w:val="21"/>
              </w:rPr>
              <w:t>设计选用脉冲式流量计SEN0549，</w:t>
            </w:r>
            <w:r>
              <w:rPr>
                <w:rFonts w:hint="eastAsia"/>
                <w:b w:val="0"/>
                <w:sz w:val="21"/>
                <w:lang w:val="en-US" w:eastAsia="zh-CN"/>
              </w:rPr>
              <w:t>其</w:t>
            </w:r>
            <w:r>
              <w:rPr>
                <w:rFonts w:hint="eastAsia" w:ascii="Times New Roman" w:hAnsi="Times New Roman" w:eastAsia="宋体"/>
                <w:b w:val="0"/>
                <w:sz w:val="21"/>
              </w:rPr>
              <w:t>为G1/4接口、量程0.3—5L/min、标称540脉冲/L、误差±1%、5V供电</w:t>
            </w:r>
            <w:r>
              <w:rPr>
                <w:rFonts w:hint="eastAsia"/>
                <w:b w:val="0"/>
                <w:sz w:val="21"/>
                <w:lang w:eastAsia="zh-CN"/>
              </w:rPr>
              <w:t>。</w:t>
            </w:r>
            <w:r>
              <w:rPr>
                <w:rFonts w:hint="eastAsia"/>
                <w:b w:val="0"/>
                <w:sz w:val="21"/>
                <w:lang w:val="en-US" w:eastAsia="zh-CN"/>
              </w:rPr>
              <w:t>其将被</w:t>
            </w:r>
            <w:r>
              <w:rPr>
                <w:rFonts w:hint="eastAsia" w:ascii="Times New Roman" w:hAnsi="Times New Roman" w:eastAsia="宋体"/>
                <w:b w:val="0"/>
                <w:sz w:val="21"/>
              </w:rPr>
              <w:t>安装</w:t>
            </w:r>
            <w:r>
              <w:rPr>
                <w:rFonts w:hint="eastAsia"/>
                <w:b w:val="0"/>
                <w:sz w:val="21"/>
                <w:lang w:val="en-US" w:eastAsia="zh-CN"/>
              </w:rPr>
              <w:t>于</w:t>
            </w:r>
            <w:r>
              <w:rPr>
                <w:rFonts w:hint="eastAsia" w:ascii="Times New Roman" w:hAnsi="Times New Roman" w:eastAsia="宋体"/>
                <w:b w:val="0"/>
                <w:sz w:val="21"/>
              </w:rPr>
              <w:t>测点P1下游、分流点之前，用于计量A支路正常出流与泄漏出流的总量。</w:t>
            </w:r>
          </w:p>
          <w:p w14:paraId="1D10DB40">
            <w:pPr>
              <w:spacing w:after="80"/>
              <w:ind w:firstLine="420"/>
              <w:jc w:val="both"/>
              <w:rPr>
                <w:rFonts w:hint="default" w:eastAsia="宋体"/>
                <w:highlight w:val="yellow"/>
                <w:lang w:val="en-US" w:eastAsia="zh-CN"/>
              </w:rPr>
            </w:pPr>
            <w:r>
              <w:rPr>
                <w:rFonts w:hint="eastAsia"/>
                <w:b w:val="0"/>
                <w:sz w:val="21"/>
                <w:lang w:val="en-US" w:eastAsia="zh-CN"/>
              </w:rPr>
              <w:t>同时，因为</w:t>
            </w:r>
            <w:r>
              <w:rPr>
                <w:rFonts w:hint="eastAsia" w:ascii="Times New Roman" w:hAnsi="Times New Roman" w:eastAsia="宋体"/>
                <w:b w:val="0"/>
                <w:sz w:val="21"/>
              </w:rPr>
              <w:t>该表在5V供电时脉冲高电平超过4.7V，超出主控3.3V输入范围，</w:t>
            </w:r>
            <w:r>
              <w:rPr>
                <w:rFonts w:hint="eastAsia"/>
                <w:b w:val="0"/>
                <w:sz w:val="21"/>
                <w:lang w:val="en-US" w:eastAsia="zh-CN"/>
              </w:rPr>
              <w:t>所以</w:t>
            </w:r>
            <w:r>
              <w:rPr>
                <w:rFonts w:hint="eastAsia" w:ascii="Times New Roman" w:hAnsi="Times New Roman" w:eastAsia="宋体"/>
                <w:b w:val="0"/>
                <w:sz w:val="21"/>
              </w:rPr>
              <w:t>其输出</w:t>
            </w:r>
            <w:r>
              <w:rPr>
                <w:rFonts w:hint="eastAsia"/>
                <w:b w:val="0"/>
                <w:sz w:val="21"/>
                <w:lang w:val="en-US" w:eastAsia="zh-CN"/>
              </w:rPr>
              <w:t>需要</w:t>
            </w:r>
            <w:r>
              <w:rPr>
                <w:rFonts w:hint="eastAsia" w:ascii="Times New Roman" w:hAnsi="Times New Roman" w:eastAsia="宋体"/>
                <w:b w:val="0"/>
                <w:sz w:val="21"/>
              </w:rPr>
              <w:t>经SN74LVC1G17施密特缓冲器整形后</w:t>
            </w:r>
            <w:r>
              <w:rPr>
                <w:rFonts w:hint="eastAsia"/>
                <w:b w:val="0"/>
                <w:sz w:val="21"/>
                <w:lang w:val="en-US" w:eastAsia="zh-CN"/>
              </w:rPr>
              <w:t>才能</w:t>
            </w:r>
            <w:r>
              <w:rPr>
                <w:rFonts w:hint="eastAsia" w:ascii="Times New Roman" w:hAnsi="Times New Roman" w:eastAsia="宋体"/>
                <w:b w:val="0"/>
                <w:sz w:val="21"/>
              </w:rPr>
              <w:t>接入PA0计数；缓冲器为3.3V供电、输入推荐范围至5.5V。按540脉冲/L计算，1秒窗口单脉冲对应0.11111L/min，10秒滚动窗口对应0.01111L/min。</w:t>
            </w:r>
            <w:r>
              <w:rPr>
                <w:rFonts w:hint="eastAsia" w:ascii="宋体" w:hAnsi="宋体" w:cs="宋体"/>
                <w:b w:val="0"/>
                <w:bCs w:val="1"/>
                <w:sz w:val="21"/>
                <w:lang w:val="en-US" w:eastAsia="zh-CN"/>
              </w:rPr>
              <w:t>SN74LVC1G17模块引脚</w:t>
            </w:r>
            <w:r>
              <w:rPr>
                <w:rFonts w:hint="eastAsia" w:ascii="Times New Roman" w:hAnsi="Times New Roman" w:eastAsia="宋体"/>
                <w:b w:val="0"/>
                <w:bCs w:val="1"/>
                <w:sz w:val="21"/>
              </w:rPr>
              <w:t>图</w:t>
            </w:r>
            <w:r>
              <w:rPr>
                <w:rFonts w:hint="eastAsia"/>
                <w:b w:val="0"/>
                <w:bCs w:val="1"/>
                <w:sz w:val="21"/>
                <w:lang w:val="en-US" w:eastAsia="zh-CN"/>
              </w:rPr>
              <w:t>如图3-5所示</w:t>
            </w:r>
          </w:p>
          <w:p w14:paraId="31C0D9AE">
            <w:pPr>
              <w:spacing w:after="80"/>
              <w:ind w:firstLine="420"/>
              <w:jc w:val="both"/>
              <w:rPr>
                <w:rFonts w:hint="default" w:ascii="Times New Roman" w:hAnsi="Times New Roman" w:eastAsia="宋体"/>
                <w:b w:val="0"/>
                <w:sz w:val="21"/>
                <w:lang w:val="en-US" w:eastAsia="zh-CN"/>
              </w:rPr>
            </w:pPr>
            <w:r>
              <w:rPr>
                <w:rFonts w:hint="eastAsia" w:ascii="Times New Roman" w:hAnsi="Times New Roman" w:eastAsia="宋体"/>
                <w:b w:val="0"/>
                <w:sz w:val="21"/>
              </w:rPr>
              <w:t>计数由TIM2完成，16位计数器在45Hz连续累加下约24.3分钟回绕一次，差分取模与长时间未读的溢出</w:t>
            </w:r>
            <w:r>
              <w:rPr>
                <w:rFonts w:hint="eastAsia"/>
                <w:b w:val="0"/>
                <w:sz w:val="21"/>
                <w:lang w:val="en-US" w:eastAsia="zh-CN"/>
              </w:rPr>
              <w:t>则</w:t>
            </w:r>
            <w:r>
              <w:rPr>
                <w:rFonts w:hint="eastAsia" w:ascii="Times New Roman" w:hAnsi="Times New Roman" w:eastAsia="宋体"/>
                <w:b w:val="0"/>
                <w:sz w:val="21"/>
              </w:rPr>
              <w:t>在固件中处理。此外</w:t>
            </w:r>
            <w:r>
              <w:rPr>
                <w:rFonts w:hint="eastAsia"/>
                <w:b w:val="0"/>
                <w:sz w:val="21"/>
                <w:lang w:val="en-US" w:eastAsia="zh-CN"/>
              </w:rPr>
              <w:t>需指明的是</w:t>
            </w:r>
            <w:r>
              <w:rPr>
                <w:rFonts w:hint="eastAsia" w:ascii="Times New Roman" w:hAnsi="Times New Roman" w:eastAsia="宋体"/>
                <w:b w:val="0"/>
                <w:sz w:val="21"/>
              </w:rPr>
              <w:t>，450脉冲/秒只是540脉冲/L下50L/min的算术保护上界，</w:t>
            </w:r>
            <w:r>
              <w:rPr>
                <w:rFonts w:hint="eastAsia"/>
                <w:b w:val="0"/>
                <w:sz w:val="21"/>
                <w:lang w:val="en-US" w:eastAsia="zh-CN"/>
              </w:rPr>
              <w:t>并</w:t>
            </w:r>
            <w:r>
              <w:rPr>
                <w:rFonts w:hint="eastAsia" w:ascii="Times New Roman" w:hAnsi="Times New Roman" w:eastAsia="宋体"/>
                <w:b w:val="0"/>
                <w:bCs w:val="1"/>
                <w:sz w:val="21"/>
              </w:rPr>
              <w:t>不</w:t>
            </w:r>
            <w:r>
              <w:rPr>
                <w:rFonts w:hint="eastAsia"/>
                <w:b w:val="0"/>
                <w:bCs w:val="1"/>
                <w:sz w:val="21"/>
                <w:lang w:val="en-US" w:eastAsia="zh-CN"/>
              </w:rPr>
              <w:t>会</w:t>
            </w:r>
            <w:r>
              <w:rPr>
                <w:rFonts w:hint="eastAsia" w:ascii="Times New Roman" w:hAnsi="Times New Roman" w:eastAsia="宋体"/>
                <w:b w:val="0"/>
                <w:bCs w:val="1"/>
                <w:sz w:val="21"/>
              </w:rPr>
              <w:t>扩展该表已知的0.3—5L/min精度域</w:t>
            </w:r>
            <w:r>
              <w:rPr>
                <w:rFonts w:hint="eastAsia" w:ascii="Times New Roman" w:hAnsi="Times New Roman" w:eastAsia="宋体"/>
                <w:b w:val="0"/>
                <w:sz w:val="21"/>
              </w:rPr>
              <w:t>。</w:t>
            </w:r>
            <w:r>
              <w:rPr>
                <w:rFonts w:hint="eastAsia"/>
                <w:b w:val="0"/>
                <w:sz w:val="21"/>
                <w:lang w:val="en-US" w:eastAsia="zh-CN"/>
              </w:rPr>
              <w:t>流量计实物图如图3-6所示。</w:t>
            </w:r>
          </w:p>
          <w:p w14:paraId="1511003A">
            <w:pPr>
              <w:spacing w:after="80"/>
              <w:ind w:firstLine="420"/>
              <w:jc w:val="center"/>
              <w:rPr>
                <w:rFonts w:ascii="Times New Roman" w:hAnsi="Times New Roman" w:eastAsia="宋体"/>
                <w:b w:val="0"/>
                <w:sz w:val="21"/>
              </w:rPr>
            </w:pPr>
            <w:r>
              <w:rPr>
                <w:rFonts w:ascii="宋体" w:hAnsi="宋体" w:eastAsia="宋体" w:cs="宋体"/>
                <w:sz w:val="24"/>
                <w:szCs w:val="24"/>
              </w:rPr>
              <w:drawing>
                <wp:inline distT="0" distB="0" distL="114300" distR="114300">
                  <wp:extent cx="1611630" cy="2073275"/>
                  <wp:effectExtent l="0" t="0" r="7620" b="10160"/>
                  <wp:docPr id="17" name="图片 15" descr="IMG_256"/>
                  <wp:cNvGraphicFramePr>
                    <a:graphicFrameLocks noChangeAspect="1"/>
                  </wp:cNvGraphicFramePr>
                  <a:graphic>
                    <a:graphicData uri="http://schemas.openxmlformats.org/drawingml/2006/picture">
                      <pic:pic>
                        <pic:nvPicPr>
                          <pic:cNvPr id="18" name="图片 15" descr="IMG_256"/>
                          <pic:cNvPicPr>
                            <a:picLocks noChangeAspect="1"/>
                          </pic:cNvPicPr>
                        </pic:nvPicPr>
                        <pic:blipFill>
                          <a:blip r:embed="rId11"/>
                          <a:stretch>
                            <a:fillRect/>
                          </a:stretch>
                        </pic:blipFill>
                        <pic:spPr>
                          <a:xfrm>
                            <a:off x="0" y="0"/>
                            <a:ext cx="1611630" cy="2073275"/>
                          </a:xfrm>
                          <a:prstGeom prst="rect">
                            <a:avLst/>
                          </a:prstGeom>
                          <a:noFill/>
                          <a:ln w="9525">
                            <a:noFill/>
                          </a:ln>
                        </pic:spPr>
                      </pic:pic>
                    </a:graphicData>
                  </a:graphic>
                </wp:inline>
              </w:drawing>
            </w:r>
            <w:r>
              <w:rPr>
                <w:rFonts w:hint="eastAsia"/>
                <w:lang w:val="en-US" w:eastAsia="zh-CN"/>
              </w:rPr>
              <w:t xml:space="preserve">              </w:t>
            </w:r>
            <w:r>
              <w:drawing>
                <wp:inline distT="0" distB="0" distL="114300" distR="114300">
                  <wp:extent cx="2172970" cy="2046605"/>
                  <wp:effectExtent l="0" t="0" r="7620" b="4445"/>
                  <wp:docPr id="20" name="图片 11"/>
                  <wp:cNvGraphicFramePr>
                    <a:graphicFrameLocks noChangeAspect="1"/>
                  </wp:cNvGraphicFramePr>
                  <a:graphic>
                    <a:graphicData uri="http://schemas.openxmlformats.org/drawingml/2006/picture">
                      <pic:pic>
                        <pic:nvPicPr>
                          <pic:cNvPr id="21" name="图片 11"/>
                          <pic:cNvPicPr>
                            <a:picLocks noChangeAspect="1"/>
                          </pic:cNvPicPr>
                        </pic:nvPicPr>
                        <pic:blipFill>
                          <a:blip r:embed="rId12"/>
                          <a:stretch>
                            <a:fillRect/>
                          </a:stretch>
                        </pic:blipFill>
                        <pic:spPr>
                          <a:xfrm>
                            <a:off x="0" y="0"/>
                            <a:ext cx="2172970" cy="2046605"/>
                          </a:xfrm>
                          <a:prstGeom prst="rect">
                            <a:avLst/>
                          </a:prstGeom>
                          <a:noFill/>
                          <a:ln>
                            <a:noFill/>
                          </a:ln>
                        </pic:spPr>
                      </pic:pic>
                    </a:graphicData>
                  </a:graphic>
                </wp:inline>
              </w:drawing>
            </w:r>
          </w:p>
          <w:p w14:paraId="1B981ACF">
            <w:pPr>
              <w:spacing w:before="80" w:after="120"/>
              <w:ind w:firstLine="0"/>
              <w:jc w:val="center"/>
              <w:rPr>
                <w:rFonts w:hint="eastAsia" w:eastAsia="宋体"/>
                <w:color w:val="0000FF"/>
                <w:lang w:val="en-US" w:eastAsia="zh-CN"/>
              </w:rPr>
            </w:pPr>
            <w:r>
              <w:rPr>
                <w:rFonts w:hint="eastAsia" w:ascii="宋体" w:hAnsi="宋体" w:eastAsia="宋体" w:cs="宋体"/>
                <w:b w:val="0"/>
                <w:bCs w:val="1"/>
                <w:sz w:val="21"/>
                <w:lang w:val="en-US" w:eastAsia="zh-CN"/>
              </w:rPr>
              <w:t xml:space="preserve">图3-5 </w:t>
            </w:r>
            <w:r>
              <w:rPr>
                <w:rFonts w:hint="eastAsia" w:ascii="宋体" w:hAnsi="宋体" w:cs="宋体"/>
                <w:b w:val="0"/>
                <w:bCs w:val="1"/>
                <w:sz w:val="21"/>
                <w:lang w:val="en-US" w:eastAsia="zh-CN"/>
              </w:rPr>
              <w:t>SN74LVC1G17模块引脚</w:t>
            </w:r>
            <w:r>
              <w:rPr>
                <w:rFonts w:hint="eastAsia" w:ascii="Times New Roman" w:hAnsi="Times New Roman" w:eastAsia="宋体"/>
                <w:b w:val="0"/>
                <w:bCs w:val="1"/>
                <w:sz w:val="21"/>
              </w:rPr>
              <w:t>图</w:t>
            </w:r>
            <w:r>
              <w:rPr>
                <w:rFonts w:hint="eastAsia" w:ascii="宋体" w:hAnsi="宋体" w:cs="宋体"/>
                <w:b w:val="0"/>
                <w:bCs w:val="1"/>
                <w:sz w:val="21"/>
                <w:lang w:val="en-US" w:eastAsia="zh-CN"/>
              </w:rPr>
              <w:t xml:space="preserve">         图3-6 </w:t>
            </w:r>
            <w:r>
              <w:rPr>
                <w:rFonts w:hint="eastAsia" w:ascii="宋体" w:hAnsi="宋体" w:eastAsia="宋体" w:cs="宋体"/>
                <w:b w:val="0"/>
                <w:bCs w:val="1"/>
                <w:sz w:val="21"/>
              </w:rPr>
              <w:t>SEN0549流量计实物图</w:t>
            </w:r>
          </w:p>
          <w:p w14:paraId="11D842A6">
            <w:pPr>
              <w:pStyle w:val="00001d"/>
              <w:bidi w:val="0"/>
            </w:pPr>
            <w:r>
              <w:rPr>
                <w:rFonts w:hint="eastAsia"/>
              </w:rPr>
              <w:t>（5）无线通信模块（E220-400T22D）</w:t>
            </w:r>
          </w:p>
          <w:p w14:paraId="66479AB2">
            <w:pPr>
              <w:spacing w:after="80"/>
              <w:ind w:firstLine="420"/>
              <w:jc w:val="both"/>
              <w:rPr>
                <w:rFonts w:hint="eastAsia" w:ascii="Times New Roman" w:hAnsi="Times New Roman" w:eastAsia="宋体"/>
                <w:b w:val="0"/>
                <w:sz w:val="21"/>
                <w:lang w:eastAsia="zh-CN"/>
              </w:rPr>
            </w:pPr>
            <w:r>
              <w:rPr>
                <w:rFonts w:hint="eastAsia" w:ascii="Times New Roman" w:hAnsi="Times New Roman" w:eastAsia="宋体"/>
                <w:b w:val="0"/>
                <w:sz w:val="21"/>
              </w:rPr>
              <w:t>本</w:t>
            </w:r>
            <w:r>
              <w:rPr>
                <w:rFonts w:hint="eastAsia"/>
                <w:b w:val="0"/>
                <w:sz w:val="21"/>
                <w:lang w:val="en-US" w:eastAsia="zh-CN"/>
              </w:rPr>
              <w:t>项目</w:t>
            </w:r>
            <w:r>
              <w:rPr>
                <w:rFonts w:hint="eastAsia" w:ascii="Times New Roman" w:hAnsi="Times New Roman" w:eastAsia="宋体"/>
                <w:b w:val="0"/>
                <w:sz w:val="21"/>
              </w:rPr>
              <w:t>通信链路设计选用</w:t>
            </w:r>
            <w:r>
              <w:rPr>
                <w:rFonts w:hint="eastAsia"/>
                <w:b w:val="0"/>
                <w:sz w:val="21"/>
                <w:lang w:val="en-US" w:eastAsia="zh-CN"/>
              </w:rPr>
              <w:t>两</w:t>
            </w:r>
            <w:r>
              <w:rPr>
                <w:rFonts w:hint="eastAsia" w:ascii="Times New Roman" w:hAnsi="Times New Roman" w:eastAsia="宋体"/>
                <w:b w:val="0"/>
                <w:sz w:val="21"/>
              </w:rPr>
              <w:t>只亿佰特E220-400T22D模块，一只装节点、一只装接收端。该模块为透明传输、UART接口，工作频段410—493MHz、最大发射功率≤10 dBm、SMA天线座、分包长度64B、空中速率2.4kbps</w:t>
            </w:r>
            <w:r>
              <w:rPr>
                <w:rFonts w:hint="eastAsia"/>
                <w:b w:val="0"/>
                <w:sz w:val="21"/>
                <w:lang w:eastAsia="zh-CN"/>
              </w:rPr>
              <w:t>、</w:t>
            </w:r>
            <w:r>
              <w:rPr>
                <w:rFonts w:hint="eastAsia" w:ascii="宋体" w:hAnsi="宋体" w:eastAsia="宋体" w:cs="宋体"/>
                <w:b w:val="0"/>
                <w:bCs w:val="1"/>
                <w:sz w:val="21"/>
              </w:rPr>
              <w:t>接收灵敏度</w:t>
            </w:r>
            <w:r>
              <w:rPr>
                <w:rFonts w:hint="eastAsia" w:ascii="宋体" w:hAnsi="宋体" w:eastAsia="宋体" w:cs="宋体"/>
                <w:b w:val="0"/>
                <w:bCs w:val="1"/>
                <w:i w:val="0"/>
                <w:iCs w:val="0"/>
                <w:caps w:val="0"/>
                <w:color w:val="444444"/>
                <w:spacing w:val="0"/>
                <w:sz w:val="21"/>
                <w:szCs w:val="21"/>
              </w:rPr>
              <w:t>-129dBm</w:t>
            </w:r>
            <w:r>
              <w:rPr>
                <w:rFonts w:hint="eastAsia" w:ascii="Times New Roman" w:hAnsi="Times New Roman" w:eastAsia="宋体"/>
                <w:b w:val="0"/>
                <w:sz w:val="21"/>
              </w:rPr>
              <w:t>。设计取UART 9600/8N1、M0/M1固定为00的透明传输模式，两端各配一根433MHz天线</w:t>
            </w:r>
            <w:r>
              <w:rPr>
                <w:rFonts w:hint="eastAsia"/>
                <w:b w:val="0"/>
                <w:sz w:val="21"/>
                <w:lang w:eastAsia="zh-CN"/>
              </w:rPr>
              <w:t>。</w:t>
            </w:r>
          </w:p>
          <w:p w14:paraId="13E6C587">
            <w:pPr>
              <w:spacing w:after="80"/>
              <w:ind w:firstLine="420"/>
              <w:jc w:val="both"/>
            </w:pPr>
            <w:r>
              <w:rPr>
                <w:rFonts w:hint="eastAsia" w:ascii="Times New Roman" w:hAnsi="Times New Roman" w:eastAsia="宋体"/>
                <w:b w:val="0"/>
                <w:sz w:val="21"/>
              </w:rPr>
              <w:t>模块由5V供电，但其UART与控制IO仍是3.3V</w:t>
            </w:r>
            <w:r>
              <w:rPr>
                <w:rFonts w:hint="eastAsia"/>
                <w:b w:val="0"/>
                <w:sz w:val="21"/>
                <w:lang w:eastAsia="zh-CN"/>
              </w:rPr>
              <w:t>。</w:t>
            </w:r>
            <w:r>
              <w:rPr>
                <w:rFonts w:hint="eastAsia" w:ascii="Times New Roman" w:hAnsi="Times New Roman" w:eastAsia="宋体"/>
                <w:b w:val="0"/>
                <w:sz w:val="21"/>
              </w:rPr>
              <w:t>应用层帧</w:t>
            </w:r>
            <w:r>
              <w:rPr>
                <w:rFonts w:hint="eastAsia"/>
                <w:b w:val="0"/>
                <w:sz w:val="21"/>
                <w:lang w:val="en-US" w:eastAsia="zh-CN"/>
              </w:rPr>
              <w:t>则</w:t>
            </w:r>
            <w:r>
              <w:rPr>
                <w:rFonts w:hint="eastAsia" w:ascii="Times New Roman" w:hAnsi="Times New Roman" w:eastAsia="宋体"/>
                <w:b w:val="0"/>
                <w:sz w:val="21"/>
              </w:rPr>
              <w:t>采用COBS定界（固定头16B＋载荷＋CRC16/CCITT-FALSE，初值0xffff），整数小端；事件身份由设备、会话与序号三元组确定，确认载荷4B为原事件头与载荷的CRC32指纹，用于识别内容是否被意外改动。</w:t>
            </w:r>
          </w:p>
          <w:p w14:paraId="1CCCB835">
            <w:pPr>
              <w:spacing w:after="80"/>
              <w:ind w:firstLine="420"/>
              <w:jc w:val="both"/>
              <w:rPr>
                <w:rFonts w:hint="eastAsia" w:eastAsia="宋体"/>
                <w:b w:val="0"/>
                <w:sz w:val="21"/>
                <w:highlight w:val="yellow"/>
                <w:lang w:val="en-US" w:eastAsia="zh-CN"/>
              </w:rPr>
            </w:pPr>
            <w:r>
              <w:rPr>
                <w:rFonts w:hint="eastAsia" w:ascii="Times New Roman" w:hAnsi="Times New Roman" w:eastAsia="宋体"/>
                <w:b w:val="0"/>
                <w:sz w:val="21"/>
              </w:rPr>
              <w:t>报文长度：精简帧口径为事件57B、遥测55B、确认24B，对应9600/8N1下约59.4、57.3与25ms的串口时间。</w:t>
            </w:r>
          </w:p>
          <w:p w14:paraId="1EBA36F1">
            <w:pPr>
              <w:pStyle w:val="00001d"/>
              <w:bidi w:val="0"/>
            </w:pPr>
            <w:r>
              <w:rPr>
                <w:rFonts w:hint="eastAsia"/>
              </w:rPr>
              <w:t>（6）日志存储模块（microSD）</w:t>
            </w:r>
          </w:p>
          <w:p w14:paraId="0A172812">
            <w:pPr>
              <w:spacing w:after="80"/>
              <w:ind w:firstLine="420"/>
              <w:jc w:val="both"/>
              <w:rPr>
                <w:rFonts w:hint="default" w:ascii="Times New Roman" w:hAnsi="Times New Roman" w:eastAsia="宋体"/>
                <w:b w:val="0"/>
                <w:sz w:val="21"/>
                <w:lang w:val="en-US"/>
              </w:rPr>
            </w:pPr>
            <w:r>
              <w:rPr>
                <w:rFonts w:hint="eastAsia" w:ascii="Times New Roman" w:hAnsi="Times New Roman" w:eastAsia="宋体"/>
                <w:b w:val="0"/>
                <w:sz w:val="21"/>
              </w:rPr>
              <w:t>在链路中断或掉电情况下，节点仍须保留异常发生时的原始记录，因此</w:t>
            </w:r>
            <w:r>
              <w:rPr>
                <w:rFonts w:hint="eastAsia"/>
                <w:b w:val="0"/>
                <w:sz w:val="21"/>
                <w:lang w:val="en-US" w:eastAsia="zh-CN"/>
              </w:rPr>
              <w:t>需要</w:t>
            </w:r>
            <w:r>
              <w:rPr>
                <w:rFonts w:hint="eastAsia" w:ascii="Times New Roman" w:hAnsi="Times New Roman" w:eastAsia="宋体"/>
                <w:b w:val="0"/>
                <w:sz w:val="21"/>
              </w:rPr>
              <w:t>配置本地日志存储。本</w:t>
            </w:r>
            <w:r>
              <w:rPr>
                <w:rFonts w:hint="eastAsia"/>
                <w:b w:val="0"/>
                <w:sz w:val="21"/>
                <w:lang w:val="en-US" w:eastAsia="zh-CN"/>
              </w:rPr>
              <w:t>项目</w:t>
            </w:r>
            <w:r>
              <w:rPr>
                <w:rFonts w:hint="eastAsia" w:ascii="Times New Roman" w:hAnsi="Times New Roman" w:eastAsia="宋体"/>
                <w:b w:val="0"/>
                <w:sz w:val="21"/>
              </w:rPr>
              <w:t>设计选用microSD模块（SPI、3.3V）一套，经SPI1占用PA4—PA7，分别作片选、时钟、MISO与MOSI，片选按普通GPIO</w:t>
            </w:r>
            <w:r>
              <w:rPr>
                <w:rFonts w:hint="eastAsia"/>
                <w:b w:val="0"/>
                <w:sz w:val="21"/>
                <w:lang w:val="en-US" w:eastAsia="zh-CN"/>
              </w:rPr>
              <w:t>方式进行</w:t>
            </w:r>
            <w:r>
              <w:rPr>
                <w:rFonts w:hint="eastAsia" w:ascii="Times New Roman" w:hAnsi="Times New Roman" w:eastAsia="宋体"/>
                <w:b w:val="0"/>
                <w:sz w:val="21"/>
              </w:rPr>
              <w:t>控制。写入策略上，存储写入不</w:t>
            </w:r>
            <w:r>
              <w:rPr>
                <w:rFonts w:hint="eastAsia"/>
                <w:b w:val="0"/>
                <w:sz w:val="21"/>
                <w:lang w:val="en-US" w:eastAsia="zh-CN"/>
              </w:rPr>
              <w:t>可以</w:t>
            </w:r>
            <w:r>
              <w:rPr>
                <w:rFonts w:hint="eastAsia" w:ascii="Times New Roman" w:hAnsi="Times New Roman" w:eastAsia="宋体"/>
                <w:b w:val="0"/>
                <w:sz w:val="21"/>
              </w:rPr>
              <w:t>阻塞流量计数与压力采集，单槽按64B原帧预留</w:t>
            </w:r>
            <w:r>
              <w:rPr>
                <w:rFonts w:hint="eastAsia"/>
                <w:b w:val="0"/>
                <w:sz w:val="21"/>
                <w:lang w:eastAsia="zh-CN"/>
              </w:rPr>
              <w:t>。</w:t>
            </w:r>
            <w:r>
              <w:rPr>
                <w:rFonts w:hint="eastAsia" w:ascii="宋体" w:hAnsi="宋体" w:cs="宋体"/>
                <w:b w:val="0"/>
                <w:bCs w:val="1"/>
                <w:sz w:val="21"/>
                <w:lang w:val="en-US" w:eastAsia="zh-CN"/>
              </w:rPr>
              <w:t>原理图如图3-7所示。</w:t>
            </w:r>
          </w:p>
          <w:p w14:paraId="3C7DBFE4">
            <w:pPr>
              <w:spacing w:after="80"/>
              <w:ind w:firstLine="420"/>
              <w:jc w:val="center"/>
              <w:rPr>
                <w:rFonts w:ascii="Times New Roman" w:hAnsi="Times New Roman" w:eastAsia="宋体"/>
                <w:b w:val="0"/>
                <w:sz w:val="21"/>
              </w:rPr>
            </w:pPr>
            <w:r>
              <w:drawing>
                <wp:inline distT="0" distB="0" distL="114300" distR="114300">
                  <wp:extent cx="2254885" cy="1544320"/>
                  <wp:effectExtent l="0" t="0" r="1270" b="10160"/>
                  <wp:docPr id="23" name="图片 12"/>
                  <wp:cNvGraphicFramePr>
                    <a:graphicFrameLocks noChangeAspect="1"/>
                  </wp:cNvGraphicFramePr>
                  <a:graphic>
                    <a:graphicData uri="http://schemas.openxmlformats.org/drawingml/2006/picture">
                      <pic:pic>
                        <pic:nvPicPr>
                          <pic:cNvPr id="24" name="图片 12"/>
                          <pic:cNvPicPr>
                            <a:picLocks noChangeAspect="1"/>
                          </pic:cNvPicPr>
                        </pic:nvPicPr>
                        <pic:blipFill>
                          <a:blip r:embed="rId13"/>
                          <a:stretch>
                            <a:fillRect/>
                          </a:stretch>
                        </pic:blipFill>
                        <pic:spPr>
                          <a:xfrm>
                            <a:off x="0" y="0"/>
                            <a:ext cx="2254885" cy="1544320"/>
                          </a:xfrm>
                          <a:prstGeom prst="rect">
                            <a:avLst/>
                          </a:prstGeom>
                          <a:noFill/>
                          <a:ln>
                            <a:noFill/>
                          </a:ln>
                        </pic:spPr>
                      </pic:pic>
                    </a:graphicData>
                  </a:graphic>
                </wp:inline>
              </w:drawing>
            </w:r>
          </w:p>
          <w:p w14:paraId="696F8659">
            <w:pPr>
              <w:spacing w:before="80" w:after="120"/>
              <w:ind w:firstLine="0"/>
              <w:jc w:val="center"/>
              <w:rPr>
                <w:rFonts w:hint="default" w:ascii="宋体" w:hAnsi="宋体" w:eastAsia="宋体" w:cs="宋体"/>
                <w:b w:val="0"/>
                <w:bCs w:val="1"/>
                <w:lang w:val="en-US" w:eastAsia="zh-CN"/>
              </w:rPr>
            </w:pPr>
            <w:r>
              <w:rPr>
                <w:rFonts w:hint="eastAsia" w:ascii="宋体" w:hAnsi="宋体" w:eastAsia="宋体" w:cs="宋体"/>
                <w:b w:val="0"/>
                <w:bCs w:val="1"/>
                <w:sz w:val="21"/>
                <w:lang w:val="en-US" w:eastAsia="zh-CN"/>
              </w:rPr>
              <w:t xml:space="preserve">图3-7 </w:t>
            </w:r>
            <w:r>
              <w:rPr>
                <w:rFonts w:hint="eastAsia" w:ascii="宋体" w:hAnsi="宋体" w:eastAsia="宋体" w:cs="宋体"/>
                <w:b w:val="0"/>
                <w:bCs w:val="1"/>
                <w:sz w:val="21"/>
              </w:rPr>
              <w:t>3.3VmicroSD模块</w:t>
            </w:r>
            <w:r>
              <w:rPr>
                <w:rFonts w:hint="eastAsia" w:ascii="宋体" w:hAnsi="宋体" w:cs="宋体"/>
                <w:b w:val="0"/>
                <w:bCs w:val="1"/>
                <w:sz w:val="21"/>
                <w:lang w:val="en-US" w:eastAsia="zh-CN"/>
              </w:rPr>
              <w:t>原理图</w:t>
            </w:r>
          </w:p>
          <w:p w14:paraId="24E83AE2">
            <w:pPr>
              <w:pStyle w:val="00001d"/>
              <w:bidi w:val="0"/>
              <w:rPr>
                <w:rFonts w:hint="default"/>
                <w:lang w:val="en-US" w:eastAsia="zh-CN"/>
              </w:rPr>
            </w:pPr>
            <w:r>
              <w:rPr>
                <w:rFonts w:hint="eastAsia"/>
              </w:rPr>
              <w:t>（7）供电与电气防护</w:t>
            </w:r>
          </w:p>
          <w:p w14:paraId="538AE94E">
            <w:pPr>
              <w:spacing w:after="80"/>
              <w:ind w:firstLine="420"/>
              <w:jc w:val="both"/>
            </w:pPr>
            <w:r>
              <w:rPr>
                <w:rFonts w:hint="eastAsia" w:ascii="Times New Roman" w:hAnsi="Times New Roman" w:eastAsia="宋体"/>
                <w:b w:val="0"/>
                <w:sz w:val="21"/>
              </w:rPr>
              <w:t>上述模块分属24V、5V与3.3V三个电压域，供电按三级链路组织：220V交流市电经24V/1A适配器进入台架，再经XL4015降至5V/2A，最后经MP2359降至3.3V/1A。24V供差压变送器与干管参照两路电流回路（正常各≤20mA、合计≤40mA）；5V供无线模块与流量计，其UART与控制IO则由3.3V供给；3.3V供主控、模数转换、缓冲器与存储。根据设计预留，5V与3.3V两路均不低于1A，接收端另配5V不低于0.5A。</w:t>
            </w:r>
          </w:p>
          <w:p w14:paraId="2CC00C14">
            <w:pPr>
              <w:spacing w:after="80"/>
              <w:ind w:firstLine="0"/>
              <w:jc w:val="left"/>
              <w:outlineLvl w:val="2"/>
            </w:pPr>
            <w:r>
              <w:rPr>
                <w:rFonts w:hint="eastAsia" w:ascii="Times New Roman" w:hAnsi="Times New Roman" w:eastAsia="宋体"/>
                <w:b w:val="1"/>
                <w:sz w:val="21"/>
              </w:rPr>
              <w:t>3.3.3. 测量平台与水力模型</w:t>
            </w:r>
          </w:p>
          <w:p w14:paraId="511E11EA">
            <w:pPr>
              <w:spacing w:after="80"/>
              <w:ind w:firstLine="420"/>
              <w:jc w:val="both"/>
            </w:pPr>
            <w:r>
              <w:rPr>
                <w:rFonts w:hint="eastAsia"/>
                <w:b w:val="0"/>
                <w:sz w:val="21"/>
                <w:lang w:val="en-US" w:eastAsia="zh-CN"/>
              </w:rPr>
              <w:t>本处主要说明</w:t>
            </w:r>
            <w:r>
              <w:rPr>
                <w:rFonts w:hint="eastAsia" w:ascii="Times New Roman" w:hAnsi="Times New Roman" w:eastAsia="宋体"/>
                <w:b w:val="0"/>
                <w:sz w:val="21"/>
              </w:rPr>
              <w:t>测点在水路中的位置与可用的水力关系，前者决定三个测点能否把“入口—区段—下游”分开，后者</w:t>
            </w:r>
            <w:r>
              <w:rPr>
                <w:rFonts w:hint="eastAsia"/>
                <w:b w:val="0"/>
                <w:sz w:val="21"/>
                <w:lang w:val="en-US" w:eastAsia="zh-CN"/>
              </w:rPr>
              <w:t>则</w:t>
            </w:r>
            <w:r>
              <w:rPr>
                <w:rFonts w:hint="eastAsia" w:ascii="Times New Roman" w:hAnsi="Times New Roman" w:eastAsia="宋体"/>
                <w:b w:val="0"/>
                <w:sz w:val="21"/>
              </w:rPr>
              <w:t>决定观测值如何折算成可解释的特征。</w:t>
            </w:r>
          </w:p>
          <w:p w14:paraId="686DEF6E">
            <w:pPr>
              <w:pStyle w:val="00001d"/>
              <w:bidi w:val="0"/>
            </w:pPr>
            <w:r>
              <w:rPr>
                <w:rFonts w:hint="eastAsia"/>
              </w:rPr>
              <w:t>（1）清水台架与水力件</w:t>
            </w:r>
          </w:p>
          <w:p w14:paraId="3DF93DF1">
            <w:pPr>
              <w:spacing w:after="80"/>
              <w:ind w:firstLine="420"/>
              <w:jc w:val="both"/>
              <w:rPr>
                <w:rFonts w:hint="default" w:eastAsia="宋体"/>
                <w:highlight w:val="yellow"/>
                <w:lang w:val="en-US" w:eastAsia="zh-CN"/>
              </w:rPr>
            </w:pPr>
            <w:r>
              <w:rPr>
                <w:rFonts w:hint="eastAsia" w:ascii="Times New Roman" w:hAnsi="Times New Roman" w:eastAsia="宋体"/>
                <w:b w:val="0"/>
                <w:sz w:val="21"/>
              </w:rPr>
              <w:t>上述节点需要在可控水力条件下验证，因此</w:t>
            </w:r>
            <w:r>
              <w:rPr>
                <w:rFonts w:hint="eastAsia"/>
                <w:b w:val="0"/>
                <w:sz w:val="21"/>
                <w:lang w:val="en-US" w:eastAsia="zh-CN"/>
              </w:rPr>
              <w:t>实验采用</w:t>
            </w:r>
            <w:r>
              <w:rPr>
                <w:rFonts w:hint="eastAsia" w:ascii="Times New Roman" w:hAnsi="Times New Roman" w:eastAsia="宋体"/>
                <w:b w:val="0"/>
                <w:sz w:val="21"/>
              </w:rPr>
              <w:t>共用水源的可调清水台架。台架分A、B两支路：A支路为被测支管，水流依次经过P0侧向取压接口、受限元件R、P1侧向取压接口与流量计Q，随后分为正常出流与泄漏旁路，其中受限元件R为可调阻力件，泄漏旁路为调节阀；B支路以切换阀与可调负载</w:t>
            </w:r>
            <w:r>
              <w:rPr>
                <w:rFonts w:hint="eastAsia"/>
                <w:b w:val="0"/>
                <w:sz w:val="21"/>
                <w:lang w:val="en-US" w:eastAsia="zh-CN"/>
              </w:rPr>
              <w:t>用以</w:t>
            </w:r>
            <w:r>
              <w:rPr>
                <w:rFonts w:hint="eastAsia" w:ascii="Times New Roman" w:hAnsi="Times New Roman" w:eastAsia="宋体"/>
                <w:b w:val="0"/>
                <w:sz w:val="21"/>
              </w:rPr>
              <w:t>模拟另一支管。</w:t>
            </w:r>
            <w:r>
              <w:rPr>
                <w:rFonts w:hint="eastAsia" w:ascii="Times New Roman" w:hAnsi="Times New Roman" w:cs="Times New Roman"/>
                <w:b w:val="0"/>
                <w:bCs w:val="1"/>
                <w:sz w:val="21"/>
                <w:szCs w:val="28"/>
                <w:lang w:val="en-US" w:eastAsia="zh-CN"/>
              </w:rPr>
              <w:t>双支路验证台架三维布局如图3-</w:t>
            </w:r>
            <w:r>
              <w:rPr>
                <w:rFonts w:hint="eastAsia" w:cs="Times New Roman"/>
                <w:b w:val="0"/>
                <w:bCs w:val="1"/>
                <w:sz w:val="21"/>
                <w:szCs w:val="28"/>
                <w:lang w:val="en-US" w:eastAsia="zh-CN"/>
              </w:rPr>
              <w:t>8</w:t>
            </w:r>
            <w:r>
              <w:rPr>
                <w:rFonts w:hint="eastAsia" w:ascii="Times New Roman" w:hAnsi="Times New Roman" w:cs="Times New Roman"/>
                <w:b w:val="0"/>
                <w:bCs w:val="1"/>
                <w:sz w:val="21"/>
                <w:szCs w:val="28"/>
                <w:lang w:val="en-US" w:eastAsia="zh-CN"/>
              </w:rPr>
              <w:t>所示。</w:t>
            </w:r>
          </w:p>
          <w:p w14:paraId="7B36A1D8">
            <w:pPr>
              <w:spacing w:after="80"/>
              <w:ind w:firstLine="420"/>
              <w:jc w:val="both"/>
              <w:rPr>
                <w:rFonts w:ascii="Times New Roman" w:hAnsi="Times New Roman" w:eastAsia="宋体"/>
                <w:b w:val="0"/>
                <w:sz w:val="21"/>
              </w:rPr>
            </w:pPr>
            <w:r>
              <w:rPr>
                <w:rFonts w:hint="eastAsia" w:ascii="Times New Roman" w:hAnsi="Times New Roman" w:eastAsia="宋体"/>
                <w:b w:val="0"/>
                <w:sz w:val="21"/>
              </w:rPr>
              <w:t>管路</w:t>
            </w:r>
            <w:r>
              <w:rPr>
                <w:rFonts w:hint="eastAsia"/>
                <w:b w:val="0"/>
                <w:sz w:val="21"/>
                <w:lang w:val="en-US" w:eastAsia="zh-CN"/>
              </w:rPr>
              <w:t>为</w:t>
            </w:r>
            <w:r>
              <w:rPr>
                <w:rFonts w:ascii="Times New Roman" w:hAnsi="Times New Roman" w:eastAsia="宋体"/>
                <w:b w:val="0"/>
                <w:sz w:val="21"/>
              </w:rPr>
              <w:t>De25PVC-U</w:t>
            </w:r>
            <w:r>
              <w:rPr>
                <w:rFonts w:hint="eastAsia"/>
                <w:b w:val="0"/>
                <w:sz w:val="21"/>
                <w:lang w:eastAsia="zh-CN"/>
              </w:rPr>
              <w:t>，</w:t>
            </w:r>
            <w:r>
              <w:rPr>
                <w:rFonts w:hint="eastAsia"/>
                <w:b w:val="0"/>
                <w:sz w:val="21"/>
                <w:lang w:val="en-US" w:eastAsia="zh-CN"/>
              </w:rPr>
              <w:t>其</w:t>
            </w:r>
            <w:r>
              <w:rPr>
                <w:rFonts w:hint="eastAsia" w:ascii="Times New Roman" w:hAnsi="Times New Roman" w:eastAsia="宋体"/>
                <w:b w:val="0"/>
                <w:sz w:val="21"/>
              </w:rPr>
              <w:t>外径20mm、内径16mm，中心高140mm</w:t>
            </w:r>
            <w:r>
              <w:rPr>
                <w:rFonts w:hint="eastAsia"/>
                <w:b w:val="0"/>
                <w:sz w:val="21"/>
                <w:lang w:eastAsia="zh-CN"/>
              </w:rPr>
              <w:t>，</w:t>
            </w:r>
            <w:r>
              <w:rPr>
                <w:rFonts w:hint="eastAsia" w:ascii="Times New Roman" w:hAnsi="Times New Roman" w:eastAsia="宋体"/>
                <w:b w:val="0"/>
                <w:sz w:val="21"/>
              </w:rPr>
              <w:t>框架为900×520mm铝型材。独立泄漏计量用开口收集容器，内腔半径60mm、高60mm，几何容量678.6mL。双支路清水台架水路与测点布置如图3-</w:t>
            </w:r>
            <w:r>
              <w:rPr>
                <w:rFonts w:hint="eastAsia"/>
                <w:b w:val="0"/>
                <w:sz w:val="21"/>
                <w:lang w:val="en-US" w:eastAsia="zh-CN"/>
              </w:rPr>
              <w:t>9</w:t>
            </w:r>
            <w:r>
              <w:rPr>
                <w:rFonts w:hint="eastAsia" w:ascii="Times New Roman" w:hAnsi="Times New Roman" w:eastAsia="宋体"/>
                <w:b w:val="0"/>
                <w:sz w:val="21"/>
              </w:rPr>
              <w:t>所示。</w:t>
            </w:r>
          </w:p>
          <w:p w14:paraId="18214B5B">
            <w:pPr>
              <w:spacing w:after="80"/>
              <w:ind w:firstLine="420"/>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drawing>
                <wp:inline distT="0" distB="0" distL="114300" distR="114300">
                  <wp:extent cx="5397500" cy="3530600"/>
                  <wp:effectExtent l="0" t="0" r="0" b="10160"/>
                  <wp:docPr id="26" name="图片 5" descr="图3 验证台架三维布局设计"/>
                  <wp:cNvGraphicFramePr>
                    <a:graphicFrameLocks noChangeAspect="1"/>
                  </wp:cNvGraphicFramePr>
                  <a:graphic>
                    <a:graphicData uri="http://schemas.openxmlformats.org/drawingml/2006/picture">
                      <pic:pic>
                        <pic:nvPicPr>
                          <pic:cNvPr id="27" name="图片 5" descr="图3 验证台架三维布局设计"/>
                          <pic:cNvPicPr>
                            <a:picLocks noChangeAspect="1"/>
                          </pic:cNvPicPr>
                        </pic:nvPicPr>
                        <pic:blipFill>
                          <a:blip r:embed="rId14"/>
                          <a:stretch>
                            <a:fillRect/>
                          </a:stretch>
                        </pic:blipFill>
                        <pic:spPr>
                          <a:xfrm>
                            <a:off x="0" y="0"/>
                            <a:ext cx="5397500" cy="3530600"/>
                          </a:xfrm>
                          <a:prstGeom prst="rect">
                            <a:avLst/>
                          </a:prstGeom>
                          <a:noFill/>
                          <a:ln>
                            <a:noFill/>
                          </a:ln>
                        </pic:spPr>
                      </pic:pic>
                    </a:graphicData>
                  </a:graphic>
                </wp:inline>
              </w:drawing>
            </w:r>
          </w:p>
          <w:p w14:paraId="1BACB289">
            <w:pPr>
              <w:pStyle w:val="000020"/>
              <w:keepNext w:val="0"/>
              <w:keepLines w:val="0"/>
              <w:pageBreakBefore w:val="0"/>
              <w:widowControl w:val="1"/>
              <w:kinsoku w:val="1"/>
              <w:wordWrap w:val="1"/>
              <w:overflowPunct w:val="1"/>
              <w:topLinePunct w:val="0"/>
              <w:autoSpaceDE w:val="1"/>
              <w:autoSpaceDN w:val="1"/>
              <w:bidi w:val="0"/>
              <w:adjustRightInd w:val="1"/>
              <w:snapToGrid w:val="1"/>
              <w:spacing w:after="8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图3-8双支路验证台架三维布局</w:t>
            </w:r>
          </w:p>
          <w:p w14:paraId="51E3BF48">
            <w:pPr>
              <w:spacing w:before="80" w:after="40"/>
              <w:ind w:firstLine="0"/>
              <w:jc w:val="center"/>
            </w:pPr>
            <w:r>
              <w:rPr>
                <w:rFonts w:hint="default" w:ascii="Times New Roman" w:hAnsi="Times New Roman" w:eastAsia="宋体" w:cs="Times New Roman"/>
                <w:sz w:val="21"/>
                <w:szCs w:val="28"/>
                <w:lang w:val="en-US" w:eastAsia="zh-CN"/>
              </w:rPr>
              <w:drawing>
                <wp:inline distT="0" distB="0" distL="114300" distR="114300">
                  <wp:extent cx="5397500" cy="2045970"/>
                  <wp:effectExtent l="0" t="0" r="0" b="5080"/>
                  <wp:docPr id="29" name="图片 4" descr="图2 双支路台架水路与测点布置"/>
                  <wp:cNvGraphicFramePr>
                    <a:graphicFrameLocks noChangeAspect="1"/>
                  </wp:cNvGraphicFramePr>
                  <a:graphic>
                    <a:graphicData uri="http://schemas.openxmlformats.org/drawingml/2006/picture">
                      <pic:pic>
                        <pic:nvPicPr>
                          <pic:cNvPr id="30" name="图片 4" descr="图2 双支路台架水路与测点布置"/>
                          <pic:cNvPicPr>
                            <a:picLocks noChangeAspect="1"/>
                          </pic:cNvPicPr>
                        </pic:nvPicPr>
                        <pic:blipFill>
                          <a:blip r:embed="rId15"/>
                          <a:stretch>
                            <a:fillRect/>
                          </a:stretch>
                        </pic:blipFill>
                        <pic:spPr>
                          <a:xfrm>
                            <a:off x="0" y="0"/>
                            <a:ext cx="5397500" cy="2045970"/>
                          </a:xfrm>
                          <a:prstGeom prst="rect">
                            <a:avLst/>
                          </a:prstGeom>
                          <a:noFill/>
                          <a:ln>
                            <a:noFill/>
                          </a:ln>
                        </pic:spPr>
                      </pic:pic>
                    </a:graphicData>
                  </a:graphic>
                </wp:inline>
              </w:drawing>
            </w:r>
          </w:p>
          <w:p w14:paraId="3275D6CC">
            <w:pPr>
              <w:spacing w:after="120"/>
              <w:ind w:firstLine="0"/>
              <w:jc w:val="center"/>
              <w:rPr>
                <w:rFonts w:ascii="Times New Roman" w:hAnsi="Times New Roman" w:eastAsia="宋体"/>
                <w:b w:val="0"/>
                <w:sz w:val="21"/>
              </w:rPr>
            </w:pPr>
            <w:r>
              <w:rPr>
                <w:rFonts w:hint="eastAsia" w:ascii="Times New Roman" w:hAnsi="Times New Roman" w:eastAsia="宋体"/>
                <w:b w:val="0"/>
                <w:sz w:val="21"/>
              </w:rPr>
              <w:t>图3-</w:t>
            </w:r>
            <w:r>
              <w:rPr>
                <w:rFonts w:hint="eastAsia"/>
                <w:b w:val="0"/>
                <w:sz w:val="21"/>
                <w:lang w:val="en-US" w:eastAsia="zh-CN"/>
              </w:rPr>
              <w:t>9</w:t>
            </w:r>
            <w:r>
              <w:rPr>
                <w:rFonts w:hint="eastAsia" w:ascii="Times New Roman" w:hAnsi="Times New Roman" w:eastAsia="宋体"/>
                <w:b w:val="0"/>
                <w:sz w:val="21"/>
              </w:rPr>
              <w:t xml:space="preserve"> 双支路清水台架水路</w:t>
            </w:r>
            <w:r>
              <w:rPr>
                <w:rFonts w:hint="eastAsia" w:ascii="Times New Roman" w:hAnsi="Times New Roman" w:cs="Times New Roman"/>
                <w:sz w:val="21"/>
                <w:szCs w:val="28"/>
                <w:lang w:val="en-US" w:eastAsia="zh-CN"/>
              </w:rPr>
              <w:t>与测点布置</w:t>
            </w:r>
          </w:p>
          <w:p w14:paraId="7A2B8472">
            <w:pPr>
              <w:pStyle w:val="00001d"/>
              <w:bidi w:val="0"/>
            </w:pPr>
            <w:r>
              <w:rPr>
                <w:rFonts w:hint="eastAsia"/>
              </w:rPr>
              <w:t>（2）水力模型与可解释特征</w:t>
            </w:r>
          </w:p>
          <w:p w14:paraId="24DE266C">
            <w:pPr>
              <w:spacing w:after="80"/>
              <w:ind w:firstLine="420"/>
              <w:jc w:val="both"/>
            </w:pPr>
            <w:r>
              <w:rPr>
                <w:rFonts w:hint="eastAsia" w:ascii="Times New Roman" w:hAnsi="Times New Roman" w:eastAsia="宋体"/>
                <w:b w:val="0"/>
                <w:sz w:val="21"/>
              </w:rPr>
              <w:t>为</w:t>
            </w:r>
            <w:r>
              <w:rPr>
                <w:rFonts w:hint="eastAsia"/>
                <w:b w:val="0"/>
                <w:sz w:val="21"/>
                <w:lang w:val="en-US" w:eastAsia="zh-CN"/>
              </w:rPr>
              <w:t>方便</w:t>
            </w:r>
            <w:r>
              <w:rPr>
                <w:rFonts w:hint="eastAsia" w:ascii="Times New Roman" w:hAnsi="Times New Roman" w:eastAsia="宋体"/>
                <w:b w:val="0"/>
                <w:sz w:val="21"/>
              </w:rPr>
              <w:t>台架工况与观测联系起来，水力关系采用集中参数模型，</w:t>
            </w:r>
            <w:r>
              <w:rPr>
                <w:rFonts w:hint="eastAsia"/>
                <w:b w:val="0"/>
                <w:sz w:val="21"/>
                <w:lang w:val="en-US" w:eastAsia="zh-CN"/>
              </w:rPr>
              <w:t>将</w:t>
            </w:r>
            <w:r>
              <w:rPr>
                <w:rFonts w:hint="eastAsia" w:ascii="Times New Roman" w:hAnsi="Times New Roman" w:eastAsia="宋体"/>
                <w:b w:val="0"/>
                <w:sz w:val="21"/>
              </w:rPr>
              <w:t>监测区段与下游负载分别等效为阻力与导纳：</w:t>
            </w:r>
          </w:p>
          <w:p w14:paraId="7C013DAF">
            <w:pPr>
              <w:tabs>
                <w:tab w:val="center" w:pos="4156"/>
                <w:tab w:val="right" w:pos="8312"/>
              </w:tabs>
              <w:spacing w:after="80"/>
              <w:ind w:firstLine="0"/>
              <w:jc w:val="left"/>
            </w:pPr>
            <w:r>
              <w:rPr>
                <w:rFonts w:ascii="Times New Roman" w:hAnsi="Times New Roman" w:eastAsia="宋体"/>
                <w:b w:val="0"/>
                <w:sz w:val="21"/>
              </w:rPr>
              <w:tab/>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 R·</m:t>
              </m:r>
              <m:sSup>
                <m:sSupPr>
                  <m:ctrlPr>
                    <w:rPr>
                      <w:rFonts w:ascii="Cambria Math" w:hAnsi="Cambria Math"/>
                    </w:rPr>
                  </m:ctrlPr>
                </m:sSupPr>
                <m:e>
                  <m:r>
                    <m:rPr/>
                    <w:rPr>
                      <w:rFonts w:ascii="Cambria Math" w:hAnsi="Cambria Math"/>
                    </w:rPr>
                    <m:t>Q</m:t>
                  </m:r>
                  <m:ctrlPr>
                    <w:rPr>
                      <w:rFonts w:ascii="Cambria Math" w:hAnsi="Cambria Math"/>
                    </w:rPr>
                  </m:ctrlPr>
                </m:e>
                <m:sup>
                  <m:r>
                    <m:rPr/>
                    <w:rPr>
                      <w:rFonts w:ascii="Cambria Math" w:hAnsi="Cambria Math"/>
                    </w:rPr>
                    <m:t>2</m:t>
                  </m:r>
                  <m:ctrlPr>
                    <w:rPr>
                      <w:rFonts w:ascii="Cambria Math" w:hAnsi="Cambria Math"/>
                    </w:rPr>
                  </m:ctrlPr>
                </m:sup>
              </m:sSup>
            </m:oMath>
            <w:r>
              <w:rPr>
                <w:rFonts w:hint="eastAsia" w:ascii="Times New Roman" w:hAnsi="Times New Roman" w:eastAsia="宋体"/>
                <w:b w:val="0"/>
                <w:sz w:val="21"/>
              </w:rPr>
              <w:tab/>
              <w:t>（3-1）</w:t>
            </w:r>
          </w:p>
          <w:p w14:paraId="6D8C99F1">
            <w:pPr>
              <w:tabs>
                <w:tab w:val="center" w:pos="4156"/>
                <w:tab w:val="right" w:pos="8312"/>
              </w:tabs>
              <w:spacing w:after="80"/>
              <w:ind w:firstLine="0"/>
              <w:jc w:val="left"/>
            </w:pPr>
            <w:r>
              <w:rPr>
                <w:rFonts w:ascii="Times New Roman" w:hAnsi="Times New Roman" w:eastAsia="宋体"/>
                <w:b w:val="0"/>
                <w:sz w:val="21"/>
              </w:rPr>
              <w:tab/>
            </w:r>
            <m:oMath>
              <m:r>
                <m:rPr/>
                <w:rPr>
                  <w:rFonts w:ascii="Cambria Math" w:hAnsi="Cambria Math"/>
                </w:rPr>
                <m:t>Q= (</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e>
              </m:rad>
            </m:oMath>
            <w:r>
              <w:rPr>
                <w:rFonts w:hint="eastAsia" w:ascii="Times New Roman" w:hAnsi="Times New Roman" w:eastAsia="宋体"/>
                <w:b w:val="0"/>
                <w:sz w:val="21"/>
              </w:rPr>
              <w:tab/>
              <w:t>（3-2）</w:t>
            </w:r>
          </w:p>
          <w:p w14:paraId="7635792D">
            <w:pPr>
              <w:spacing w:after="80"/>
              <w:ind w:firstLine="420"/>
              <w:jc w:val="both"/>
            </w:pPr>
            <w:r>
              <w:rPr>
                <w:rFonts w:hint="eastAsia" w:ascii="Times New Roman" w:hAnsi="Times New Roman" w:eastAsia="宋体"/>
                <w:b w:val="0"/>
                <w:sz w:val="21"/>
              </w:rPr>
              <w:t>式中，P0、P1为两测点压力（kPa），Q为测点总流量（L/min），R为监测区段等效阻力（kPa/(L/min)²），C</w:t>
            </w:r>
            <w:r>
              <w:rPr>
                <w:rFonts w:ascii="Times New Roman" w:hAnsi="Times New Roman" w:eastAsia="宋体"/>
                <w:b w:val="0"/>
                <w:sz w:val="21"/>
                <w:vertAlign w:val="subscript"/>
              </w:rPr>
              <w:t>n</w:t>
            </w:r>
            <w:r>
              <w:rPr>
                <w:rFonts w:hint="eastAsia" w:ascii="Times New Roman" w:hAnsi="Times New Roman" w:eastAsia="宋体"/>
                <w:b w:val="0"/>
                <w:sz w:val="21"/>
              </w:rPr>
              <w:t>为正常负载系数、C</w:t>
            </w:r>
            <w:r>
              <w:rPr>
                <w:rFonts w:ascii="Times New Roman" w:hAnsi="Times New Roman" w:eastAsia="宋体"/>
                <w:b w:val="0"/>
                <w:sz w:val="21"/>
                <w:vertAlign w:val="subscript"/>
              </w:rPr>
              <w:t>l</w:t>
            </w:r>
            <w:r>
              <w:rPr>
                <w:rFonts w:hint="eastAsia" w:ascii="Times New Roman" w:hAnsi="Times New Roman" w:eastAsia="宋体"/>
                <w:b w:val="0"/>
                <w:sz w:val="21"/>
              </w:rPr>
              <w:t>为附加泄漏系数（(L/min)/√kPa）。式3-1来自节流件流量与压差的平方根关系，对两测点之间的局部节流（受限元件R）成立；若该段损失以管壁沿程摩擦为主，经验指数应在1.75—1.85之间。式3-2即灌水器流量式取流态指数0.5，适用于紊流或孔口型灌水器</w:t>
            </w:r>
            <w:r>
              <w:rPr>
                <w:rFonts w:hint="eastAsia"/>
                <w:b w:val="0"/>
                <w:sz w:val="21"/>
                <w:lang w:eastAsia="zh-CN"/>
              </w:rPr>
              <w:t>。</w:t>
            </w:r>
            <w:r>
              <w:rPr>
                <w:rFonts w:hint="eastAsia"/>
                <w:b w:val="0"/>
                <w:sz w:val="21"/>
                <w:lang w:val="en-US" w:eastAsia="zh-CN"/>
              </w:rPr>
              <w:t>目</w:t>
            </w:r>
            <w:r>
              <w:rPr>
                <w:rFonts w:hint="eastAsia" w:ascii="Times New Roman" w:hAnsi="Times New Roman" w:eastAsia="宋体"/>
                <w:b w:val="0"/>
                <w:sz w:val="21"/>
              </w:rPr>
              <w:t>前设计取健康状态C</w:t>
            </w:r>
            <w:r>
              <w:rPr>
                <w:rFonts w:ascii="Times New Roman" w:hAnsi="Times New Roman" w:eastAsia="宋体"/>
                <w:b w:val="0"/>
                <w:sz w:val="21"/>
                <w:vertAlign w:val="subscript"/>
              </w:rPr>
              <w:t>n</w:t>
            </w:r>
            <w:r>
              <w:rPr>
                <w:rFonts w:hint="eastAsia" w:ascii="Times New Roman" w:hAnsi="Times New Roman" w:eastAsia="宋体"/>
                <w:b w:val="0"/>
                <w:sz w:val="21"/>
              </w:rPr>
              <w:t>=0.28、R=0.8，泄漏时总负载系数由0.28逐渐增至0.37，受限时R由0.8逐渐增至8。</w:t>
            </w:r>
          </w:p>
          <w:p w14:paraId="1385009A">
            <w:pPr>
              <w:spacing w:after="80"/>
              <w:ind w:firstLine="0"/>
              <w:jc w:val="left"/>
              <w:outlineLvl w:val="2"/>
            </w:pPr>
            <w:r>
              <w:rPr>
                <w:rFonts w:hint="eastAsia" w:ascii="Times New Roman" w:hAnsi="Times New Roman" w:eastAsia="宋体"/>
                <w:b w:val="1"/>
                <w:sz w:val="21"/>
              </w:rPr>
              <w:t>3.3.4. 软件模块设计</w:t>
            </w:r>
          </w:p>
          <w:p w14:paraId="7070FB44">
            <w:pPr>
              <w:spacing w:after="80"/>
              <w:ind w:firstLine="420"/>
              <w:jc w:val="both"/>
              <w:rPr>
                <w:rFonts w:hint="eastAsia" w:eastAsia="宋体"/>
                <w:lang w:eastAsia="zh-CN"/>
              </w:rPr>
            </w:pPr>
            <w:r>
              <w:rPr>
                <w:rFonts w:hint="eastAsia" w:ascii="Times New Roman" w:hAnsi="Times New Roman" w:eastAsia="宋体"/>
                <w:b w:val="0"/>
                <w:sz w:val="21"/>
              </w:rPr>
              <w:t>判断、上报与核查在这一组内闭环。节点侧只做有限判断并留存证据，计算机侧负责持久化与人工核查，两侧通过事件与确认衔接</w:t>
            </w:r>
            <w:r>
              <w:rPr>
                <w:rFonts w:hint="eastAsia"/>
                <w:b w:val="0"/>
                <w:sz w:val="21"/>
                <w:lang w:eastAsia="zh-CN"/>
              </w:rPr>
              <w:t>。</w:t>
            </w:r>
          </w:p>
          <w:p w14:paraId="2C7E04D0">
            <w:pPr>
              <w:pStyle w:val="00001d"/>
              <w:bidi w:val="0"/>
            </w:pPr>
            <w:r>
              <w:rPr>
                <w:rFonts w:hint="eastAsia"/>
              </w:rPr>
              <w:t>（1）诊断算法</w:t>
            </w:r>
          </w:p>
          <w:p w14:paraId="62E60EA9">
            <w:pPr>
              <w:spacing w:after="80"/>
              <w:ind w:firstLine="420"/>
              <w:jc w:val="both"/>
              <w:rPr>
                <w:rFonts w:hint="default" w:eastAsia="宋体"/>
                <w:lang w:val="en-US" w:eastAsia="zh-CN"/>
              </w:rPr>
            </w:pPr>
            <w:r>
              <w:rPr>
                <w:rFonts w:hint="eastAsia" w:ascii="Times New Roman" w:hAnsi="Times New Roman" w:eastAsia="宋体"/>
                <w:b w:val="0"/>
                <w:sz w:val="21"/>
              </w:rPr>
              <w:t>节点在本地对P0、P1与Q作有限判断，算法采用上述模型的两项可解释特征：表征下游等效负载</w:t>
            </w:r>
            <w:r>
              <w:rPr>
                <w:rFonts w:hint="eastAsia"/>
                <w:b w:val="0"/>
                <w:sz w:val="21"/>
                <w:lang w:val="en-US" w:eastAsia="zh-CN"/>
              </w:rPr>
              <w:t>与表征</w:t>
            </w:r>
            <w:r>
              <w:rPr>
                <w:rFonts w:hint="eastAsia" w:ascii="Times New Roman" w:hAnsi="Times New Roman" w:eastAsia="宋体"/>
                <w:b w:val="0"/>
                <w:sz w:val="21"/>
              </w:rPr>
              <w:t>监测区段阻力</w:t>
            </w:r>
            <w:r>
              <w:rPr>
                <w:rFonts w:hint="eastAsia"/>
                <w:b w:val="0"/>
                <w:sz w:val="21"/>
                <w:lang w:val="en-US" w:eastAsia="zh-CN"/>
              </w:rPr>
              <w:t>分别如下所示：</w:t>
            </w:r>
          </w:p>
          <w:p w14:paraId="2ED651B3">
            <w:pPr>
              <w:tabs>
                <w:tab w:val="center" w:pos="4156"/>
                <w:tab w:val="right" w:pos="8312"/>
              </w:tabs>
              <w:spacing w:after="80"/>
              <w:ind w:firstLine="0"/>
              <w:jc w:val="left"/>
            </w:pPr>
            <w:r>
              <w:rPr>
                <w:rFonts w:ascii="Times New Roman" w:hAnsi="Times New Roman" w:eastAsia="宋体"/>
                <w:b w:val="0"/>
                <w:sz w:val="21"/>
              </w:rPr>
              <w:tab/>
            </w:r>
            <m:oMath>
              <m:r>
                <m:rPr/>
                <w:rPr>
                  <w:rFonts w:ascii="Cambria Math" w:hAnsi="Cambria Math"/>
                </w:rPr>
                <m:t>K=</m:t>
              </m:r>
              <m:f>
                <m:fPr>
                  <m:ctrlPr>
                    <w:rPr>
                      <w:rFonts w:ascii="Cambria Math" w:hAnsi="Cambria Math"/>
                    </w:rPr>
                  </m:ctrlPr>
                </m:fPr>
                <m:num>
                  <m:r>
                    <m:rPr/>
                    <w:rPr>
                      <w:rFonts w:ascii="Cambria Math" w:hAnsi="Cambria Math"/>
                    </w:rPr>
                    <m:t>Q</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e>
                  </m:rad>
                  <m:ctrlPr>
                    <w:rPr>
                      <w:rFonts w:ascii="Cambria Math" w:hAnsi="Cambria Math"/>
                    </w:rPr>
                  </m:ctrlPr>
                </m:den>
              </m:f>
            </m:oMath>
            <w:r>
              <w:rPr>
                <w:rFonts w:hint="eastAsia" w:ascii="Times New Roman" w:hAnsi="Times New Roman" w:eastAsia="宋体"/>
                <w:b w:val="0"/>
                <w:sz w:val="21"/>
              </w:rPr>
              <w:tab/>
              <w:t>（3-3）</w:t>
            </w:r>
          </w:p>
          <w:p w14:paraId="3B93B74C">
            <w:pPr>
              <w:tabs>
                <w:tab w:val="center" w:pos="4156"/>
                <w:tab w:val="right" w:pos="8312"/>
              </w:tabs>
              <w:spacing w:after="80"/>
              <w:ind w:firstLine="0"/>
              <w:jc w:val="left"/>
            </w:pPr>
            <w:r>
              <w:rPr>
                <w:rFonts w:ascii="Times New Roman" w:hAnsi="Times New Roman" w:eastAsia="宋体"/>
                <w:b w:val="0"/>
                <w:sz w:val="21"/>
              </w:rPr>
              <w:tab/>
            </w:r>
            <m:oMath>
              <m:r>
                <m:rPr/>
                <w:rPr>
                  <w:rFonts w:ascii="Cambria Math" w:hAnsi="Cambria Math"/>
                </w:rPr>
                <m:t>R̂=</m:t>
              </m:r>
              <m:f>
                <m:fPr>
                  <m:ctrlPr>
                    <w:rPr>
                      <w:rFonts w:ascii="Cambria Math" w:hAnsi="Cambria Math"/>
                    </w:rPr>
                  </m:ctrlPr>
                </m:fPr>
                <m:num>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num>
                <m:den>
                  <m:sSup>
                    <m:sSupPr>
                      <m:ctrlPr>
                        <w:rPr>
                          <w:rFonts w:ascii="Cambria Math" w:hAnsi="Cambria Math"/>
                        </w:rPr>
                      </m:ctrlPr>
                    </m:sSupPr>
                    <m:e>
                      <m:r>
                        <m:rPr/>
                        <w:rPr>
                          <w:rFonts w:ascii="Cambria Math" w:hAnsi="Cambria Math"/>
                        </w:rPr>
                        <m:t>Q</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den>
              </m:f>
            </m:oMath>
            <w:r>
              <w:rPr>
                <w:rFonts w:hint="eastAsia" w:ascii="Times New Roman" w:hAnsi="Times New Roman" w:eastAsia="宋体"/>
                <w:b w:val="0"/>
                <w:sz w:val="21"/>
              </w:rPr>
              <w:tab/>
              <w:t>（3-4）</w:t>
            </w:r>
          </w:p>
          <w:p w14:paraId="407C687A">
            <w:pPr>
              <w:spacing w:after="80"/>
              <w:ind w:firstLine="420"/>
              <w:jc w:val="both"/>
              <w:rPr>
                <w:rFonts w:hint="default" w:eastAsia="宋体"/>
                <w:lang w:val="en-US" w:eastAsia="zh-CN"/>
              </w:rPr>
            </w:pPr>
            <w:r>
              <w:rPr>
                <w:rFonts w:hint="eastAsia" w:ascii="Times New Roman" w:hAnsi="Times New Roman" w:eastAsia="宋体"/>
                <w:b w:val="0"/>
                <w:sz w:val="21"/>
              </w:rPr>
              <w:t>判断在固定1Hz基线上采用了双时间窗：特征先作因果均值，K相对健康参照上升或R̂相对健康参照上升超过门限时，短窗连续两次成立形成关注提示（3秒窗、3个压力点与4个计数端点），主窗连续五次成立形成持续候选（10秒窗、11个计数端点与10次压力观测），两窗分别建立并记录健康参照。健康参照按工况分档建立：以负载系数K与区段阻力R̂为特征，同一工况内二者在健康状态下保持稳定，轮灌切换只改变工作点而不改变这两个量，因此门限按供压档与阀态分别标定，并由健康段的累积和峰值反推确定，初始取值K侧0.06、R̂侧0.6。工况门控用于过滤上游供压变化与邻支路开关造成的相似观测。质量与工况辅助诊断流程如图3-10所示。</w:t>
            </w:r>
          </w:p>
          <w:p w14:paraId="1501A841">
            <w:pPr>
              <w:spacing w:before="80" w:after="40"/>
              <w:ind w:firstLine="0"/>
              <w:jc w:val="center"/>
            </w:pPr>
            <w:r>
              <w:rPr>
                <w:rFonts w:hint="default" w:ascii="Times New Roman" w:hAnsi="Times New Roman" w:eastAsia="宋体" w:cs="Times New Roman"/>
                <w:sz w:val="21"/>
                <w:szCs w:val="28"/>
                <w:lang w:val="en-US" w:eastAsia="zh-CN"/>
              </w:rPr>
              <w:drawing>
                <wp:inline distT="0" distB="0" distL="114300" distR="114300">
                  <wp:extent cx="5397500" cy="2990850"/>
                  <wp:effectExtent l="0" t="0" r="0" b="10160"/>
                  <wp:docPr id="32" name="图片 7" descr="图6 支管异常诊断流程"/>
                  <wp:cNvGraphicFramePr>
                    <a:graphicFrameLocks noChangeAspect="1"/>
                  </wp:cNvGraphicFramePr>
                  <a:graphic>
                    <a:graphicData uri="http://schemas.openxmlformats.org/drawingml/2006/picture">
                      <pic:pic>
                        <pic:nvPicPr>
                          <pic:cNvPr id="33" name="图片 7" descr="图6 支管异常诊断流程"/>
                          <pic:cNvPicPr>
                            <a:picLocks noChangeAspect="1"/>
                          </pic:cNvPicPr>
                        </pic:nvPicPr>
                        <pic:blipFill>
                          <a:blip r:embed="rId16"/>
                          <a:stretch>
                            <a:fillRect/>
                          </a:stretch>
                        </pic:blipFill>
                        <pic:spPr>
                          <a:xfrm>
                            <a:off x="0" y="0"/>
                            <a:ext cx="5397500" cy="2990850"/>
                          </a:xfrm>
                          <a:prstGeom prst="rect">
                            <a:avLst/>
                          </a:prstGeom>
                          <a:noFill/>
                          <a:ln>
                            <a:noFill/>
                          </a:ln>
                        </pic:spPr>
                      </pic:pic>
                    </a:graphicData>
                  </a:graphic>
                </wp:inline>
              </w:drawing>
            </w:r>
          </w:p>
          <w:p w14:paraId="2DDB52A9">
            <w:pPr>
              <w:spacing w:after="120"/>
              <w:ind w:firstLine="0"/>
              <w:jc w:val="center"/>
            </w:pPr>
            <w:r>
              <w:rPr>
                <w:rFonts w:hint="eastAsia" w:ascii="Times New Roman" w:hAnsi="Times New Roman" w:eastAsia="宋体"/>
                <w:b w:val="0"/>
                <w:sz w:val="21"/>
              </w:rPr>
              <w:t>图3-</w:t>
            </w:r>
            <w:r>
              <w:rPr>
                <w:rFonts w:hint="eastAsia"/>
                <w:b w:val="0"/>
                <w:sz w:val="21"/>
                <w:lang w:val="en-US" w:eastAsia="zh-CN"/>
              </w:rPr>
              <w:t>10</w:t>
            </w:r>
            <w:r>
              <w:rPr>
                <w:rFonts w:hint="eastAsia" w:ascii="Times New Roman" w:hAnsi="Times New Roman" w:eastAsia="宋体"/>
                <w:b w:val="0"/>
                <w:sz w:val="21"/>
              </w:rPr>
              <w:t xml:space="preserve"> 质量与工况辅助诊断流程</w:t>
            </w:r>
          </w:p>
          <w:p w14:paraId="69A0AED5">
            <w:pPr>
              <w:pStyle w:val="00001d"/>
              <w:bidi w:val="0"/>
            </w:pPr>
            <w:r>
              <w:rPr>
                <w:rFonts w:hint="eastAsia"/>
              </w:rPr>
              <w:t>（2）接收服务与巡检平台</w:t>
            </w:r>
          </w:p>
          <w:p w14:paraId="2AE8FAB3">
            <w:pPr>
              <w:spacing w:after="80"/>
              <w:ind w:firstLine="420"/>
              <w:jc w:val="both"/>
            </w:pPr>
            <w:r>
              <w:rPr>
                <w:rFonts w:hint="eastAsia" w:ascii="Times New Roman" w:hAnsi="Times New Roman" w:eastAsia="宋体"/>
                <w:b w:val="0"/>
                <w:sz w:val="21"/>
              </w:rPr>
              <w:t>计算机侧承担持久化与人工核查，由接收服务与巡检平台两部分构成。接收服务的处理顺序固定为：串口或USB-TTL收到字节流后先做帧校验与COBS解界定，校验通过再提交数据库，提交成功后才构造并回复确认；数据库采用DELETE回滚日志与synchronous=EXTRA，以保证提交的原子性。事件队列按16个业务槽、1个探测槽与64条完整历史槽组织，初始最多派发8次、业务保留300s；队列满时按异常优先原则处置普通遥测，并保留拒绝原因与现场快照，以保证告警类事件优先获得槽位。</w:t>
            </w:r>
          </w:p>
          <w:p w14:paraId="21B4EC34">
            <w:pPr>
              <w:spacing w:after="80"/>
              <w:ind w:firstLine="420"/>
              <w:jc w:val="both"/>
            </w:pPr>
            <w:r>
              <w:rPr>
                <w:rFonts w:hint="eastAsia" w:ascii="Times New Roman" w:hAnsi="Times New Roman" w:eastAsia="宋体"/>
                <w:b w:val="0"/>
                <w:sz w:val="21"/>
              </w:rPr>
              <w:t>巡检平台为本地服务加桌面窗口，八个页面分别承担总览、支管监测、异常事件、设备与链路、历史记录、实验记录、试验台架与系统设置；平台保存原始候选快照，人工核查另行追加，核查与复测记录同支管编号、测点区段关联，断连时显示无当前有效判断，不用旧值显示正常。控制请求只记录请求、软件接收、模拟输出与人工复位四类状态。</w:t>
            </w:r>
            <w:r>
              <w:rPr>
                <w:rFonts w:hint="eastAsia" w:ascii="Times New Roman" w:hAnsi="Times New Roman" w:cs="Times New Roman"/>
                <w:sz w:val="21"/>
                <w:szCs w:val="28"/>
                <w:lang w:val="en-US" w:eastAsia="zh-CN"/>
              </w:rPr>
              <w:t>事件接收确认与重传时序</w:t>
            </w:r>
            <w:r>
              <w:rPr>
                <w:rFonts w:hint="eastAsia" w:ascii="Times New Roman" w:hAnsi="Times New Roman" w:eastAsia="宋体"/>
                <w:b w:val="0"/>
                <w:sz w:val="21"/>
              </w:rPr>
              <w:t>如图3-</w:t>
            </w:r>
            <w:r>
              <w:rPr>
                <w:rFonts w:hint="eastAsia"/>
                <w:b w:val="0"/>
                <w:sz w:val="21"/>
                <w:lang w:val="en-US" w:eastAsia="zh-CN"/>
              </w:rPr>
              <w:t>11</w:t>
            </w:r>
            <w:r>
              <w:rPr>
                <w:rFonts w:hint="eastAsia" w:ascii="Times New Roman" w:hAnsi="Times New Roman" w:eastAsia="宋体"/>
                <w:b w:val="0"/>
                <w:sz w:val="21"/>
              </w:rPr>
              <w:t>所示。</w:t>
            </w:r>
          </w:p>
          <w:p w14:paraId="345A6BEE">
            <w:pPr>
              <w:spacing w:before="80" w:after="40"/>
              <w:ind w:firstLine="0"/>
              <w:jc w:val="center"/>
            </w:pPr>
            <w:r>
              <w:rPr>
                <w:rFonts w:hint="default" w:ascii="Times New Roman" w:hAnsi="Times New Roman" w:eastAsia="宋体" w:cs="Times New Roman"/>
                <w:sz w:val="21"/>
                <w:szCs w:val="28"/>
                <w:lang w:val="en-US" w:eastAsia="zh-CN"/>
              </w:rPr>
              <w:drawing>
                <wp:inline distT="0" distB="0" distL="114300" distR="114300">
                  <wp:extent cx="5397500" cy="2743200"/>
                  <wp:effectExtent l="0" t="0" r="0" b="9525"/>
                  <wp:docPr id="35" name="图片 19" descr="图7 事件接收确认与重传时序"/>
                  <wp:cNvGraphicFramePr>
                    <a:graphicFrameLocks noChangeAspect="1"/>
                  </wp:cNvGraphicFramePr>
                  <a:graphic>
                    <a:graphicData uri="http://schemas.openxmlformats.org/drawingml/2006/picture">
                      <pic:pic>
                        <pic:nvPicPr>
                          <pic:cNvPr id="36" name="图片 19" descr="图7 事件接收确认与重传时序"/>
                          <pic:cNvPicPr>
                            <a:picLocks noChangeAspect="1"/>
                          </pic:cNvPicPr>
                        </pic:nvPicPr>
                        <pic:blipFill>
                          <a:blip r:embed="rId17"/>
                          <a:stretch>
                            <a:fillRect/>
                          </a:stretch>
                        </pic:blipFill>
                        <pic:spPr>
                          <a:xfrm>
                            <a:off x="0" y="0"/>
                            <a:ext cx="5397500" cy="2743200"/>
                          </a:xfrm>
                          <a:prstGeom prst="rect">
                            <a:avLst/>
                          </a:prstGeom>
                          <a:noFill/>
                          <a:ln>
                            <a:noFill/>
                          </a:ln>
                        </pic:spPr>
                      </pic:pic>
                    </a:graphicData>
                  </a:graphic>
                </wp:inline>
              </w:drawing>
            </w:r>
          </w:p>
          <w:p w14:paraId="0463BBCB">
            <w:pPr>
              <w:spacing w:after="120"/>
              <w:ind w:firstLine="0"/>
              <w:jc w:val="center"/>
            </w:pPr>
            <w:r>
              <w:rPr>
                <w:rFonts w:hint="eastAsia" w:ascii="Times New Roman" w:hAnsi="Times New Roman" w:eastAsia="宋体"/>
                <w:b w:val="0"/>
                <w:sz w:val="21"/>
              </w:rPr>
              <w:t>图3-</w:t>
            </w:r>
            <w:r>
              <w:rPr>
                <w:rFonts w:hint="eastAsia"/>
                <w:b w:val="0"/>
                <w:sz w:val="21"/>
                <w:lang w:val="en-US" w:eastAsia="zh-CN"/>
              </w:rPr>
              <w:t>11</w:t>
            </w:r>
            <w:r>
              <w:rPr>
                <w:rFonts w:ascii="Times New Roman" w:hAnsi="Times New Roman" w:eastAsia="宋体"/>
                <w:b w:val="0"/>
                <w:sz w:val="21"/>
              </w:rPr>
              <w:t xml:space="preserve"> </w:t>
            </w:r>
            <w:r>
              <w:rPr>
                <w:rFonts w:hint="eastAsia" w:ascii="Times New Roman" w:hAnsi="Times New Roman" w:cs="Times New Roman"/>
                <w:sz w:val="21"/>
                <w:szCs w:val="28"/>
                <w:lang w:val="en-US" w:eastAsia="zh-CN"/>
              </w:rPr>
              <w:t>事件接收确认与重传时序</w:t>
            </w:r>
          </w:p>
          <w:p w14:paraId="57D7C1DE">
            <w:pPr>
              <w:spacing w:after="80"/>
              <w:ind w:firstLine="0"/>
              <w:jc w:val="left"/>
              <w:outlineLvl w:val="1"/>
            </w:pPr>
            <w:r>
              <w:rPr>
                <w:rFonts w:hint="eastAsia" w:ascii="Times New Roman" w:hAnsi="Times New Roman" w:eastAsia="宋体"/>
                <w:b w:val="1"/>
                <w:sz w:val="21"/>
              </w:rPr>
              <w:t>3.4. 实验方案</w:t>
            </w:r>
          </w:p>
          <w:p w14:paraId="2B683283">
            <w:pPr>
              <w:spacing w:after="80"/>
              <w:ind w:firstLine="0"/>
              <w:jc w:val="left"/>
              <w:outlineLvl w:val="2"/>
            </w:pPr>
            <w:r>
              <w:rPr>
                <w:rFonts w:hint="eastAsia" w:ascii="Times New Roman" w:hAnsi="Times New Roman" w:eastAsia="宋体"/>
                <w:b w:val="1"/>
                <w:sz w:val="21"/>
              </w:rPr>
              <w:t>3.4.1. 实验目标</w:t>
            </w:r>
          </w:p>
          <w:p w14:paraId="33D8F273">
            <w:pPr>
              <w:spacing w:after="80"/>
              <w:ind w:firstLine="420"/>
              <w:jc w:val="both"/>
            </w:pPr>
            <w:r>
              <w:rPr>
                <w:rFonts w:hint="eastAsia" w:ascii="Times New Roman" w:hAnsi="Times New Roman" w:eastAsia="宋体"/>
                <w:b w:val="0"/>
                <w:sz w:val="21"/>
              </w:rPr>
              <w:t>本实验在A、B双支路清水台架上完成两项判定：一是确定5%—15%等效泄漏与等效受限在现有测量条件下可分辨的范围，并给出该范围内判据的漏检与误报；二是确定另一支管开关与上游供压变化对判据的影响边界，说明哪些观测能够可靠提示。实验以独立参考量与独立故障操作标签为真值，</w:t>
            </w:r>
            <w:r>
              <w:rPr>
                <w:rFonts w:hint="eastAsia" w:ascii="Times New Roman" w:hAnsi="Times New Roman" w:eastAsia="宋体"/>
                <w:b w:val="0"/>
                <w:bCs w:val="1"/>
                <w:sz w:val="21"/>
              </w:rPr>
              <w:t>不用诊断输出反向定义故障</w:t>
            </w:r>
            <w:r>
              <w:rPr>
                <w:rFonts w:hint="eastAsia" w:ascii="Times New Roman" w:hAnsi="Times New Roman" w:eastAsia="宋体"/>
                <w:b w:val="0"/>
                <w:sz w:val="21"/>
              </w:rPr>
              <w:t>。</w:t>
            </w:r>
          </w:p>
          <w:p w14:paraId="777706C0">
            <w:pPr>
              <w:spacing w:after="80"/>
              <w:ind w:firstLine="0"/>
              <w:jc w:val="left"/>
              <w:outlineLvl w:val="2"/>
            </w:pPr>
            <w:r>
              <w:rPr>
                <w:rFonts w:ascii="Times New Roman" w:hAnsi="Times New Roman" w:eastAsia="宋体"/>
                <w:b w:val="1"/>
                <w:sz w:val="21"/>
              </w:rPr>
              <w:t>3.4.</w:t>
            </w:r>
            <w:r>
              <w:rPr>
                <w:rFonts w:hint="eastAsia"/>
                <w:b w:val="1"/>
                <w:sz w:val="21"/>
                <w:lang w:val="en-US" w:eastAsia="zh-CN"/>
              </w:rPr>
              <w:t>2</w:t>
            </w:r>
            <w:r>
              <w:rPr>
                <w:rFonts w:hint="eastAsia" w:ascii="Times New Roman" w:hAnsi="Times New Roman" w:eastAsia="宋体"/>
                <w:b w:val="1"/>
                <w:sz w:val="21"/>
              </w:rPr>
              <w:t>. 实验步骤</w:t>
            </w:r>
          </w:p>
          <w:p w14:paraId="138C0704">
            <w:pPr>
              <w:keepNext w:val="0"/>
              <w:keepLines w:val="0"/>
              <w:pageBreakBefore w:val="0"/>
              <w:widowControl w:val="1"/>
              <w:kinsoku w:val="1"/>
              <w:wordWrap w:val="1"/>
              <w:overflowPunct w:val="1"/>
              <w:topLinePunct w:val="0"/>
              <w:autoSpaceDE w:val="1"/>
              <w:autoSpaceDN w:val="1"/>
              <w:bidi w:val="0"/>
              <w:adjustRightInd w:val="1"/>
              <w:snapToGrid w:val="1"/>
              <w:spacing w:after="80"/>
              <w:ind w:firstLine="420" w:firstLineChars="200"/>
              <w:jc w:val="both"/>
              <w:textAlignment w:val="auto"/>
              <w:outlineLvl w:val="2"/>
              <w:rPr>
                <w:rFonts w:hint="eastAsia" w:ascii="宋体" w:hAnsi="宋体" w:eastAsia="宋体" w:cs="宋体"/>
                <w:b w:val="0"/>
                <w:sz w:val="21"/>
              </w:rPr>
            </w:pPr>
            <w:r>
              <w:rPr>
                <w:rFonts w:hint="eastAsia" w:ascii="宋体" w:hAnsi="宋体" w:eastAsia="宋体" w:cs="宋体"/>
                <w:b w:val="0"/>
                <w:sz w:val="21"/>
              </w:rPr>
              <w:t>（1）参考标定与健康参照建立。实验首先在真实水路条件下完成参考标定：压力回路选取不少于5个工作点进行升压与降压双向标定，每个工作点重复读取不少于3次；流量采用容积或称重计时方式在不少于5个工作点上校核，同时检查取样时长与重复性。标定须跨工况进行：单一工况内压力波动很小，不足以辨识压力—流量关系，因此标定在80、120、160kPa三档供压与两种阀态下联合拟合，由此得到健康状态下的“压力—流量”关系曲线、区段阻力参照与工况分档参照表。标定过程中保存参考仪器信息、原始读数、拟合参数与残差，并分离标定批次与后续验证批次，作为判据比对与门限核定的基准。</w:t>
            </w:r>
          </w:p>
          <w:p w14:paraId="223559F3">
            <w:pPr>
              <w:keepNext w:val="0"/>
              <w:keepLines w:val="0"/>
              <w:pageBreakBefore w:val="0"/>
              <w:widowControl w:val="1"/>
              <w:kinsoku w:val="1"/>
              <w:wordWrap w:val="1"/>
              <w:overflowPunct w:val="1"/>
              <w:topLinePunct w:val="0"/>
              <w:autoSpaceDE w:val="1"/>
              <w:autoSpaceDN w:val="1"/>
              <w:bidi w:val="0"/>
              <w:adjustRightInd w:val="1"/>
              <w:snapToGrid w:val="1"/>
              <w:spacing w:after="80"/>
              <w:ind w:firstLine="420" w:firstLineChars="200"/>
              <w:jc w:val="both"/>
              <w:textAlignment w:val="auto"/>
              <w:outlineLvl w:val="2"/>
              <w:rPr>
                <w:rFonts w:hint="eastAsia" w:ascii="宋体" w:hAnsi="宋体" w:eastAsia="宋体" w:cs="宋体"/>
                <w:b w:val="0"/>
                <w:sz w:val="21"/>
              </w:rPr>
            </w:pPr>
            <w:r>
              <w:rPr>
                <w:rFonts w:hint="eastAsia" w:ascii="宋体" w:hAnsi="宋体" w:eastAsia="宋体" w:cs="宋体"/>
                <w:b w:val="0"/>
                <w:sz w:val="21"/>
              </w:rPr>
              <w:t>（2）台架装配与密封检查。按图3-</w:t>
            </w:r>
            <w:r>
              <w:rPr>
                <w:rFonts w:hint="eastAsia" w:ascii="宋体" w:hAnsi="宋体" w:cs="宋体"/>
                <w:b w:val="0"/>
                <w:sz w:val="21"/>
                <w:lang w:val="en-US" w:eastAsia="zh-CN"/>
              </w:rPr>
              <w:t>8</w:t>
            </w:r>
            <w:r>
              <w:rPr>
                <w:rFonts w:hint="eastAsia" w:ascii="宋体" w:hAnsi="宋体" w:eastAsia="宋体" w:cs="宋体"/>
                <w:b w:val="0"/>
                <w:sz w:val="21"/>
              </w:rPr>
              <w:t>布置A、B双支路水路：A支路依次安装P0侧向取压接口、受限元件R、P1侧向取压接口与流量计Q，随后分出正常出流与泄漏旁路；B支路安装切换阀与可调负载。管路采用De25PVC-U（外径20mm、内径16mm），管中心高140mm，框架为900×520mm铝型材。装配完成后进行固定、排气与密封检查，确认无渗漏后进入下一步。</w:t>
            </w:r>
          </w:p>
          <w:p w14:paraId="3BD8D02D">
            <w:pPr>
              <w:keepNext w:val="0"/>
              <w:keepLines w:val="0"/>
              <w:pageBreakBefore w:val="0"/>
              <w:widowControl w:val="1"/>
              <w:kinsoku w:val="1"/>
              <w:wordWrap w:val="1"/>
              <w:overflowPunct w:val="1"/>
              <w:topLinePunct w:val="0"/>
              <w:autoSpaceDE w:val="1"/>
              <w:autoSpaceDN w:val="1"/>
              <w:bidi w:val="0"/>
              <w:adjustRightInd w:val="1"/>
              <w:snapToGrid w:val="1"/>
              <w:spacing w:after="80"/>
              <w:ind w:firstLine="420" w:firstLineChars="200"/>
              <w:jc w:val="both"/>
              <w:textAlignment w:val="auto"/>
              <w:outlineLvl w:val="2"/>
              <w:rPr>
                <w:rFonts w:hint="eastAsia" w:ascii="宋体" w:hAnsi="宋体" w:eastAsia="宋体" w:cs="宋体"/>
                <w:b w:val="0"/>
                <w:sz w:val="21"/>
              </w:rPr>
            </w:pPr>
            <w:r>
              <w:rPr>
                <w:rFonts w:hint="eastAsia" w:ascii="宋体" w:hAnsi="宋体" w:eastAsia="宋体" w:cs="宋体"/>
                <w:b w:val="0"/>
                <w:sz w:val="21"/>
              </w:rPr>
              <w:t>（3）设备接入与安全核对。通电前先以24V回路、150Ω取样电阻与万用表实测，确认取样电压范围与共地连接正确</w:t>
            </w:r>
            <w:r>
              <w:rPr>
                <w:rFonts w:hint="eastAsia" w:ascii="宋体" w:hAnsi="宋体" w:cs="宋体"/>
                <w:b w:val="0"/>
                <w:sz w:val="21"/>
                <w:lang w:val="en-US" w:eastAsia="zh-CN"/>
              </w:rPr>
              <w:t>后</w:t>
            </w:r>
            <w:r>
              <w:rPr>
                <w:rFonts w:hint="eastAsia" w:ascii="宋体" w:hAnsi="宋体" w:eastAsia="宋体" w:cs="宋体"/>
                <w:b w:val="0"/>
                <w:sz w:val="21"/>
              </w:rPr>
              <w:t>，再接入SGM58031模数转换模块，并核对I²C地址与总线上拉；随后核对microSD与无线模块的供电与接线，确认主控、模数转换、缓冲器与存储处于同一3.3V电平域，避免电平不匹配。</w:t>
            </w:r>
          </w:p>
          <w:p w14:paraId="17B818AF">
            <w:pPr>
              <w:keepNext w:val="0"/>
              <w:keepLines w:val="0"/>
              <w:pageBreakBefore w:val="0"/>
              <w:widowControl w:val="1"/>
              <w:kinsoku w:val="1"/>
              <w:wordWrap w:val="1"/>
              <w:overflowPunct w:val="1"/>
              <w:topLinePunct w:val="0"/>
              <w:autoSpaceDE w:val="1"/>
              <w:autoSpaceDN w:val="1"/>
              <w:bidi w:val="0"/>
              <w:adjustRightInd w:val="1"/>
              <w:snapToGrid w:val="1"/>
              <w:spacing w:after="80"/>
              <w:ind w:firstLine="420" w:firstLineChars="200"/>
              <w:jc w:val="both"/>
              <w:textAlignment w:val="auto"/>
              <w:outlineLvl w:val="2"/>
              <w:rPr>
                <w:rFonts w:hint="eastAsia" w:ascii="宋体" w:hAnsi="宋体" w:eastAsia="宋体" w:cs="宋体"/>
                <w:b w:val="0"/>
                <w:sz w:val="21"/>
              </w:rPr>
            </w:pPr>
            <w:r>
              <w:rPr>
                <w:rFonts w:hint="eastAsia" w:ascii="宋体" w:hAnsi="宋体" w:eastAsia="宋体" w:cs="宋体"/>
                <w:b w:val="0"/>
                <w:sz w:val="21"/>
              </w:rPr>
              <w:t>（4）独立计量标定。泄漏量采用开口收集容器独立计量</w:t>
            </w:r>
            <w:r>
              <w:rPr>
                <w:rFonts w:hint="eastAsia" w:ascii="宋体" w:hAnsi="宋体" w:cs="宋体"/>
                <w:b w:val="0"/>
                <w:sz w:val="21"/>
                <w:lang w:val="en-US" w:eastAsia="zh-CN"/>
              </w:rPr>
              <w:t>的方法</w:t>
            </w:r>
            <w:r>
              <w:rPr>
                <w:rFonts w:hint="eastAsia" w:ascii="宋体" w:hAnsi="宋体" w:eastAsia="宋体" w:cs="宋体"/>
                <w:b w:val="0"/>
                <w:sz w:val="21"/>
              </w:rPr>
              <w:t>，实验前测定其有效容积：容器内腔半径60mm、高60mm，几何容量678.6mL；按模型最大泄漏量1.055L/min计算，30秒取样并留25%余量需659.4mL，</w:t>
            </w:r>
            <w:r>
              <w:rPr>
                <w:rFonts w:hint="eastAsia" w:ascii="宋体" w:hAnsi="宋体" w:cs="宋体"/>
                <w:b w:val="0"/>
                <w:sz w:val="21"/>
                <w:lang w:val="en-US" w:eastAsia="zh-CN"/>
              </w:rPr>
              <w:t>因</w:t>
            </w:r>
            <w:r>
              <w:rPr>
                <w:rFonts w:hint="eastAsia" w:ascii="宋体" w:hAnsi="宋体" w:eastAsia="宋体" w:cs="宋体"/>
                <w:b w:val="0"/>
                <w:sz w:val="21"/>
              </w:rPr>
              <w:t>此采用20秒分次取样，并在出口与杯口之间保留20mm自由出流间隙，</w:t>
            </w:r>
            <w:r>
              <w:rPr>
                <w:rFonts w:hint="eastAsia" w:ascii="宋体" w:hAnsi="宋体" w:cs="宋体"/>
                <w:b w:val="0"/>
                <w:sz w:val="21"/>
                <w:lang w:val="en-US" w:eastAsia="zh-CN"/>
              </w:rPr>
              <w:t>然后</w:t>
            </w:r>
            <w:r>
              <w:rPr>
                <w:rFonts w:hint="eastAsia" w:ascii="宋体" w:hAnsi="宋体" w:eastAsia="宋体" w:cs="宋体"/>
                <w:b w:val="0"/>
                <w:sz w:val="21"/>
              </w:rPr>
              <w:t>确认容器满足分次取样的计量要求后再投入长时实验。</w:t>
            </w:r>
          </w:p>
          <w:p w14:paraId="74C7E90C">
            <w:pPr>
              <w:keepNext w:val="0"/>
              <w:keepLines w:val="0"/>
              <w:pageBreakBefore w:val="0"/>
              <w:widowControl w:val="1"/>
              <w:kinsoku w:val="1"/>
              <w:wordWrap w:val="1"/>
              <w:overflowPunct w:val="1"/>
              <w:topLinePunct w:val="0"/>
              <w:autoSpaceDE w:val="1"/>
              <w:autoSpaceDN w:val="1"/>
              <w:bidi w:val="0"/>
              <w:adjustRightInd w:val="1"/>
              <w:snapToGrid w:val="1"/>
              <w:spacing w:after="80"/>
              <w:ind w:firstLine="420" w:firstLineChars="200"/>
              <w:jc w:val="both"/>
              <w:textAlignment w:val="auto"/>
              <w:outlineLvl w:val="2"/>
              <w:rPr>
                <w:rFonts w:hint="eastAsia" w:ascii="宋体" w:hAnsi="宋体" w:eastAsia="宋体" w:cs="宋体"/>
                <w:b w:val="0"/>
                <w:sz w:val="21"/>
              </w:rPr>
            </w:pPr>
            <w:r>
              <w:rPr>
                <w:rFonts w:hint="eastAsia" w:ascii="宋体" w:hAnsi="宋体" w:eastAsia="宋体" w:cs="宋体"/>
                <w:b w:val="0"/>
                <w:sz w:val="21"/>
              </w:rPr>
              <w:t>（5）主要故障与正常干扰对照。在A支路依次注入等效泄漏与等效受限：泄漏通过逐步开启旁路形成附加出流，并用独立收集与计时确定泄漏量；受限通过调节受限元件R改变局部阻力，记录阀门操作并以参考压力、流量核对故障程度。两类故障按相对健康流量偏离5%、8%、10%、15%四档设置，在80、120、160kPa三档供压与B支路开关两种状态下重复，主要档位完成6至8次独立操作，共计54至72次；上游供压波动、B末端堵塞背压与首部/干管共同扰动参照三类对照，与主要故障共用相同的供压档与重复次数，在2027年5—8月实验窗口内完成。每次操作记录阀态、原始观测、独立标签与配置，以用于评价判据在不同工况下的检出与误报。</w:t>
            </w:r>
          </w:p>
          <w:p w14:paraId="1EB9C36E">
            <w:pPr>
              <w:keepNext w:val="0"/>
              <w:keepLines w:val="0"/>
              <w:pageBreakBefore w:val="0"/>
              <w:widowControl w:val="1"/>
              <w:kinsoku w:val="1"/>
              <w:wordWrap w:val="1"/>
              <w:overflowPunct w:val="1"/>
              <w:topLinePunct w:val="0"/>
              <w:autoSpaceDE w:val="1"/>
              <w:autoSpaceDN w:val="1"/>
              <w:bidi w:val="0"/>
              <w:adjustRightInd w:val="1"/>
              <w:snapToGrid w:val="1"/>
              <w:spacing w:after="80"/>
              <w:ind w:firstLine="420" w:firstLineChars="200"/>
              <w:jc w:val="both"/>
              <w:textAlignment w:val="auto"/>
              <w:outlineLvl w:val="2"/>
              <w:rPr>
                <w:rFonts w:hint="eastAsia" w:ascii="宋体" w:hAnsi="宋体" w:eastAsia="宋体" w:cs="宋体"/>
                <w:b w:val="0"/>
                <w:sz w:val="21"/>
              </w:rPr>
            </w:pPr>
            <w:r>
              <w:rPr>
                <w:rFonts w:hint="eastAsia" w:ascii="宋体" w:hAnsi="宋体" w:eastAsia="宋体" w:cs="宋体"/>
                <w:b w:val="0"/>
                <w:sz w:val="21"/>
              </w:rPr>
              <w:t>（6）切换期间与扰动检验。在正常轮灌切换与上游供压调整期间连续记录，重点记录判据暂缓判断的时间长度、该时段内实际发生的故障以及切换结束后的输出恢复情况，</w:t>
            </w:r>
            <w:r>
              <w:rPr>
                <w:rFonts w:hint="eastAsia" w:ascii="宋体" w:hAnsi="宋体" w:cs="宋体"/>
                <w:b w:val="0"/>
                <w:sz w:val="21"/>
                <w:lang w:val="en-US" w:eastAsia="zh-CN"/>
              </w:rPr>
              <w:t>依</w:t>
            </w:r>
            <w:r>
              <w:rPr>
                <w:rFonts w:hint="eastAsia" w:ascii="宋体" w:hAnsi="宋体" w:eastAsia="宋体" w:cs="宋体"/>
                <w:b w:val="0"/>
                <w:sz w:val="21"/>
              </w:rPr>
              <w:t>此统计间断期间的漏检，检验判据在工况不可比阶段的表现。</w:t>
            </w:r>
          </w:p>
          <w:p w14:paraId="2B574073">
            <w:pPr>
              <w:keepNext w:val="0"/>
              <w:keepLines w:val="0"/>
              <w:pageBreakBefore w:val="0"/>
              <w:widowControl w:val="1"/>
              <w:kinsoku w:val="1"/>
              <w:wordWrap w:val="1"/>
              <w:overflowPunct w:val="1"/>
              <w:topLinePunct w:val="0"/>
              <w:autoSpaceDE w:val="1"/>
              <w:autoSpaceDN w:val="1"/>
              <w:bidi w:val="0"/>
              <w:adjustRightInd w:val="1"/>
              <w:snapToGrid w:val="1"/>
              <w:spacing w:after="80"/>
              <w:ind w:firstLine="420" w:firstLineChars="200"/>
              <w:jc w:val="both"/>
              <w:textAlignment w:val="auto"/>
              <w:outlineLvl w:val="2"/>
              <w:rPr>
                <w:rFonts w:hint="eastAsia" w:ascii="宋体" w:hAnsi="宋体" w:eastAsia="宋体" w:cs="宋体"/>
                <w:b w:val="0"/>
                <w:sz w:val="21"/>
              </w:rPr>
            </w:pPr>
            <w:r>
              <w:rPr>
                <w:rFonts w:hint="eastAsia" w:ascii="宋体" w:hAnsi="宋体" w:eastAsia="宋体" w:cs="宋体"/>
                <w:b w:val="0"/>
                <w:sz w:val="21"/>
              </w:rPr>
              <w:t>（7）通信、连续运行与系统联调。在无遮挡稳定、遮挡衰减与受控阻断或确认丢失三类链路条件下重放诊断记录，按4种上报策略×3类链路条件×至少3个独立批次组织，共计36次，核查事件到达时间、期限内送达的比例、P50与P95的延迟、超期与未送达的数量以及链路恢复后的补发情况；同时计划完成一次不少于8小时的连续记录与不少于3次重启，核对停机缺失、缓存恢复与数据库写入的一致性。最后按同一事件贯穿采集、判断、发送、存储、展示与人工复测；数据无效、工况不可比或异常仍在时则不予归档，每个试次保存日期、操作者、供压、阀态、原始观测、独立标签、缺失与配置，并按整日、压力档或负载档留出部分数据作为验证集。</w:t>
            </w:r>
          </w:p>
          <w:p w14:paraId="1B75BD7A">
            <w:pPr>
              <w:spacing w:after="80"/>
              <w:ind w:firstLine="0"/>
              <w:jc w:val="left"/>
              <w:outlineLvl w:val="2"/>
              <w:rPr>
                <w:rFonts w:hint="default" w:eastAsia="宋体"/>
                <w:lang w:val="en-US" w:eastAsia="zh-CN"/>
              </w:rPr>
            </w:pPr>
            <w:r>
              <w:rPr>
                <w:rFonts w:ascii="Times New Roman" w:hAnsi="Times New Roman" w:eastAsia="宋体"/>
                <w:b w:val="1"/>
                <w:sz w:val="21"/>
              </w:rPr>
              <w:t>3.4.</w:t>
            </w:r>
            <w:r>
              <w:rPr>
                <w:rFonts w:hint="eastAsia"/>
                <w:b w:val="1"/>
                <w:sz w:val="21"/>
                <w:lang w:val="en-US" w:eastAsia="zh-CN"/>
              </w:rPr>
              <w:t>3</w:t>
            </w:r>
            <w:r>
              <w:rPr>
                <w:rFonts w:hint="eastAsia" w:ascii="Times New Roman" w:hAnsi="Times New Roman" w:eastAsia="宋体"/>
                <w:b w:val="1"/>
                <w:sz w:val="21"/>
              </w:rPr>
              <w:t>. 预期实验结果与分析</w:t>
            </w:r>
          </w:p>
          <w:p w14:paraId="7CBA0D69">
            <w:pPr>
              <w:spacing w:after="80"/>
              <w:ind w:firstLine="420"/>
              <w:jc w:val="both"/>
            </w:pPr>
            <w:r>
              <w:rPr>
                <w:rFonts w:hint="eastAsia"/>
                <w:b w:val="1"/>
                <w:sz w:val="21"/>
                <w:lang w:eastAsia="zh-CN"/>
              </w:rPr>
              <w:t>（1）对照安排的参数选择：主要故障取2类型×3供压×4程度，供压取80、120、160kPa三档，覆盖台架工作窗口并留出正常与故障对照；程度以相对健康流量的偏离比例计，5%、8%、10%、15%分别对应测量可检边界、可检下限、中等变化与演示参照。重复以6至8次独立操作计，不以相邻采样点计，避免将同一轨迹的连续点当作独立样本。</w:t>
            </w:r>
          </w:p>
          <w:p w14:paraId="18F342C1">
            <w:pPr>
              <w:spacing w:after="80"/>
              <w:ind w:firstLine="420"/>
              <w:jc w:val="both"/>
            </w:pPr>
            <w:r>
              <w:rPr>
                <w:rFonts w:hint="eastAsia"/>
                <w:b w:val="1"/>
                <w:sz w:val="21"/>
                <w:lang w:eastAsia="zh-CN"/>
              </w:rPr>
              <w:t>（2）预期结果：依据本项目已完成的合成对照实验，在标定确认的工作范围内，泄漏幅度达到8%以上、或在10%幅度下持续不少于20秒时，可实现全部检出且健康段无确认误报；受限的等效阻力增量达到30%以上时，可实现全部检出。正常干扰的确认误报不高于1次/小时。在B支路开关与供压变化下，分档健康参照较单一固定参照保持更高的有效提示比例；事件触发策略在保持提示提前量的同时减少读取与发送次数。</w:t>
            </w:r>
          </w:p>
          <w:p w14:paraId="07459D64">
            <w:pPr>
              <w:spacing w:after="80"/>
              <w:ind w:firstLine="420"/>
              <w:jc w:val="both"/>
              <w:rPr>
                <w:rFonts w:ascii="Times New Roman" w:hAnsi="Times New Roman" w:eastAsia="宋体"/>
                <w:b w:val="0"/>
                <w:sz w:val="21"/>
              </w:rPr>
            </w:pPr>
            <w:r>
              <w:rPr>
                <w:rFonts w:hint="eastAsia"/>
                <w:b w:val="1"/>
                <w:sz w:val="21"/>
                <w:lang w:eastAsia="zh-CN"/>
              </w:rPr>
              <w:t>（3）曲线判读方式：在本项目已完成的合成对照中，按健康段累积和峰值分布反推门限，取健康峰值最大值留20%余量得门限值；当门限取该值时，健康段误报为0/40、四类异常均40/40检出，而在较低门限下健康段误报最高可达40/40，说明门限必须由误报率反推而不能拍定。泄漏的可检边界随幅度与时长呈二维分布：5%幅度在任何时长下均不可检，10%幅度需持续20秒以上，20%幅度需10秒，30%幅度在5秒内即可部分检出。读取与发送次数随巡航周期延长而下降，提示需要在响应速度与观测、通信代价之间作出取舍。</w:t>
            </w:r>
          </w:p>
          <w:p w14:paraId="424A09C5">
            <w:pPr>
              <w:spacing w:after="80"/>
              <w:ind w:firstLine="420"/>
              <w:jc w:val="both"/>
              <w:rPr>
                <w:rFonts w:hint="eastAsia" w:ascii="Times New Roman" w:hAnsi="Times New Roman" w:eastAsia="宋体"/>
                <w:b w:val="0"/>
                <w:sz w:val="21"/>
                <w:lang w:eastAsia="zh-CN"/>
              </w:rPr>
            </w:pPr>
            <w:r>
              <w:rPr>
                <w:rFonts w:hint="eastAsia"/>
                <w:b w:val="1"/>
                <w:sz w:val="21"/>
                <w:lang w:eastAsia="zh-CN"/>
              </w:rPr>
              <w:t>（4）条件判定与处理方式：若目标变化不能与扩展不确定度分离，则先调整量程、布点或可检程度并重新标定。本项目已确定5%为测量与辨识的边界情形，不列入正式检出目标，而以10%作为设计的正式下限。受限的等效阻力增量在30%以上时可靠检出。异常仍在但模式不可区分时，保留“异常待检查”输出。</w:t>
            </w:r>
          </w:p>
          <w:p w14:paraId="12980BC2">
            <w:pPr>
              <w:spacing w:after="80"/>
              <w:ind w:firstLine="420"/>
              <w:jc w:val="both"/>
              <w:rPr>
                <w:rFonts w:hint="eastAsia" w:ascii="Times New Roman" w:hAnsi="Times New Roman" w:eastAsia="宋体"/>
                <w:b w:val="0"/>
                <w:sz w:val="21"/>
                <w:lang w:eastAsia="zh-CN"/>
              </w:rPr>
            </w:pPr>
            <w:r>
              <w:rPr>
                <w:rFonts w:hint="eastAsia"/>
                <w:b w:val="1"/>
                <w:sz w:val="21"/>
                <w:lang w:eastAsia="zh-CN"/>
              </w:rPr>
              <w:t>（5）结论与误差说明：上述结果表明，差压—流量联合观测在标定确认的范围内可对渐进泄漏与局部过流受限形成有效的早期提示，验证了方案的可行性。本实验覆盖三档供压与两类故障程度，样本量与工况数有限，且未包含真实射频与整机能耗，相关误差将通过留出批次与实物阶段的测量进一步收敛。</w:t>
            </w:r>
          </w:p>
          <w:p w14:paraId="739638EA">
            <w:pPr>
              <w:spacing w:after="80"/>
              <w:ind w:firstLine="0"/>
              <w:jc w:val="left"/>
              <w:outlineLvl w:val="1"/>
              <w:rPr>
                <w:rFonts w:hint="eastAsia" w:eastAsia="宋体"/>
                <w:lang w:eastAsia="zh-CN"/>
              </w:rPr>
            </w:pPr>
            <w:r>
              <w:rPr>
                <w:rFonts w:hint="eastAsia" w:ascii="Times New Roman" w:hAnsi="Times New Roman" w:eastAsia="宋体"/>
                <w:b w:val="1"/>
                <w:sz w:val="21"/>
              </w:rPr>
              <w:t>3.5. 要解决的主要问题</w:t>
            </w:r>
          </w:p>
          <w:p w14:paraId="64EA28E6">
            <w:pPr>
              <w:keepNext w:val="0"/>
              <w:keepLines w:val="0"/>
              <w:pageBreakBefore w:val="0"/>
              <w:widowControl w:val="1"/>
              <w:kinsoku w:val="1"/>
              <w:wordWrap w:val="1"/>
              <w:overflowPunct w:val="1"/>
              <w:topLinePunct w:val="0"/>
              <w:autoSpaceDE w:val="1"/>
              <w:autoSpaceDN w:val="1"/>
              <w:bidi w:val="0"/>
              <w:adjustRightInd w:val="1"/>
              <w:snapToGrid w:val="1"/>
              <w:spacing w:after="80"/>
              <w:ind w:firstLine="420" w:firstLineChars="200"/>
              <w:jc w:val="both"/>
              <w:textAlignment w:val="auto"/>
              <w:rPr>
                <w:rFonts w:hint="eastAsia" w:ascii="宋体" w:hAnsi="宋体" w:eastAsia="宋体" w:cs="宋体"/>
                <w:b w:val="0"/>
                <w:sz w:val="21"/>
              </w:rPr>
            </w:pPr>
            <w:r>
              <w:rPr>
                <w:rFonts w:hint="eastAsia" w:ascii="宋体" w:hAnsi="宋体" w:eastAsia="宋体" w:cs="宋体"/>
                <w:b w:val="0"/>
                <w:sz w:val="21"/>
              </w:rPr>
              <w:t>（1）低量程差压的可辨识范围。判据以两测点压差与总流量为输入，核心问题是5%—15%的等效变化能否被稳定分辨。本项目已将压力测量由两只表压变送器相减改为单只差压变送器：原方案用200kPa量程测量5—10kPa压差，量程是信号的20—40倍，两路合成的标称不确定度约0.74kPa，在三档供压下均不足以分辨5%的变化；改用35—40 kPa 档、±0.5%FS差压变送器后，不确定度降至约0.05kPa，三档供压下目标变化与不确定度之比约为10、15与21，具备分辨能力。流量侧10秒滚动计数窗的相对分辨力约0.278%，优于5%目标一个数量级，不再是瓶颈。可辨识范围以“目标变化量与扩展不确定度能够分离”为判据确定，5%作为测量能力的边界情形单独评价，10%为本期预期验证的正式下限。实测不确定度将由台架标定阶段的不确定度评定给出。</w:t>
            </w:r>
          </w:p>
          <w:p w14:paraId="2B0CA75A">
            <w:pPr>
              <w:keepNext w:val="0"/>
              <w:keepLines w:val="0"/>
              <w:pageBreakBefore w:val="0"/>
              <w:widowControl w:val="1"/>
              <w:kinsoku w:val="1"/>
              <w:wordWrap w:val="1"/>
              <w:overflowPunct w:val="1"/>
              <w:topLinePunct w:val="0"/>
              <w:autoSpaceDE w:val="1"/>
              <w:autoSpaceDN w:val="1"/>
              <w:bidi w:val="0"/>
              <w:adjustRightInd w:val="1"/>
              <w:snapToGrid w:val="1"/>
              <w:spacing w:after="80"/>
              <w:ind w:firstLine="420" w:firstLineChars="200"/>
              <w:jc w:val="both"/>
              <w:textAlignment w:val="auto"/>
              <w:rPr>
                <w:rFonts w:hint="eastAsia" w:ascii="宋体" w:hAnsi="宋体" w:eastAsia="宋体" w:cs="宋体"/>
                <w:b w:val="0"/>
                <w:sz w:val="21"/>
              </w:rPr>
            </w:pPr>
            <w:r>
              <w:rPr>
                <w:rFonts w:hint="eastAsia" w:ascii="宋体" w:hAnsi="宋体" w:eastAsia="宋体" w:cs="宋体"/>
                <w:b w:val="0"/>
                <w:sz w:val="21"/>
              </w:rPr>
              <w:t>（2）扰动工况下判据的稳健性。B支路开闭会改变两支路的等效负载之和，从而改变公共压力与A支路的工作点；正常轮灌切换、邻支路负载变化与上游供压调整都可能形成与故障相似的水力观测。本项目将供压调整、正常轮灌切换与负载变化列为对照工况，在80、120、160kPa三档供压下分别重复故障与正常对照，并以稳健门限与连续确认抑制瞬时越限造成的误触发；双支管模型实验室检验用于考察同一判据在邻支路状态变化时的检出与误报，据此给出判据的适用范围，作为后续研究的起点。</w:t>
            </w:r>
          </w:p>
          <w:p w14:paraId="76BE7B85">
            <w:pPr>
              <w:keepNext w:val="0"/>
              <w:keepLines w:val="0"/>
              <w:pageBreakBefore w:val="0"/>
              <w:widowControl w:val="1"/>
              <w:kinsoku w:val="1"/>
              <w:wordWrap w:val="1"/>
              <w:overflowPunct w:val="1"/>
              <w:topLinePunct w:val="0"/>
              <w:autoSpaceDE w:val="1"/>
              <w:autoSpaceDN w:val="1"/>
              <w:bidi w:val="0"/>
              <w:adjustRightInd w:val="1"/>
              <w:snapToGrid w:val="1"/>
              <w:spacing w:after="80"/>
              <w:ind w:firstLine="420" w:firstLineChars="200"/>
              <w:jc w:val="both"/>
              <w:textAlignment w:val="auto"/>
              <w:rPr>
                <w:rFonts w:hint="eastAsia" w:ascii="宋体" w:hAnsi="宋体" w:eastAsia="宋体" w:cs="宋体"/>
                <w:b w:val="0"/>
                <w:sz w:val="21"/>
              </w:rPr>
            </w:pPr>
            <w:r>
              <w:rPr>
                <w:rFonts w:hint="eastAsia" w:ascii="宋体" w:hAnsi="宋体" w:eastAsia="宋体" w:cs="宋体"/>
                <w:b w:val="0"/>
                <w:sz w:val="21"/>
              </w:rPr>
              <w:t>（3）健康参照与判据门限的确定及其适用性。判据的可靠性取决于健康参照的质量：参照需由有限次健康试验建立，还要适应负载结构差异、温度变化以及长期运行引起的缓慢漂移。本项目将在标定阶段拟合健康状态的“压力—流量”关系，以残差的波动范围确定门限；验证采用未参与拟合的留出批次，通过分别去除工况信息与单路压力的消融比较，说明检出能力的来源；对参照漂移，则以维护前后配对的复测记录评价其稳定性，并明确重新标定的条件。</w:t>
            </w:r>
          </w:p>
          <w:p w14:paraId="487CA7B2">
            <w:pPr>
              <w:keepNext w:val="0"/>
              <w:keepLines w:val="0"/>
              <w:pageBreakBefore w:val="0"/>
              <w:widowControl w:val="1"/>
              <w:kinsoku w:val="1"/>
              <w:wordWrap w:val="1"/>
              <w:overflowPunct w:val="1"/>
              <w:topLinePunct w:val="0"/>
              <w:autoSpaceDE w:val="1"/>
              <w:autoSpaceDN w:val="1"/>
              <w:bidi w:val="0"/>
              <w:adjustRightInd w:val="1"/>
              <w:snapToGrid w:val="1"/>
              <w:spacing w:after="80"/>
              <w:ind w:firstLine="420" w:firstLineChars="200"/>
              <w:jc w:val="both"/>
              <w:textAlignment w:val="auto"/>
              <w:rPr>
                <w:rFonts w:hint="eastAsia" w:ascii="宋体" w:hAnsi="宋体" w:eastAsia="宋体" w:cs="宋体"/>
                <w:b w:val="0"/>
                <w:sz w:val="21"/>
              </w:rPr>
            </w:pPr>
            <w:r>
              <w:rPr>
                <w:rFonts w:hint="eastAsia" w:ascii="宋体" w:hAnsi="宋体" w:eastAsia="宋体" w:cs="宋体"/>
                <w:b w:val="0"/>
                <w:sz w:val="21"/>
              </w:rPr>
              <w:t>（4）上游共同扰动与本支管异常的区分。现场单节点以本支管自身观测为主，缺少首部参照与多支管同步数据，据此不易直接区分压力变化来自上游共同扰动还是本支管故障。本项目将在双支管台架与首部/干管参照条件下进行机理验证：当参照与支管同步变化时判为工况变化，当支管单独变化而参照稳定时才形成本支管候选；并据此给出可提示的区段范围与建议检查部位。</w:t>
            </w:r>
          </w:p>
          <w:p w14:paraId="4ED3B8A5">
            <w:pPr>
              <w:keepNext w:val="0"/>
              <w:keepLines w:val="0"/>
              <w:pageBreakBefore w:val="0"/>
              <w:widowControl w:val="1"/>
              <w:kinsoku w:val="1"/>
              <w:wordWrap w:val="1"/>
              <w:overflowPunct w:val="1"/>
              <w:topLinePunct w:val="0"/>
              <w:autoSpaceDE w:val="1"/>
              <w:autoSpaceDN w:val="1"/>
              <w:bidi w:val="0"/>
              <w:adjustRightInd w:val="1"/>
              <w:snapToGrid w:val="1"/>
              <w:spacing w:after="80"/>
              <w:ind w:firstLine="420" w:firstLineChars="200"/>
              <w:jc w:val="both"/>
              <w:textAlignment w:val="auto"/>
              <w:rPr>
                <w:rFonts w:hint="eastAsia" w:ascii="宋体" w:hAnsi="宋体" w:eastAsia="宋体" w:cs="宋体"/>
                <w:b w:val="0"/>
                <w:sz w:val="21"/>
              </w:rPr>
            </w:pPr>
            <w:r>
              <w:rPr>
                <w:rFonts w:hint="eastAsia" w:ascii="宋体" w:hAnsi="宋体" w:eastAsia="宋体" w:cs="宋体"/>
                <w:b w:val="0"/>
                <w:sz w:val="21"/>
              </w:rPr>
              <w:t>（5）事件触发下提示及时性与漏检代价的平衡。降低周期上报可减少读取与通信次数，但会推迟确认时刻，可能使部分渐进故障在早期阶段被漏掉。本项目将在同一批轨迹上比较快周期、慢周期、原始事件上报与限频上报四种策略，分别统计读取次数、发送次数、首次持续候选时刻与提示提前量、漏检与误报情况，据此给出采集与通信策略在及时性与资源占用之间的取舍。需说明的是，固定1Hz基线适用于分钟级以上的渐进异常，不足以刻画阀门动作的秒级过渡过程；项目将以1Hz为主线，并预留突发采样通道对阀门动作时段加密观测。通信效果以期限内送达的比例、P50与P95延迟以及超期与未送达的数量评价，不以固定时延作为最终成果。</w:t>
            </w:r>
          </w:p>
          <w:p w14:paraId="44FFAB9D">
            <w:pPr>
              <w:keepNext w:val="0"/>
              <w:keepLines w:val="0"/>
              <w:pageBreakBefore w:val="0"/>
              <w:widowControl w:val="1"/>
              <w:kinsoku w:val="1"/>
              <w:wordWrap w:val="1"/>
              <w:overflowPunct w:val="1"/>
              <w:topLinePunct w:val="0"/>
              <w:autoSpaceDE w:val="1"/>
              <w:autoSpaceDN w:val="1"/>
              <w:bidi w:val="0"/>
              <w:adjustRightInd w:val="1"/>
              <w:snapToGrid w:val="1"/>
              <w:spacing w:after="80"/>
              <w:ind w:firstLine="420" w:firstLineChars="200"/>
              <w:jc w:val="both"/>
              <w:textAlignment w:val="auto"/>
              <w:rPr>
                <w:rFonts w:hint="eastAsia" w:ascii="宋体" w:hAnsi="宋体" w:eastAsia="宋体" w:cs="宋体"/>
                <w:b w:val="0"/>
                <w:sz w:val="21"/>
              </w:rPr>
            </w:pPr>
            <w:r>
              <w:rPr>
                <w:rFonts w:hint="eastAsia" w:ascii="宋体" w:hAnsi="宋体" w:eastAsia="宋体" w:cs="宋体"/>
                <w:b w:val="0"/>
                <w:sz w:val="21"/>
              </w:rPr>
              <w:t>（6）射频与整机能耗的实测条件。现有结果覆盖协议逻辑与链路回放，真实射频性能与整机电流需要在实物阶段测量。项目将在实物联调时记录无线发射与存储写入同时工作时的电压、电流与复位情况，比较模块在不同空中速率与发射功率下的实际覆盖与误码表现，并在具备整机电流测量条件后补充能耗指标，使通信评价与能耗评价各自独立成立。</w:t>
            </w:r>
          </w:p>
          <w:p w14:paraId="72DAE9DB">
            <w:pPr>
              <w:keepNext w:val="0"/>
              <w:keepLines w:val="0"/>
              <w:pageBreakBefore w:val="0"/>
              <w:widowControl w:val="1"/>
              <w:kinsoku w:val="1"/>
              <w:wordWrap w:val="1"/>
              <w:overflowPunct w:val="1"/>
              <w:topLinePunct w:val="0"/>
              <w:autoSpaceDE w:val="1"/>
              <w:autoSpaceDN w:val="1"/>
              <w:bidi w:val="0"/>
              <w:adjustRightInd w:val="1"/>
              <w:snapToGrid w:val="1"/>
              <w:spacing w:after="80"/>
              <w:ind w:firstLine="420" w:firstLineChars="200"/>
              <w:jc w:val="both"/>
              <w:textAlignment w:val="auto"/>
              <w:rPr>
                <w:rFonts w:hint="default" w:ascii="Times New Roman" w:hAnsi="Times New Roman" w:eastAsia="宋体" w:cs="Times New Roman"/>
                <w:sz w:val="21"/>
                <w:szCs w:val="28"/>
                <w:lang w:val="en-US" w:eastAsia="zh-CN"/>
              </w:rPr>
            </w:pPr>
            <w:r>
              <w:rPr>
                <w:rFonts w:hint="eastAsia" w:ascii="宋体" w:hAnsi="宋体" w:eastAsia="宋体" w:cs="宋体"/>
                <w:b w:val="0"/>
                <w:sz w:val="21"/>
              </w:rPr>
              <w:t>基于上述分析，</w:t>
            </w:r>
            <w:r>
              <w:rPr>
                <w:rFonts w:hint="eastAsia" w:ascii="宋体" w:hAnsi="宋体" w:cs="宋体"/>
                <w:b w:val="0"/>
                <w:sz w:val="21"/>
                <w:lang w:val="en-US" w:eastAsia="zh-CN"/>
              </w:rPr>
              <w:t>本</w:t>
            </w:r>
            <w:r>
              <w:rPr>
                <w:rFonts w:hint="eastAsia" w:ascii="宋体" w:hAnsi="宋体" w:eastAsia="宋体" w:cs="宋体"/>
                <w:b w:val="0"/>
                <w:sz w:val="21"/>
              </w:rPr>
              <w:t>团队已在双支路台架概念设计、集中参数水力模型、采集接口方案与离线巡检平台等方面完成前期工作，测量、判据与通信三个环节均有明确的验证路径和相应的对照设计，具备完成本期研究任务的条件与信心。</w:t>
            </w:r>
          </w:p>
        </w:tc>
      </w:tr>
      <w:tr>
        <w:trPr>
          <w:trHeight w:val="0" w:hRule="atLeast"/>
          <w:jc w:val="center"/>
        </w:trPr>
        <w:tc>
          <w:tcPr>
            <w:tcW w:w="9286" w:type="dxa"/>
            <w:gridSpan w:val="9"/>
            <w:noWrap w:val="0"/>
            <w:vAlign w:val="top"/>
          </w:tcPr>
          <w:p w14:paraId="3B57E35F">
            <w:pPr>
              <w:pageBreakBefore w:val="0"/>
              <w:numPr>
                <w:ilvl w:val="0"/>
                <w:numId w:val="2"/>
              </w:numPr>
              <w:kinsoku w:val="1"/>
              <w:wordWrap w:val="1"/>
              <w:overflowPunct w:val="1"/>
              <w:topLinePunct w:val="0"/>
              <w:autoSpaceDE w:val="1"/>
              <w:autoSpaceDN w:val="1"/>
              <w:bidi w:val="0"/>
              <w:adjustRightInd w:val="1"/>
              <w:snapToGrid w:val="1"/>
              <w:spacing w:after="80"/>
              <w:ind w:left="0" w:leftChars="0" w:firstLine="0" w:firstLineChars="0"/>
              <w:jc w:val="both"/>
              <w:textAlignment w:val="auto"/>
              <w:rPr>
                <w:rFonts w:hint="eastAsia" w:ascii="宋体" w:hAnsi="宋体" w:eastAsia="宋体"/>
                <w:b w:val="1"/>
                <w:color w:val="FF0000"/>
                <w:sz w:val="21"/>
                <w:szCs w:val="21"/>
              </w:rPr>
            </w:pPr>
            <w:r>
              <w:rPr>
                <w:rFonts w:hint="eastAsia" w:ascii="宋体" w:hAnsi="宋体" w:eastAsia="宋体"/>
                <w:b w:val="1"/>
                <w:sz w:val="21"/>
                <w:szCs w:val="21"/>
              </w:rPr>
              <w:t>国内外研究现状与发展动态</w:t>
            </w:r>
          </w:p>
          <w:p w14:paraId="1665C1AC">
            <w:pPr>
              <w:keepNext w:val="0"/>
              <w:keepLines w:val="0"/>
              <w:pageBreakBefore w:val="0"/>
              <w:widowControl w:val="0"/>
              <w:kinsoku w:val="1"/>
              <w:wordWrap w:val="1"/>
              <w:overflowPunct w:val="1"/>
              <w:topLinePunct w:val="0"/>
              <w:autoSpaceDE w:val="1"/>
              <w:autoSpaceDN w:val="1"/>
              <w:bidi w:val="0"/>
              <w:adjustRightInd w:val="1"/>
              <w:snapToGrid w:val="1"/>
              <w:spacing w:after="80"/>
              <w:textAlignment w:val="auto"/>
              <w:rPr>
                <w:rFonts w:hint="eastAsia" w:ascii="宋体" w:hAnsi="宋体" w:eastAsia="宋体" w:cs="宋体"/>
                <w:sz w:val="21"/>
                <w:szCs w:val="21"/>
              </w:rPr>
            </w:pPr>
            <w:r>
              <w:rPr>
                <w:rFonts w:hint="eastAsia" w:ascii="宋体" w:hAnsi="宋体" w:cs="宋体"/>
                <w:b w:val="1"/>
                <w:sz w:val="21"/>
                <w:szCs w:val="21"/>
                <w:lang w:val="en-US" w:eastAsia="zh-CN"/>
              </w:rPr>
              <w:t>4.</w:t>
            </w:r>
            <w:r>
              <w:rPr>
                <w:rFonts w:hint="eastAsia" w:ascii="宋体" w:hAnsi="宋体" w:eastAsia="宋体" w:cs="宋体"/>
                <w:b w:val="1"/>
                <w:sz w:val="21"/>
                <w:szCs w:val="21"/>
              </w:rPr>
              <w:t>1 国内研究现状</w:t>
            </w:r>
          </w:p>
          <w:p w14:paraId="61F3F8A4">
            <w:pPr>
              <w:pageBreakBefore w:val="0"/>
              <w:kinsoku w:val="1"/>
              <w:wordWrap w:val="1"/>
              <w:overflowPunct w:val="1"/>
              <w:topLinePunct w:val="0"/>
              <w:autoSpaceDE w:val="1"/>
              <w:autoSpaceDN w:val="1"/>
              <w:bidi w:val="0"/>
              <w:adjustRightInd w:val="1"/>
              <w:snapToGrid w:val="1"/>
              <w:spacing w:after="80"/>
              <w:ind w:firstLine="420"/>
              <w:jc w:val="both"/>
              <w:textAlignment w:val="auto"/>
            </w:pPr>
            <w:r>
              <w:rPr>
                <w:rFonts w:hint="eastAsia" w:ascii="Times New Roman" w:hAnsi="Times New Roman" w:eastAsia="宋体"/>
                <w:b w:val="0"/>
                <w:sz w:val="21"/>
              </w:rPr>
              <w:t>国内研究对南疆滴灌的关注集中于农艺管理与管网设计，为支管级监测提供了应用对象和管网层级依据。李慧琴等针对南疆棉花“滴水出苗”提出铺管、压力均匀性及适量滴水等管理建议</w:t>
            </w:r>
            <w:r>
              <w:rPr>
                <w:rFonts w:ascii="Times New Roman" w:hAnsi="Times New Roman" w:eastAsia="宋体"/>
                <w:b w:val="0"/>
                <w:sz w:val="21"/>
                <w:vertAlign w:val="superscript"/>
              </w:rPr>
              <w:t>[1]</w:t>
            </w:r>
            <w:r>
              <w:rPr>
                <w:rFonts w:hint="eastAsia" w:ascii="Times New Roman" w:hAnsi="Times New Roman" w:eastAsia="宋体"/>
                <w:b w:val="0"/>
                <w:sz w:val="21"/>
              </w:rPr>
              <w:t>；张晔以昌吉棉田工程为例，讨论膜下滴灌的支管、辅管和毛管布置及轮灌组织</w:t>
            </w:r>
            <w:r>
              <w:rPr>
                <w:rFonts w:ascii="Times New Roman" w:hAnsi="Times New Roman" w:eastAsia="宋体"/>
                <w:b w:val="0"/>
                <w:sz w:val="21"/>
                <w:vertAlign w:val="superscript"/>
              </w:rPr>
              <w:t>[</w:t>
            </w:r>
            <w:r>
              <w:rPr>
                <w:rFonts w:hint="eastAsia" w:ascii="Times New Roman" w:hAnsi="Times New Roman"/>
                <w:b w:val="0"/>
                <w:sz w:val="21"/>
                <w:vertAlign w:val="superscript"/>
                <w:lang w:val="en-US" w:eastAsia="zh-CN"/>
              </w:rPr>
              <w:t>2</w:t>
            </w:r>
            <w:r>
              <w:rPr>
                <w:rFonts w:ascii="Times New Roman" w:hAnsi="Times New Roman" w:eastAsia="宋体"/>
                <w:b w:val="0"/>
                <w:sz w:val="21"/>
                <w:vertAlign w:val="superscript"/>
              </w:rPr>
              <w:t>]</w:t>
            </w:r>
            <w:r>
              <w:rPr>
                <w:rFonts w:hint="eastAsia" w:ascii="Times New Roman" w:hAnsi="Times New Roman" w:eastAsia="宋体"/>
                <w:b w:val="0"/>
                <w:sz w:val="21"/>
              </w:rPr>
              <w:t>。两类研究共同说明支管承压状态是影响灌水均匀性的关键，但多停留在设计与农艺管理层面，缺少对运行中支管异常的在线辨识。</w:t>
            </w:r>
          </w:p>
          <w:p w14:paraId="6B376AE4">
            <w:pPr>
              <w:pageBreakBefore w:val="0"/>
              <w:kinsoku w:val="1"/>
              <w:wordWrap w:val="1"/>
              <w:overflowPunct w:val="1"/>
              <w:topLinePunct w:val="0"/>
              <w:autoSpaceDE w:val="1"/>
              <w:autoSpaceDN w:val="1"/>
              <w:bidi w:val="0"/>
              <w:adjustRightInd w:val="1"/>
              <w:snapToGrid w:val="1"/>
              <w:spacing w:after="80"/>
              <w:ind w:firstLine="420"/>
              <w:jc w:val="both"/>
              <w:textAlignment w:val="auto"/>
            </w:pPr>
            <w:r>
              <w:rPr>
                <w:rFonts w:hint="eastAsia" w:ascii="Times New Roman" w:hAnsi="Times New Roman" w:eastAsia="宋体"/>
                <w:b w:val="0"/>
                <w:sz w:val="21"/>
              </w:rPr>
              <w:t>在水力分析与泄漏机理方面，丁法龙等建立滴灌管主流道沿程压力分布模型并开展测压、测流验证</w:t>
            </w:r>
            <w:r>
              <w:rPr>
                <w:rFonts w:ascii="Times New Roman" w:hAnsi="Times New Roman" w:eastAsia="宋体"/>
                <w:b w:val="0"/>
                <w:sz w:val="21"/>
                <w:vertAlign w:val="superscript"/>
              </w:rPr>
              <w:t>[</w:t>
            </w:r>
            <w:r>
              <w:rPr>
                <w:rFonts w:hint="eastAsia" w:ascii="Times New Roman" w:hAnsi="Times New Roman"/>
                <w:b w:val="0"/>
                <w:sz w:val="21"/>
                <w:vertAlign w:val="superscript"/>
                <w:lang w:val="en-US" w:eastAsia="zh-CN"/>
              </w:rPr>
              <w:t>3</w:t>
            </w:r>
            <w:r>
              <w:rPr>
                <w:rFonts w:ascii="Times New Roman" w:hAnsi="Times New Roman" w:eastAsia="宋体"/>
                <w:b w:val="0"/>
                <w:sz w:val="21"/>
                <w:vertAlign w:val="superscript"/>
              </w:rPr>
              <w:t>]</w:t>
            </w:r>
            <w:r>
              <w:rPr>
                <w:rFonts w:hint="eastAsia" w:ascii="Times New Roman" w:hAnsi="Times New Roman" w:eastAsia="宋体"/>
                <w:b w:val="0"/>
                <w:sz w:val="21"/>
              </w:rPr>
              <w:t>，表明分布出流和管道结构显著影响压力关系；付建民等研究液相管道流量、压力与小孔泄漏速率的关系</w:t>
            </w:r>
            <w:r>
              <w:rPr>
                <w:rFonts w:ascii="Times New Roman" w:hAnsi="Times New Roman" w:eastAsia="宋体"/>
                <w:b w:val="0"/>
                <w:sz w:val="21"/>
                <w:vertAlign w:val="superscript"/>
              </w:rPr>
              <w:t>[</w:t>
            </w:r>
            <w:r>
              <w:rPr>
                <w:rFonts w:hint="eastAsia" w:ascii="Times New Roman" w:hAnsi="Times New Roman"/>
                <w:b w:val="0"/>
                <w:sz w:val="21"/>
                <w:vertAlign w:val="superscript"/>
                <w:lang w:val="en-US" w:eastAsia="zh-CN"/>
              </w:rPr>
              <w:t>4</w:t>
            </w:r>
            <w:r>
              <w:rPr>
                <w:rFonts w:ascii="Times New Roman" w:hAnsi="Times New Roman" w:eastAsia="宋体"/>
                <w:b w:val="0"/>
                <w:sz w:val="21"/>
                <w:vertAlign w:val="superscript"/>
              </w:rPr>
              <w:t>]</w:t>
            </w:r>
            <w:r>
              <w:rPr>
                <w:rFonts w:hint="eastAsia" w:ascii="Times New Roman" w:hAnsi="Times New Roman" w:eastAsia="宋体"/>
                <w:b w:val="0"/>
                <w:sz w:val="21"/>
              </w:rPr>
              <w:t>，为联合水力观测判断泄漏提供了方法参考。这些工作支撑支管异常识别，但前者偏单管水力建模、后者对象为工业管道，应用到滴灌管网需重新标定。国内近年也有面向新疆高标准农田、针对输水距离过长导致压力不稳与滴灌不均问题设计的LoRa滴灌终端系统，说明LoRa已进入国内滴灌现场，但其着眼点是灌区终端控制与组网，而非支管故障诊断。</w:t>
            </w:r>
          </w:p>
          <w:p w14:paraId="25505E07">
            <w:pPr>
              <w:pageBreakBefore w:val="0"/>
              <w:kinsoku w:val="1"/>
              <w:wordWrap w:val="1"/>
              <w:overflowPunct w:val="1"/>
              <w:topLinePunct w:val="0"/>
              <w:autoSpaceDE w:val="1"/>
              <w:autoSpaceDN w:val="1"/>
              <w:bidi w:val="0"/>
              <w:adjustRightInd w:val="1"/>
              <w:snapToGrid w:val="1"/>
              <w:spacing w:after="80"/>
              <w:ind w:firstLine="420"/>
              <w:jc w:val="both"/>
              <w:textAlignment w:val="auto"/>
            </w:pPr>
            <w:r>
              <w:rPr>
                <w:rFonts w:hint="eastAsia" w:ascii="Times New Roman" w:hAnsi="Times New Roman" w:eastAsia="宋体"/>
                <w:b w:val="0"/>
                <w:sz w:val="21"/>
              </w:rPr>
              <w:t>就物联网灌溉而言，孟祥等设计了基于LoRa的农田智能灌溉系统</w:t>
            </w:r>
            <w:r>
              <w:rPr>
                <w:rFonts w:ascii="Times New Roman" w:hAnsi="Times New Roman" w:eastAsia="宋体"/>
                <w:b w:val="0"/>
                <w:sz w:val="21"/>
                <w:vertAlign w:val="superscript"/>
              </w:rPr>
              <w:t>[</w:t>
            </w:r>
            <w:r>
              <w:rPr>
                <w:rFonts w:hint="eastAsia" w:ascii="Times New Roman" w:hAnsi="Times New Roman"/>
                <w:b w:val="0"/>
                <w:sz w:val="21"/>
                <w:vertAlign w:val="superscript"/>
                <w:lang w:val="en-US" w:eastAsia="zh-CN"/>
              </w:rPr>
              <w:t>5</w:t>
            </w:r>
            <w:r>
              <w:rPr>
                <w:rFonts w:ascii="Times New Roman" w:hAnsi="Times New Roman" w:eastAsia="宋体"/>
                <w:b w:val="0"/>
                <w:sz w:val="21"/>
                <w:vertAlign w:val="superscript"/>
              </w:rPr>
              <w:t>]</w:t>
            </w:r>
            <w:r>
              <w:rPr>
                <w:rFonts w:hint="eastAsia" w:ascii="Times New Roman" w:hAnsi="Times New Roman" w:eastAsia="宋体"/>
                <w:b w:val="0"/>
                <w:sz w:val="21"/>
              </w:rPr>
              <w:t>，提供了节点、通信与管理软件的组织实例。总体看，国内研究侧重管网设计与系统集成，支管级、在真实轮灌扰动条件下的故障辨识研究仍较少。</w:t>
            </w:r>
          </w:p>
          <w:p w14:paraId="7D7158E1">
            <w:pPr>
              <w:keepNext w:val="0"/>
              <w:keepLines w:val="0"/>
              <w:pageBreakBefore w:val="0"/>
              <w:widowControl w:val="0"/>
              <w:kinsoku w:val="1"/>
              <w:wordWrap w:val="1"/>
              <w:overflowPunct w:val="1"/>
              <w:topLinePunct w:val="0"/>
              <w:autoSpaceDE w:val="1"/>
              <w:autoSpaceDN w:val="1"/>
              <w:bidi w:val="0"/>
              <w:adjustRightInd w:val="1"/>
              <w:snapToGrid w:val="1"/>
              <w:spacing w:after="80"/>
              <w:textAlignment w:val="auto"/>
              <w:rPr>
                <w:rFonts w:hint="eastAsia" w:ascii="宋体" w:hAnsi="宋体" w:eastAsia="宋体" w:cs="宋体"/>
                <w:sz w:val="21"/>
                <w:szCs w:val="21"/>
              </w:rPr>
            </w:pPr>
            <w:r>
              <w:rPr>
                <w:rFonts w:hint="eastAsia" w:ascii="宋体" w:hAnsi="宋体" w:cs="宋体"/>
                <w:b w:val="1"/>
                <w:sz w:val="21"/>
                <w:szCs w:val="21"/>
                <w:lang w:val="en-US" w:eastAsia="zh-CN"/>
              </w:rPr>
              <w:t>4.</w:t>
            </w:r>
            <w:r>
              <w:rPr>
                <w:rFonts w:hint="eastAsia" w:ascii="宋体" w:hAnsi="宋体" w:eastAsia="宋体" w:cs="宋体"/>
                <w:b w:val="1"/>
                <w:sz w:val="21"/>
                <w:szCs w:val="21"/>
              </w:rPr>
              <w:t>2 国外研究现状</w:t>
            </w:r>
          </w:p>
          <w:p w14:paraId="78EFF307">
            <w:pPr>
              <w:pageBreakBefore w:val="0"/>
              <w:kinsoku w:val="1"/>
              <w:wordWrap w:val="1"/>
              <w:overflowPunct w:val="1"/>
              <w:topLinePunct w:val="0"/>
              <w:autoSpaceDE w:val="1"/>
              <w:autoSpaceDN w:val="1"/>
              <w:bidi w:val="0"/>
              <w:adjustRightInd w:val="1"/>
              <w:snapToGrid w:val="1"/>
              <w:spacing w:after="80"/>
              <w:ind w:firstLine="420"/>
              <w:jc w:val="both"/>
              <w:textAlignment w:val="auto"/>
            </w:pPr>
            <w:r>
              <w:rPr>
                <w:rFonts w:hint="eastAsia" w:ascii="Times New Roman" w:hAnsi="Times New Roman" w:eastAsia="宋体"/>
                <w:b w:val="0"/>
                <w:sz w:val="21"/>
              </w:rPr>
              <w:t>国外在滴灌堵塞与漏损检测上积累了较多方法。Petit等对滴灌堵塞检测及分析方法进行综述</w:t>
            </w:r>
            <w:r>
              <w:rPr>
                <w:rFonts w:ascii="Times New Roman" w:hAnsi="Times New Roman" w:eastAsia="宋体"/>
                <w:b w:val="0"/>
                <w:sz w:val="21"/>
                <w:vertAlign w:val="superscript"/>
              </w:rPr>
              <w:t>[6]</w:t>
            </w:r>
            <w:r>
              <w:rPr>
                <w:rFonts w:hint="eastAsia" w:ascii="Times New Roman" w:hAnsi="Times New Roman" w:eastAsia="宋体"/>
                <w:b w:val="0"/>
                <w:sz w:val="21"/>
              </w:rPr>
              <w:t>，归纳了压力、流量等间接观测及其局限，指出单一信号难以准确识别堵塞，需结合运行条件综合分析。近年研究进一步把低成本传感与机器学习结合，用于管网泄漏的实时监测与定位，例如采用流量、压力与电导率多参数融合、以阈值与机器学习联合判别的管网异常监测系统，以及基于实时传感器数据的机器学习泄漏定位方案；也有研究利用压力瞬态响应，对水锤等暂态过程进行在线监测并建立过压/欠压早期预警。这些工作多面向市政供水或较大管网，对滴灌支管这一小流量、高频轮灌切换场景的可移植性仍需验证。</w:t>
            </w:r>
          </w:p>
          <w:p w14:paraId="46B27125">
            <w:pPr>
              <w:pageBreakBefore w:val="0"/>
              <w:kinsoku w:val="1"/>
              <w:wordWrap w:val="1"/>
              <w:overflowPunct w:val="1"/>
              <w:topLinePunct w:val="0"/>
              <w:autoSpaceDE w:val="1"/>
              <w:autoSpaceDN w:val="1"/>
              <w:bidi w:val="0"/>
              <w:adjustRightInd w:val="1"/>
              <w:snapToGrid w:val="1"/>
              <w:spacing w:after="80"/>
              <w:ind w:firstLine="420"/>
              <w:jc w:val="both"/>
              <w:textAlignment w:val="auto"/>
            </w:pPr>
            <w:r>
              <w:rPr>
                <w:rFonts w:hint="eastAsia" w:ascii="Times New Roman" w:hAnsi="Times New Roman" w:eastAsia="宋体"/>
                <w:b w:val="0"/>
                <w:sz w:val="21"/>
              </w:rPr>
              <w:t>在LoRa农业物联网方面，Loukatos等构建了可控灌溉平台，结合压力、流量和无线采集组织田间模拟实验</w:t>
            </w:r>
            <w:r>
              <w:rPr>
                <w:rFonts w:ascii="Times New Roman" w:hAnsi="Times New Roman" w:eastAsia="宋体"/>
                <w:b w:val="0"/>
                <w:sz w:val="21"/>
                <w:vertAlign w:val="superscript"/>
              </w:rPr>
              <w:t>[7]</w:t>
            </w:r>
            <w:r>
              <w:rPr>
                <w:rFonts w:hint="eastAsia" w:ascii="Times New Roman" w:hAnsi="Times New Roman" w:eastAsia="宋体"/>
                <w:b w:val="0"/>
                <w:sz w:val="21"/>
              </w:rPr>
              <w:t>，说明长距离低功耗采集与可控验证路径可行。此外，国外已出现多种LoRa土壤与环境监测系统，如Arduino–LoRa–Raspberry Pi的土壤参数采集可视化系统（田间实测通信距离约500m）、基于ESP32+LoRa的木本作物水分监测节点，以及LoRaWAN智能灌溉的30天田间部署（约3km网关距离下数据包交付率达96.2%、平均端到端延迟约2.1s）。这些工作验证了LoRa在农业现场的覆盖与可靠性，但其采集对象多为土壤水分与气象参数，专门面向支管压力—流量异常的事件式诊断仍较少。</w:t>
            </w:r>
          </w:p>
          <w:p w14:paraId="210846AA">
            <w:pPr>
              <w:pageBreakBefore w:val="0"/>
              <w:kinsoku w:val="1"/>
              <w:wordWrap w:val="1"/>
              <w:overflowPunct w:val="1"/>
              <w:topLinePunct w:val="0"/>
              <w:autoSpaceDE w:val="1"/>
              <w:autoSpaceDN w:val="1"/>
              <w:bidi w:val="0"/>
              <w:adjustRightInd w:val="1"/>
              <w:snapToGrid w:val="1"/>
              <w:spacing w:after="80"/>
              <w:ind w:firstLine="420"/>
              <w:jc w:val="both"/>
              <w:textAlignment w:val="auto"/>
            </w:pPr>
            <w:r>
              <w:rPr>
                <w:rFonts w:hint="eastAsia" w:ascii="Times New Roman" w:hAnsi="Times New Roman" w:eastAsia="宋体"/>
                <w:b w:val="0"/>
                <w:sz w:val="21"/>
              </w:rPr>
              <w:t>在事件与自适应采样方面，Lozoya等以过程模型预测下一次采集时刻，比较非周期采样与周期方案在通信和能量上的取舍</w:t>
            </w:r>
            <w:r>
              <w:rPr>
                <w:rFonts w:ascii="Times New Roman" w:hAnsi="Times New Roman" w:eastAsia="宋体"/>
                <w:b w:val="0"/>
                <w:sz w:val="21"/>
                <w:vertAlign w:val="superscript"/>
              </w:rPr>
              <w:t>[8]</w:t>
            </w:r>
            <w:r>
              <w:rPr>
                <w:rFonts w:hint="eastAsia" w:ascii="Times New Roman" w:hAnsi="Times New Roman" w:eastAsia="宋体"/>
                <w:b w:val="0"/>
                <w:sz w:val="21"/>
              </w:rPr>
              <w:t>，其对象为山核桃灌溉、链路为IEEE 802.15.4/Zigbee。近年来，面向低功耗农业监测的自适应采样得到发展，如能量收集型无线传感网根据温度尖峰、降水等环境触发自动调整采样率，以及神经形态连续土壤监测等，均以降低通信与能耗为目标。但这些自适应策略多以环境参数为对象，围绕支管压力流量异常、以工况记录辅助的事件触发诊断，尚缺乏系统研究。</w:t>
            </w:r>
          </w:p>
          <w:p w14:paraId="454F9C50">
            <w:pPr>
              <w:keepNext w:val="0"/>
              <w:keepLines w:val="0"/>
              <w:pageBreakBefore w:val="0"/>
              <w:widowControl w:val="0"/>
              <w:kinsoku w:val="1"/>
              <w:wordWrap w:val="1"/>
              <w:overflowPunct w:val="1"/>
              <w:topLinePunct w:val="0"/>
              <w:autoSpaceDE w:val="1"/>
              <w:autoSpaceDN w:val="1"/>
              <w:bidi w:val="0"/>
              <w:adjustRightInd w:val="1"/>
              <w:snapToGrid w:val="1"/>
              <w:spacing w:after="80"/>
              <w:textAlignment w:val="auto"/>
              <w:rPr>
                <w:rFonts w:hint="eastAsia" w:ascii="宋体" w:hAnsi="宋体" w:eastAsia="宋体" w:cs="宋体"/>
                <w:sz w:val="21"/>
                <w:szCs w:val="21"/>
              </w:rPr>
            </w:pPr>
            <w:r>
              <w:rPr>
                <w:rFonts w:hint="eastAsia" w:ascii="宋体" w:hAnsi="宋体" w:cs="宋体"/>
                <w:b w:val="1"/>
                <w:sz w:val="21"/>
                <w:szCs w:val="21"/>
                <w:lang w:val="en-US" w:eastAsia="zh-CN"/>
              </w:rPr>
              <w:t>4.</w:t>
            </w:r>
            <w:r>
              <w:rPr>
                <w:rFonts w:hint="eastAsia" w:ascii="宋体" w:hAnsi="宋体" w:eastAsia="宋体" w:cs="宋体"/>
                <w:b w:val="1"/>
                <w:sz w:val="21"/>
                <w:szCs w:val="21"/>
              </w:rPr>
              <w:t>3 已有不足与本项目空间</w:t>
            </w:r>
          </w:p>
          <w:p w14:paraId="29402EF6">
            <w:pPr>
              <w:pageBreakBefore w:val="0"/>
              <w:kinsoku w:val="1"/>
              <w:wordWrap w:val="1"/>
              <w:overflowPunct w:val="1"/>
              <w:topLinePunct w:val="0"/>
              <w:autoSpaceDE w:val="1"/>
              <w:autoSpaceDN w:val="1"/>
              <w:bidi w:val="0"/>
              <w:adjustRightInd w:val="1"/>
              <w:snapToGrid w:val="1"/>
              <w:spacing w:after="80"/>
              <w:ind w:firstLine="420"/>
              <w:jc w:val="both"/>
              <w:textAlignment w:val="auto"/>
            </w:pPr>
            <w:r>
              <w:rPr>
                <w:rFonts w:hint="eastAsia" w:ascii="Times New Roman" w:hAnsi="Times New Roman" w:eastAsia="宋体"/>
                <w:b w:val="0"/>
                <w:sz w:val="21"/>
              </w:rPr>
              <w:t>综合国内外研究，支管级监测、水力异常识别、LoRa集成与事件采集在技术路径上均有可借鉴之处，但仍存在三点不足：其一，未见针对南疆棉田支管、用真实轮灌数据回答“正常切换与故障如何区分”的研究；其二，支管级诊断较少同时纳入上游供压波动、阀门动作引起的秒级过渡、下游毛管堵塞引起的背压抬升，以及多支管同步变化与单支管局部异常的辨识；其三，事件触发的收益多以土壤水分与环境参数评价，缺少围绕支管水力异常、量化读取与通信代价的证据。</w:t>
            </w:r>
          </w:p>
          <w:p w14:paraId="6787D511">
            <w:pPr>
              <w:pageBreakBefore w:val="0"/>
              <w:kinsoku w:val="1"/>
              <w:wordWrap w:val="1"/>
              <w:overflowPunct w:val="1"/>
              <w:topLinePunct w:val="0"/>
              <w:autoSpaceDE w:val="1"/>
              <w:autoSpaceDN w:val="1"/>
              <w:bidi w:val="0"/>
              <w:adjustRightInd w:val="1"/>
              <w:snapToGrid w:val="1"/>
              <w:spacing w:after="80"/>
              <w:ind w:firstLine="420"/>
              <w:jc w:val="both"/>
              <w:textAlignment w:val="auto"/>
            </w:pPr>
            <w:r>
              <w:rPr>
                <w:rFonts w:hint="eastAsia" w:ascii="Times New Roman" w:hAnsi="Times New Roman" w:eastAsia="宋体"/>
                <w:b w:val="0"/>
                <w:sz w:val="21"/>
              </w:rPr>
              <w:t>据此，本项目把改进重点放在三个方面。其一，利用差压—流量与工况记录提高渐进异常提示的可复核性，研究正常调节与故障之间的辨识边界。其二，将上游供压波动、阀门动作引起的秒级过渡（毫秒级压力瞬态后续以突发采样拓展）与下游毛管堵塞引起的背压抬升纳入扰动对照，结合首部/干管参照研究共同扰动与局部异常的辨识，为多支管分区监测积累判据。其三，在此基础上比较事件触发分级采集和可靠上报，分析减少观测与通信时的响应代价。控制请求演示和桌面平台承担系统集成任务，研究结论由独立标定、正常干扰对照与留出批次支持。</w:t>
            </w:r>
          </w:p>
          <w:p w14:paraId="5743FAA6">
            <w:pPr>
              <w:keepNext w:val="1"/>
              <w:keepLines w:val="0"/>
              <w:pageBreakBefore w:val="0"/>
              <w:widowControl w:val="1"/>
              <w:kinsoku w:val="1"/>
              <w:wordWrap w:val="1"/>
              <w:overflowPunct w:val="1"/>
              <w:topLinePunct w:val="0"/>
              <w:autoSpaceDE w:val="1"/>
              <w:autoSpaceDN w:val="1"/>
              <w:bidi w:val="0"/>
              <w:adjustRightInd w:val="1"/>
              <w:snapToGrid w:val="1"/>
              <w:spacing w:before="0" w:after="80" w:line="240" w:lineRule="auto"/>
              <w:jc w:val="both"/>
              <w:textAlignment w:val="auto"/>
              <w:rPr>
                <w:rFonts w:hint="default" w:ascii="Times New Roman" w:hAnsi="Times New Roman" w:eastAsia="宋体" w:cs="Times New Roman"/>
                <w:sz w:val="21"/>
                <w:szCs w:val="28"/>
                <w:lang w:val="en-US" w:eastAsia="zh-CN"/>
              </w:rPr>
            </w:pPr>
            <w:r>
              <w:rPr>
                <w:rFonts w:hint="eastAsia" w:ascii="宋体" w:hAnsi="宋体" w:eastAsia="宋体"/>
                <w:b w:val="1"/>
                <w:sz w:val="21"/>
                <w:szCs w:val="21"/>
              </w:rPr>
              <w:t>参考文献</w:t>
            </w:r>
          </w:p>
          <w:p w14:paraId="29D0803E">
            <w:pPr>
              <w:keepNext w:val="0"/>
              <w:keepLines w:val="1"/>
              <w:pageBreakBefore w:val="0"/>
              <w:widowControl w:val="1"/>
              <w:numPr>
                <w:numId w:val="0"/>
              </w:numPr>
              <w:kinsoku w:val="1"/>
              <w:wordWrap w:val="1"/>
              <w:overflowPunct w:val="1"/>
              <w:topLinePunct w:val="0"/>
              <w:autoSpaceDE w:val="1"/>
              <w:autoSpaceDN w:val="1"/>
              <w:bidi w:val="0"/>
              <w:adjustRightInd w:val="1"/>
              <w:snapToGrid w:val="1"/>
              <w:spacing w:before="0" w:after="80" w:line="240" w:lineRule="auto"/>
              <w:jc w:val="both"/>
              <w:textAlignment w:val="auto"/>
              <w:rPr>
                <w:rFonts w:ascii="宋体" w:hAnsi="宋体" w:eastAsia="宋体"/>
                <w:sz w:val="21"/>
                <w:szCs w:val="21"/>
              </w:rPr>
            </w:pPr>
            <w:r>
              <w:rPr>
                <w:rFonts w:hint="eastAsia" w:ascii="宋体" w:hAnsi="宋体" w:eastAsia="宋体"/>
                <w:sz w:val="21"/>
                <w:szCs w:val="21"/>
              </w:rPr>
              <w:t>[1] 李慧琴, 王潭刚, 孔宪辉. 新疆南疆棉花“滴水出苗”技术问题及建议[J]. 中国棉花, 2022, 49(6): 36-38. DOI:10.11963/cc20220080.</w:t>
            </w:r>
          </w:p>
          <w:p w14:paraId="45D2AB68">
            <w:pPr>
              <w:keepNext w:val="0"/>
              <w:keepLines w:val="1"/>
              <w:pageBreakBefore w:val="0"/>
              <w:widowControl w:val="1"/>
              <w:kinsoku w:val="1"/>
              <w:wordWrap w:val="1"/>
              <w:overflowPunct w:val="1"/>
              <w:topLinePunct w:val="0"/>
              <w:autoSpaceDE w:val="1"/>
              <w:autoSpaceDN w:val="1"/>
              <w:bidi w:val="0"/>
              <w:adjustRightInd w:val="1"/>
              <w:snapToGrid w:val="1"/>
              <w:spacing w:before="0" w:after="80" w:line="240" w:lineRule="auto"/>
              <w:jc w:val="both"/>
              <w:textAlignment w:val="auto"/>
              <w:rPr>
                <w:rFonts w:hint="default" w:ascii="宋体" w:hAnsi="宋体" w:eastAsia="宋体"/>
                <w:sz w:val="21"/>
                <w:szCs w:val="21"/>
                <w:lang w:val="en-US" w:eastAsia="zh-CN"/>
              </w:rPr>
            </w:pPr>
            <w:r>
              <w:rPr>
                <w:rFonts w:ascii="宋体" w:hAnsi="宋体" w:eastAsia="宋体"/>
                <w:sz w:val="21"/>
                <w:szCs w:val="21"/>
              </w:rPr>
              <w:t>[</w:t>
            </w:r>
            <w:r>
              <w:rPr>
                <w:rFonts w:hint="eastAsia" w:ascii="宋体" w:hAnsi="宋体"/>
                <w:sz w:val="21"/>
                <w:szCs w:val="21"/>
                <w:lang w:val="en-US" w:eastAsia="zh-CN"/>
              </w:rPr>
              <w:t>2</w:t>
            </w:r>
            <w:r>
              <w:rPr>
                <w:rFonts w:hint="eastAsia" w:ascii="宋体" w:hAnsi="宋体" w:eastAsia="宋体"/>
                <w:sz w:val="21"/>
                <w:szCs w:val="21"/>
              </w:rPr>
              <w:t>] 张晔. 棉花膜下“一管四行”滴灌工程设计探讨[J]. 水资源开发与管理, 2019(2): 16-19. DOI:10.16616/j.cnki.10-1326/TV.2019.02.04.</w:t>
            </w:r>
          </w:p>
          <w:p w14:paraId="79090E22">
            <w:pPr>
              <w:keepNext w:val="0"/>
              <w:keepLines w:val="1"/>
              <w:pageBreakBefore w:val="0"/>
              <w:widowControl w:val="1"/>
              <w:kinsoku w:val="1"/>
              <w:wordWrap w:val="1"/>
              <w:overflowPunct w:val="1"/>
              <w:topLinePunct w:val="0"/>
              <w:autoSpaceDE w:val="1"/>
              <w:autoSpaceDN w:val="1"/>
              <w:bidi w:val="0"/>
              <w:adjustRightInd w:val="1"/>
              <w:snapToGrid w:val="1"/>
              <w:spacing w:before="0" w:after="80" w:line="240" w:lineRule="auto"/>
              <w:jc w:val="both"/>
              <w:textAlignment w:val="auto"/>
              <w:rPr>
                <w:rFonts w:hint="default" w:ascii="Times New Roman" w:hAnsi="Times New Roman" w:eastAsia="宋体" w:cs="Times New Roman"/>
                <w:sz w:val="21"/>
                <w:szCs w:val="28"/>
                <w:lang w:val="en-US" w:eastAsia="zh-CN"/>
              </w:rPr>
            </w:pPr>
            <w:r>
              <w:rPr>
                <w:rFonts w:ascii="宋体" w:hAnsi="宋体" w:eastAsia="宋体"/>
                <w:sz w:val="21"/>
                <w:szCs w:val="21"/>
              </w:rPr>
              <w:t>[</w:t>
            </w:r>
            <w:r>
              <w:rPr>
                <w:rFonts w:hint="eastAsia" w:ascii="宋体" w:hAnsi="宋体"/>
                <w:sz w:val="21"/>
                <w:szCs w:val="21"/>
                <w:lang w:val="en-US" w:eastAsia="zh-CN"/>
              </w:rPr>
              <w:t>3</w:t>
            </w:r>
            <w:r>
              <w:rPr>
                <w:rFonts w:hint="eastAsia" w:ascii="宋体" w:hAnsi="宋体" w:eastAsia="宋体"/>
                <w:sz w:val="21"/>
                <w:szCs w:val="21"/>
              </w:rPr>
              <w:t>] 丁法龙, 茅泽育, 王文娥, 等. 滴灌管主流道沿程压力分布模型及验证[J]. 农业工程学报, 2019, 35(3): 117-124. DOI:10.11975/j.issn.1002-6819.2019.03.015.</w:t>
            </w:r>
          </w:p>
          <w:p w14:paraId="2DDC7B3E">
            <w:pPr>
              <w:keepNext w:val="0"/>
              <w:keepLines w:val="1"/>
              <w:pageBreakBefore w:val="0"/>
              <w:widowControl w:val="1"/>
              <w:kinsoku w:val="1"/>
              <w:wordWrap w:val="1"/>
              <w:overflowPunct w:val="1"/>
              <w:topLinePunct w:val="0"/>
              <w:autoSpaceDE w:val="1"/>
              <w:autoSpaceDN w:val="1"/>
              <w:bidi w:val="0"/>
              <w:adjustRightInd w:val="1"/>
              <w:snapToGrid w:val="1"/>
              <w:spacing w:before="0" w:after="80" w:line="240" w:lineRule="auto"/>
              <w:jc w:val="both"/>
              <w:textAlignment w:val="auto"/>
              <w:rPr>
                <w:rFonts w:hint="default" w:ascii="Times New Roman" w:hAnsi="Times New Roman" w:eastAsia="宋体" w:cs="Times New Roman"/>
                <w:sz w:val="21"/>
                <w:szCs w:val="28"/>
                <w:lang w:val="en-US" w:eastAsia="zh-CN"/>
              </w:rPr>
            </w:pPr>
            <w:r>
              <w:rPr>
                <w:rFonts w:ascii="宋体" w:hAnsi="宋体" w:eastAsia="宋体"/>
                <w:sz w:val="21"/>
                <w:szCs w:val="21"/>
              </w:rPr>
              <w:t>[</w:t>
            </w:r>
            <w:r>
              <w:rPr>
                <w:rFonts w:hint="eastAsia" w:ascii="宋体" w:hAnsi="宋体"/>
                <w:sz w:val="21"/>
                <w:szCs w:val="21"/>
                <w:lang w:val="en-US" w:eastAsia="zh-CN"/>
              </w:rPr>
              <w:t>4</w:t>
            </w:r>
            <w:r>
              <w:rPr>
                <w:rFonts w:hint="eastAsia" w:ascii="宋体" w:hAnsi="宋体" w:eastAsia="宋体"/>
                <w:sz w:val="21"/>
                <w:szCs w:val="21"/>
              </w:rPr>
              <w:t>] 付建民, 赵振洋, 陈国明, 等. 液相管道流量与压力对小孔泄漏速率的影响[J]. 石油学报, 2016, 37(2): 257-265. DOI:10.7623/syxb201602013.</w:t>
            </w:r>
          </w:p>
          <w:p w14:paraId="6421E18E">
            <w:pPr>
              <w:keepNext w:val="0"/>
              <w:keepLines w:val="1"/>
              <w:pageBreakBefore w:val="0"/>
              <w:widowControl w:val="1"/>
              <w:kinsoku w:val="1"/>
              <w:wordWrap w:val="1"/>
              <w:overflowPunct w:val="1"/>
              <w:topLinePunct w:val="0"/>
              <w:autoSpaceDE w:val="1"/>
              <w:autoSpaceDN w:val="1"/>
              <w:bidi w:val="0"/>
              <w:adjustRightInd w:val="1"/>
              <w:snapToGrid w:val="1"/>
              <w:spacing w:before="0" w:after="80" w:line="240" w:lineRule="auto"/>
              <w:jc w:val="both"/>
              <w:textAlignment w:val="auto"/>
              <w:rPr>
                <w:rFonts w:ascii="宋体" w:hAnsi="宋体" w:eastAsia="宋体"/>
                <w:sz w:val="21"/>
                <w:szCs w:val="21"/>
              </w:rPr>
            </w:pPr>
            <w:r>
              <w:rPr>
                <w:rFonts w:ascii="宋体" w:hAnsi="宋体" w:eastAsia="宋体"/>
                <w:sz w:val="21"/>
                <w:szCs w:val="21"/>
              </w:rPr>
              <w:t>[</w:t>
            </w:r>
            <w:r>
              <w:rPr>
                <w:rFonts w:hint="eastAsia" w:ascii="宋体" w:hAnsi="宋体"/>
                <w:sz w:val="21"/>
                <w:szCs w:val="21"/>
                <w:lang w:val="en-US" w:eastAsia="zh-CN"/>
              </w:rPr>
              <w:t>5</w:t>
            </w:r>
            <w:r>
              <w:rPr>
                <w:rFonts w:hint="eastAsia" w:ascii="宋体" w:hAnsi="宋体" w:eastAsia="宋体"/>
                <w:sz w:val="21"/>
                <w:szCs w:val="21"/>
              </w:rPr>
              <w:t>] 孟祥, 赵莹, 徐卓威, 等. 基于LoRa技术的农田智能灌溉系统设计[J]. 中国农机化学报, 2023, 44(9): 161-168. DOI:10.13733/j.jcam.issn.2095-5553.2023.09.023.</w:t>
            </w:r>
          </w:p>
          <w:p w14:paraId="6E3FCE00">
            <w:pPr>
              <w:keepNext w:val="0"/>
              <w:keepLines w:val="1"/>
              <w:pageBreakBefore w:val="0"/>
              <w:widowControl w:val="1"/>
              <w:kinsoku w:val="1"/>
              <w:wordWrap w:val="1"/>
              <w:overflowPunct w:val="1"/>
              <w:topLinePunct w:val="0"/>
              <w:autoSpaceDE w:val="1"/>
              <w:autoSpaceDN w:val="1"/>
              <w:bidi w:val="0"/>
              <w:adjustRightInd w:val="1"/>
              <w:snapToGrid w:val="1"/>
              <w:spacing w:before="0" w:after="80" w:line="240" w:lineRule="auto"/>
              <w:jc w:val="both"/>
              <w:textAlignment w:val="auto"/>
              <w:rPr>
                <w:rFonts w:ascii="宋体" w:hAnsi="宋体" w:eastAsia="宋体"/>
                <w:sz w:val="21"/>
                <w:szCs w:val="21"/>
              </w:rPr>
            </w:pPr>
            <w:r>
              <w:rPr>
                <w:rFonts w:ascii="宋体" w:hAnsi="宋体" w:eastAsia="宋体"/>
                <w:sz w:val="21"/>
                <w:szCs w:val="21"/>
              </w:rPr>
              <w:t>[</w:t>
            </w:r>
            <w:r>
              <w:rPr>
                <w:rFonts w:hint="eastAsia" w:ascii="宋体" w:hAnsi="宋体"/>
                <w:sz w:val="21"/>
                <w:szCs w:val="21"/>
                <w:lang w:val="en-US" w:eastAsia="zh-CN"/>
              </w:rPr>
              <w:t>6</w:t>
            </w:r>
            <w:r>
              <w:rPr>
                <w:rFonts w:ascii="宋体" w:hAnsi="宋体" w:eastAsia="宋体"/>
                <w:sz w:val="21"/>
                <w:szCs w:val="21"/>
              </w:rPr>
              <w:t>] Petit J, García S M, Molle B, et al. Methods for drip irrigation clogging detection, analysis and understanding: State of the art and perspectives[J]. Agricultural Water Management, 2022, 272: 107873. DOI:10.1016/j.agwat.2022.107873.</w:t>
            </w:r>
          </w:p>
          <w:p w14:paraId="441B1B2F">
            <w:pPr>
              <w:keepNext w:val="0"/>
              <w:keepLines w:val="1"/>
              <w:pageBreakBefore w:val="0"/>
              <w:widowControl w:val="1"/>
              <w:kinsoku w:val="1"/>
              <w:wordWrap w:val="1"/>
              <w:overflowPunct w:val="1"/>
              <w:topLinePunct w:val="0"/>
              <w:autoSpaceDE w:val="1"/>
              <w:autoSpaceDN w:val="1"/>
              <w:bidi w:val="0"/>
              <w:adjustRightInd w:val="1"/>
              <w:snapToGrid w:val="1"/>
              <w:spacing w:before="0" w:after="80" w:line="240" w:lineRule="auto"/>
              <w:jc w:val="both"/>
              <w:textAlignment w:val="auto"/>
              <w:rPr>
                <w:rFonts w:hint="default" w:ascii="Times New Roman" w:hAnsi="Times New Roman" w:eastAsia="宋体" w:cs="Times New Roman"/>
                <w:sz w:val="21"/>
                <w:szCs w:val="28"/>
                <w:lang w:val="en-US" w:eastAsia="zh-CN"/>
              </w:rPr>
            </w:pPr>
            <w:r>
              <w:rPr>
                <w:rFonts w:ascii="宋体" w:hAnsi="宋体" w:eastAsia="宋体"/>
                <w:sz w:val="21"/>
                <w:szCs w:val="21"/>
              </w:rPr>
              <w:t>[7] Loukatos D, Fragkos A, Londra P, et al. A Simple Platform for Emulating Irrigation Scenarios and Its Applicability for Big Data Collection Toward Water Preservation via In Situ Experiments[J]. Land, 2026, 15(3): 464. DOI:10.3390/land15030464.</w:t>
            </w:r>
          </w:p>
          <w:p w14:paraId="1DC9DCB4">
            <w:pPr>
              <w:keepNext w:val="0"/>
              <w:keepLines w:val="1"/>
              <w:pageBreakBefore w:val="0"/>
              <w:widowControl w:val="1"/>
              <w:kinsoku w:val="1"/>
              <w:wordWrap w:val="1"/>
              <w:overflowPunct w:val="1"/>
              <w:topLinePunct w:val="0"/>
              <w:autoSpaceDE w:val="1"/>
              <w:autoSpaceDN w:val="1"/>
              <w:bidi w:val="0"/>
              <w:adjustRightInd w:val="1"/>
              <w:snapToGrid w:val="1"/>
              <w:spacing w:before="0" w:after="80" w:line="240" w:lineRule="auto"/>
              <w:jc w:val="both"/>
              <w:textAlignment w:val="auto"/>
              <w:rPr>
                <w:rFonts w:hint="default" w:ascii="Times New Roman" w:hAnsi="Times New Roman" w:eastAsia="宋体" w:cs="Times New Roman"/>
                <w:sz w:val="21"/>
                <w:szCs w:val="28"/>
                <w:lang w:val="en-US" w:eastAsia="zh-CN"/>
              </w:rPr>
            </w:pPr>
            <w:r>
              <w:rPr>
                <w:rFonts w:ascii="宋体" w:hAnsi="宋体" w:eastAsia="宋体"/>
                <w:sz w:val="21"/>
                <w:szCs w:val="21"/>
              </w:rPr>
              <w:t>[8] Lozoya C, Favela-Contreras A, Aguilar-Gonzalez A, et al. Energy-Efficient Wireless Communication Strategy for Precision Agriculture Irrigation Control[J]. Sensors, 2021, 21(16): 5541. DOI:10.3390/s21165541.</w:t>
            </w:r>
          </w:p>
        </w:tc>
      </w:tr>
      <w:tr>
        <w:trPr>
          <w:trHeight w:val="0" w:hRule="atLeast"/>
          <w:jc w:val="center"/>
        </w:trPr>
        <w:tc>
          <w:tcPr>
            <w:tcW w:w="9286" w:type="dxa"/>
            <w:gridSpan w:val="9"/>
            <w:noWrap w:val="0"/>
            <w:vAlign w:val="top"/>
          </w:tcPr>
          <w:p w14:paraId="604769CD">
            <w:pPr>
              <w:keepNext w:val="0"/>
              <w:keepLines w:val="0"/>
              <w:pageBreakBefore w:val="0"/>
              <w:widowControl w:val="0"/>
              <w:numPr>
                <w:ilvl w:val="0"/>
                <w:numId w:val="2"/>
              </w:numPr>
              <w:kinsoku w:val="1"/>
              <w:wordWrap w:val="1"/>
              <w:overflowPunct w:val="1"/>
              <w:topLinePunct w:val="0"/>
              <w:autoSpaceDE w:val="1"/>
              <w:autoSpaceDN w:val="1"/>
              <w:bidi w:val="0"/>
              <w:adjustRightInd w:val="1"/>
              <w:snapToGrid w:val="1"/>
              <w:spacing w:after="80"/>
              <w:ind w:left="0" w:leftChars="0" w:firstLine="0" w:firstLineChars="0"/>
              <w:jc w:val="both"/>
              <w:textAlignment w:val="auto"/>
              <w:rPr>
                <w:rFonts w:ascii="宋体" w:hAnsi="宋体" w:eastAsia="宋体"/>
                <w:b w:val="1"/>
                <w:sz w:val="21"/>
                <w:szCs w:val="21"/>
              </w:rPr>
            </w:pPr>
            <w:r>
              <w:rPr>
                <w:rFonts w:hint="eastAsia" w:ascii="宋体" w:hAnsi="宋体" w:eastAsia="宋体"/>
                <w:b w:val="1"/>
                <w:sz w:val="21"/>
                <w:szCs w:val="21"/>
              </w:rPr>
              <w:t>项目的特色与创新点</w:t>
            </w:r>
          </w:p>
          <w:p w14:paraId="5F8A32E2">
            <w:pPr>
              <w:keepNext w:val="0"/>
              <w:keepLines w:val="0"/>
              <w:pageBreakBefore w:val="0"/>
              <w:widowControl w:val="0"/>
              <w:numPr>
                <w:ilvl w:val="0"/>
                <w:numId w:val="0"/>
              </w:numPr>
              <w:kinsoku w:val="1"/>
              <w:wordWrap w:val="1"/>
              <w:overflowPunct w:val="1"/>
              <w:topLinePunct w:val="0"/>
              <w:autoSpaceDE w:val="1"/>
              <w:autoSpaceDN w:val="1"/>
              <w:bidi w:val="0"/>
              <w:adjustRightInd w:val="1"/>
              <w:snapToGrid w:val="1"/>
              <w:spacing w:after="80"/>
              <w:ind w:leftChars="0" w:firstLine="420" w:firstLineChars="200"/>
              <w:jc w:val="both"/>
              <w:textAlignment w:val="auto"/>
            </w:pPr>
            <w:r>
              <w:rPr>
                <w:rFonts w:hint="eastAsia" w:ascii="Times New Roman" w:hAnsi="Times New Roman" w:eastAsia="宋体"/>
                <w:b w:val="0"/>
                <w:sz w:val="21"/>
              </w:rPr>
              <w:t>本项目属于检测类应用研究，面向南疆棉田支管巡检，把感知、提示、核查与复测组织成闭环：节点给出异常候选及变化依据，平台关联支管编号、测点区段与建议检查部位，维护人员据此下田核查并复测确认。这一“发现—定位—核查—复测”的闭环，不同于单纯的报警或数据采集，强调的是可复核、可追溯的巡检支持，使诊断结果能够被现场证据检验。</w:t>
            </w:r>
          </w:p>
          <w:p w14:paraId="7CF3664C">
            <w:pPr>
              <w:keepNext w:val="0"/>
              <w:keepLines w:val="0"/>
              <w:pageBreakBefore w:val="0"/>
              <w:widowControl w:val="0"/>
              <w:kinsoku w:val="1"/>
              <w:wordWrap w:val="1"/>
              <w:overflowPunct w:val="1"/>
              <w:topLinePunct w:val="0"/>
              <w:autoSpaceDE w:val="1"/>
              <w:autoSpaceDN w:val="1"/>
              <w:bidi w:val="0"/>
              <w:adjustRightInd w:val="1"/>
              <w:snapToGrid w:val="1"/>
              <w:spacing w:after="80"/>
              <w:ind w:firstLine="420"/>
              <w:jc w:val="both"/>
              <w:textAlignment w:val="auto"/>
            </w:pPr>
            <w:r>
              <w:rPr>
                <w:rFonts w:hint="eastAsia" w:ascii="Times New Roman" w:hAnsi="Times New Roman" w:eastAsia="宋体"/>
                <w:b w:val="0"/>
                <w:sz w:val="21"/>
              </w:rPr>
              <w:t>（1）差压—流量联合判断，减少单一流量报警难以区分正常调节与故障的问题。仅凭流量难以分清正常轮灌切换与渐进异常，本项目以一个差压测点直接获取监测区段压差，并结合流量观测与干管参照，以正常运行数据建立分档参照，将水力异常识别与具体故障原因核查分开；节点给出异常候选及变化依据，由测点对照验证联合观测的实际作用。相对现有单一传感报警，具有对南疆支管巡检场景的针对性，体现新颖性。</w:t>
            </w:r>
          </w:p>
          <w:p w14:paraId="336A06C3">
            <w:pPr>
              <w:keepNext w:val="0"/>
              <w:keepLines w:val="0"/>
              <w:pageBreakBefore w:val="0"/>
              <w:widowControl w:val="0"/>
              <w:kinsoku w:val="1"/>
              <w:wordWrap w:val="1"/>
              <w:overflowPunct w:val="1"/>
              <w:topLinePunct w:val="0"/>
              <w:autoSpaceDE w:val="1"/>
              <w:autoSpaceDN w:val="1"/>
              <w:bidi w:val="0"/>
              <w:adjustRightInd w:val="1"/>
              <w:snapToGrid w:val="1"/>
              <w:spacing w:after="80"/>
              <w:ind w:firstLine="420"/>
              <w:jc w:val="both"/>
              <w:textAlignment w:val="auto"/>
            </w:pPr>
            <w:r>
              <w:rPr>
                <w:rFonts w:hint="eastAsia" w:ascii="Times New Roman" w:hAnsi="Times New Roman" w:eastAsia="宋体"/>
                <w:b w:val="0"/>
                <w:sz w:val="21"/>
              </w:rPr>
              <w:t>（2）围绕健康参照开展渐进异常辨识与工况适配，并将扰动辨识纳入诊断。以差压和流量建立正常运行关系，结合稳健门限、双时间窗和连续确认提示渐进变化；通过固定参照与重新标定对照，分析不同负载和供压下的判断变化，明确参照适用范围。本项目的一个重要发现是：同一工况内负载系数K与区段阻力R̂在健康状态下保持稳定，轮灌切换只改变工作点而不改变这两个量，因此把判据建立在“同一工况内相对健康参照的漂移”上，而非参数绝对值上，可以把正常轮灌切换与真实故障在原理上分开。进一步将上游供压波动、阀门动作引起的秒级过渡与下游毛管堵塞引起的背压抬升纳入扰动特征库，结合首部/干管参照区分共同扰动与局部异常。该辨识在台架A、B双支路与首部参照下进行机理验证，为多支管分区监测积累判据，体现先进性。</w:t>
            </w:r>
          </w:p>
          <w:p w14:paraId="50AA8ED0">
            <w:pPr>
              <w:keepNext w:val="0"/>
              <w:keepLines w:val="0"/>
              <w:pageBreakBefore w:val="0"/>
              <w:widowControl w:val="0"/>
              <w:kinsoku w:val="1"/>
              <w:wordWrap w:val="1"/>
              <w:overflowPunct w:val="1"/>
              <w:topLinePunct w:val="0"/>
              <w:autoSpaceDE w:val="1"/>
              <w:autoSpaceDN w:val="1"/>
              <w:bidi w:val="0"/>
              <w:adjustRightInd w:val="1"/>
              <w:snapToGrid w:val="1"/>
              <w:spacing w:after="80"/>
              <w:ind w:firstLine="420"/>
              <w:jc w:val="both"/>
              <w:textAlignment w:val="auto"/>
            </w:pPr>
            <w:r>
              <w:rPr>
                <w:rFonts w:hint="eastAsia" w:ascii="Times New Roman" w:hAnsi="Times New Roman" w:eastAsia="宋体"/>
                <w:b w:val="0"/>
                <w:sz w:val="21"/>
              </w:rPr>
              <w:t>（3）将事件触发采集与可靠告警结合，并量化收益与代价。正常阶段按设定周期观测，出现持续变化后加密采集，结合异常优先发送、接收确认与恢复重传保存事件；分别比较读取次数、发送次数和提示及时性，实物阶段测量整机电流，评价采集与通信优化的实际收益。通过同一事件贯穿节点、接收平台及人工复测，使采集优化与巡检功能在同一系统中得到验证，体现独特性。</w:t>
            </w:r>
          </w:p>
          <w:p w14:paraId="2BFFD751">
            <w:pPr>
              <w:keepNext w:val="0"/>
              <w:keepLines w:val="0"/>
              <w:pageBreakBefore w:val="0"/>
              <w:widowControl w:val="0"/>
              <w:kinsoku w:val="1"/>
              <w:wordWrap w:val="1"/>
              <w:overflowPunct w:val="1"/>
              <w:topLinePunct w:val="0"/>
              <w:autoSpaceDE w:val="1"/>
              <w:autoSpaceDN w:val="1"/>
              <w:bidi w:val="0"/>
              <w:adjustRightInd w:val="1"/>
              <w:snapToGrid w:val="1"/>
              <w:spacing w:after="80"/>
              <w:ind w:firstLine="420"/>
              <w:jc w:val="both"/>
              <w:textAlignment w:val="auto"/>
              <w:rPr>
                <w:rFonts w:hint="default" w:ascii="Times New Roman" w:hAnsi="Times New Roman" w:eastAsia="宋体" w:cs="Times New Roman"/>
                <w:sz w:val="21"/>
                <w:szCs w:val="28"/>
                <w:lang w:val="en-US" w:eastAsia="zh-CN"/>
              </w:rPr>
            </w:pPr>
            <w:r>
              <w:rPr>
                <w:rFonts w:hint="eastAsia" w:ascii="Times New Roman" w:hAnsi="Times New Roman" w:eastAsia="宋体"/>
                <w:b w:val="0"/>
                <w:sz w:val="21"/>
              </w:rPr>
              <w:t>三个创新点相互衔接：联合判断保证提示可复核，健康参照与扰动辨识扩展适用范围，事件触发与可靠告警在减少观测与通信的同时维持告警质量。研究结论由独立标定、正常干扰对照与留出批次支持。</w:t>
            </w:r>
          </w:p>
        </w:tc>
      </w:tr>
      <w:tr>
        <w:trPr>
          <w:trHeight w:val="0" w:hRule="atLeast"/>
          <w:jc w:val="center"/>
        </w:trPr>
        <w:tc>
          <w:tcPr>
            <w:tcW w:w="9286" w:type="dxa"/>
            <w:gridSpan w:val="9"/>
            <w:noWrap w:val="0"/>
            <w:vAlign w:val="top"/>
          </w:tcPr>
          <w:p w14:paraId="302CDFA4">
            <w:pPr>
              <w:keepNext w:val="0"/>
              <w:keepLines w:val="0"/>
              <w:pageBreakBefore w:val="0"/>
              <w:widowControl w:val="0"/>
              <w:numPr>
                <w:ilvl w:val="0"/>
                <w:numId w:val="2"/>
              </w:numPr>
              <w:kinsoku w:val="1"/>
              <w:wordWrap w:val="1"/>
              <w:overflowPunct w:val="1"/>
              <w:topLinePunct w:val="0"/>
              <w:autoSpaceDE w:val="1"/>
              <w:autoSpaceDN w:val="1"/>
              <w:bidi w:val="0"/>
              <w:adjustRightInd w:val="1"/>
              <w:snapToGrid w:val="1"/>
              <w:spacing w:after="80"/>
              <w:ind w:left="0" w:leftChars="0" w:firstLine="0" w:firstLineChars="0"/>
              <w:jc w:val="both"/>
              <w:textAlignment w:val="auto"/>
              <w:rPr>
                <w:rFonts w:ascii="宋体" w:hAnsi="宋体" w:eastAsia="宋体"/>
                <w:b w:val="1"/>
                <w:sz w:val="21"/>
                <w:szCs w:val="21"/>
              </w:rPr>
            </w:pPr>
            <w:r>
              <w:rPr>
                <w:rFonts w:hint="eastAsia" w:ascii="宋体" w:hAnsi="宋体" w:eastAsia="宋体"/>
                <w:b w:val="1"/>
                <w:sz w:val="21"/>
                <w:szCs w:val="21"/>
              </w:rPr>
              <w:t>项目预期成果</w:t>
            </w:r>
          </w:p>
          <w:p w14:paraId="507FB6C0">
            <w:pPr>
              <w:spacing w:after="80"/>
              <w:ind w:firstLine="420"/>
              <w:jc w:val="both"/>
            </w:pPr>
            <w:r>
              <w:rPr>
                <w:rFonts w:hint="eastAsia" w:ascii="Times New Roman" w:hAnsi="Times New Roman" w:eastAsia="宋体"/>
                <w:b w:val="0"/>
                <w:sz w:val="21"/>
              </w:rPr>
              <w:t>（1）原型系统成果。建成可演示的支管故障诊断物联网原型：感知节点以GD32F103CBT6为主控，集成35—40 kPa 档差压变送器、干管参照压力变送器、SGM58031模数转换与脉冲式流量计，经E220LoRa与接收端连接；配套A、B双支路清水台架（A支路流量1.85—4.34L/min，含上游扰动注入、B末端堵塞与首部/干管参照三类设施），以及总览、监测、核查、设备、历史、实验、台架、设置八页面的桌面巡检软件，覆盖稳定采集、异常提示、可靠接收、核查复测与模拟控制流程。</w:t>
            </w:r>
          </w:p>
          <w:p w14:paraId="490B9B95">
            <w:pPr>
              <w:spacing w:after="80"/>
              <w:ind w:firstLine="420"/>
              <w:jc w:val="both"/>
            </w:pPr>
            <w:r>
              <w:rPr>
                <w:rFonts w:hint="eastAsia" w:ascii="Times New Roman" w:hAnsi="Times New Roman" w:eastAsia="宋体"/>
                <w:b w:val="0"/>
                <w:sz w:val="21"/>
              </w:rPr>
              <w:t>（2）方法与判据成果。将本项目方案中确定的诊断方法落实为可复用成果：差压—流量与分档健康参照的联合判断，稳健门限、双时间窗与连续确认的渐进异常提示，含上游供压波动、阀门秒级过渡与下游堵塞背压的扰动特征库及共同扰动/局部异常辨识判据，事件触发分级采集与异常优先、接收确认、恢复重传的可靠告警流程。上述方法连同程序源码、接口设计与使用说明一并交付。</w:t>
            </w:r>
          </w:p>
          <w:p w14:paraId="52CA3E30">
            <w:pPr>
              <w:spacing w:after="80"/>
              <w:ind w:firstLine="420"/>
              <w:jc w:val="both"/>
            </w:pPr>
            <w:r>
              <w:rPr>
                <w:rFonts w:hint="eastAsia" w:ascii="Times New Roman" w:hAnsi="Times New Roman" w:eastAsia="宋体"/>
                <w:b w:val="0"/>
                <w:sz w:val="21"/>
              </w:rPr>
              <w:t>（3）数据与实验成果。按本项目第3.4节的对照安排完整记录，涵盖标定与健康关系、主要故障、正常干扰、通信链路与连续运行恢复五类，其中主要故障按2类型×3供压×4程度组织，主要档位完成6至8次独立操作，共计54至72次。在标定确认范围内评价泄漏8%以上、受限30%以上的检出能力，以及正常误报不高于1次/小时的指标达成情况，配套提交标定曲线、测试记录与结果分析。</w:t>
            </w:r>
          </w:p>
          <w:p w14:paraId="503A0B38">
            <w:pPr>
              <w:spacing w:after="80"/>
              <w:ind w:firstLine="420"/>
              <w:jc w:val="both"/>
              <w:rPr>
                <w:rFonts w:hint="default" w:ascii="Times New Roman" w:hAnsi="Times New Roman" w:eastAsia="宋体" w:cs="Times New Roman"/>
                <w:sz w:val="21"/>
                <w:szCs w:val="28"/>
                <w:lang w:val="en-US" w:eastAsia="zh-CN"/>
              </w:rPr>
            </w:pPr>
            <w:r>
              <w:rPr>
                <w:rFonts w:hint="eastAsia" w:ascii="Times New Roman" w:hAnsi="Times New Roman" w:eastAsia="宋体"/>
                <w:b w:val="0"/>
                <w:sz w:val="21"/>
              </w:rPr>
              <w:t>（4）竞赛参与。按学校对大创项目的要求，在项目期内报名参加“中国国际大学生创新大赛”或“挑战杯”等高层次学科竞赛，并按要求提交项目材料。（5）结项。在2027年3月—2028年2月周期内完成原型、方法与数据、程序及结题报告，论文投稿与修订、成果登记按实际研究进度推进，全部成果以真实完成情况为准。</w:t>
            </w:r>
          </w:p>
        </w:tc>
      </w:tr>
      <w:tr>
        <w:trPr>
          <w:trHeight w:val="0" w:hRule="atLeast"/>
          <w:jc w:val="center"/>
        </w:trPr>
        <w:tc>
          <w:tcPr>
            <w:tcW w:w="9286" w:type="dxa"/>
            <w:gridSpan w:val="9"/>
            <w:noWrap w:val="0"/>
            <w:vAlign w:val="top"/>
          </w:tcPr>
          <w:p w14:paraId="40DA2EAF">
            <w:pPr>
              <w:numPr>
                <w:ilvl w:val="0"/>
                <w:numId w:val="2"/>
              </w:numPr>
              <w:spacing w:after="80"/>
              <w:ind w:left="0" w:leftChars="0" w:firstLine="0" w:firstLineChars="0"/>
              <w:jc w:val="both"/>
              <w:rPr>
                <w:rFonts w:ascii="宋体" w:hAnsi="宋体" w:eastAsia="宋体"/>
                <w:b w:val="1"/>
                <w:sz w:val="21"/>
                <w:szCs w:val="21"/>
              </w:rPr>
            </w:pPr>
            <w:r>
              <w:rPr>
                <w:rFonts w:hint="eastAsia" w:ascii="宋体" w:hAnsi="宋体" w:eastAsia="宋体"/>
                <w:b w:val="1"/>
                <w:sz w:val="21"/>
                <w:szCs w:val="21"/>
              </w:rPr>
              <w:t>项目年度目标和工作内容（按年度写）</w:t>
            </w:r>
          </w:p>
          <w:p w14:paraId="79D2C6FA">
            <w:pPr>
              <w:keepNext w:val="0"/>
              <w:keepLines w:val="0"/>
              <w:pageBreakBefore w:val="0"/>
              <w:widowControl w:val="0"/>
              <w:numPr>
                <w:ilvl w:val="0"/>
                <w:numId w:val="0"/>
              </w:numPr>
              <w:kinsoku w:val="1"/>
              <w:wordWrap w:val="1"/>
              <w:overflowPunct w:val="1"/>
              <w:topLinePunct w:val="0"/>
              <w:autoSpaceDE w:val="1"/>
              <w:autoSpaceDN w:val="1"/>
              <w:bidi w:val="0"/>
              <w:adjustRightInd w:val="1"/>
              <w:snapToGrid w:val="1"/>
              <w:spacing w:after="80"/>
              <w:ind w:leftChars="0" w:firstLine="420" w:firstLineChars="200"/>
              <w:jc w:val="both"/>
              <w:textAlignment w:val="auto"/>
            </w:pPr>
            <w:r>
              <w:rPr>
                <w:rFonts w:hint="eastAsia" w:ascii="Times New Roman" w:hAnsi="Times New Roman" w:eastAsia="宋体"/>
                <w:b w:val="0"/>
                <w:sz w:val="21"/>
              </w:rPr>
              <w:t>项目周期为2027年3月至2028年2月。2027年完成台架与节点、诊断及采集策略对照、无线与平台联调，形成数据和软件成果；2028年1—2月补验证并结项。阶段交付按时段核验，正式评价前固定方法和数据版本，论文以实测结果组织。各时段工作安排如下。</w:t>
            </w:r>
          </w:p>
          <w:p w14:paraId="4FCE86D0">
            <w:pPr>
              <w:keepNext w:val="0"/>
              <w:keepLines w:val="0"/>
              <w:pageBreakBefore w:val="0"/>
              <w:widowControl w:val="0"/>
              <w:kinsoku w:val="1"/>
              <w:wordWrap w:val="1"/>
              <w:overflowPunct w:val="1"/>
              <w:topLinePunct w:val="0"/>
              <w:autoSpaceDE w:val="1"/>
              <w:autoSpaceDN w:val="1"/>
              <w:bidi w:val="0"/>
              <w:adjustRightInd w:val="1"/>
              <w:snapToGrid w:val="1"/>
              <w:spacing w:after="80"/>
              <w:ind w:firstLine="420" w:firstLineChars="200"/>
              <w:jc w:val="both"/>
              <w:textAlignment w:val="auto"/>
            </w:pPr>
            <w:r>
              <w:rPr>
                <w:rFonts w:hint="eastAsia" w:ascii="Times New Roman" w:hAnsi="Times New Roman" w:eastAsia="宋体"/>
                <w:b w:val="0"/>
                <w:sz w:val="21"/>
              </w:rPr>
              <w:t>2027年3—4月，完成器件选型与装配、参考标定、健康关系建立及有线采集，阶段验收以原始读数完整、量程与误差明确、目标变化可测且可重复为准。</w:t>
            </w:r>
          </w:p>
          <w:p w14:paraId="2B4712FC">
            <w:pPr>
              <w:keepNext w:val="0"/>
              <w:keepLines w:val="0"/>
              <w:pageBreakBefore w:val="0"/>
              <w:widowControl w:val="0"/>
              <w:kinsoku w:val="1"/>
              <w:wordWrap w:val="1"/>
              <w:overflowPunct w:val="1"/>
              <w:topLinePunct w:val="0"/>
              <w:autoSpaceDE w:val="1"/>
              <w:autoSpaceDN w:val="1"/>
              <w:bidi w:val="0"/>
              <w:adjustRightInd w:val="1"/>
              <w:snapToGrid w:val="1"/>
              <w:spacing w:after="80"/>
              <w:ind w:firstLine="420" w:firstLineChars="200"/>
              <w:jc w:val="both"/>
              <w:textAlignment w:val="auto"/>
            </w:pPr>
            <w:r>
              <w:rPr>
                <w:rFonts w:hint="eastAsia" w:ascii="Times New Roman" w:hAnsi="Times New Roman" w:eastAsia="宋体"/>
                <w:b w:val="0"/>
                <w:sz w:val="21"/>
              </w:rPr>
              <w:t>2027年5—6月，开展诊断与分级采集、独立故障及正常干扰试验，并完成参照适配对照；新增的上游瞬态扰动、下游堵塞背压与共同扰动参照三组扰动对照安排在5—8月实验窗口内完成。固定参照和阈值，保证操作标签与参考测量对应、试次评价完整。同期按学校要求完成“中国国际大学生创新大赛”或“挑战杯”的报名与校内初赛材料提交。</w:t>
            </w:r>
          </w:p>
          <w:p w14:paraId="12BA2D1E">
            <w:pPr>
              <w:keepNext w:val="0"/>
              <w:keepLines w:val="0"/>
              <w:pageBreakBefore w:val="0"/>
              <w:widowControl w:val="0"/>
              <w:kinsoku w:val="1"/>
              <w:wordWrap w:val="1"/>
              <w:overflowPunct w:val="1"/>
              <w:topLinePunct w:val="0"/>
              <w:autoSpaceDE w:val="1"/>
              <w:autoSpaceDN w:val="1"/>
              <w:bidi w:val="0"/>
              <w:adjustRightInd w:val="1"/>
              <w:snapToGrid w:val="1"/>
              <w:spacing w:after="80"/>
              <w:ind w:firstLine="420" w:firstLineChars="200"/>
              <w:jc w:val="both"/>
              <w:textAlignment w:val="auto"/>
            </w:pPr>
            <w:r>
              <w:rPr>
                <w:rFonts w:hint="eastAsia" w:ascii="Times New Roman" w:hAnsi="Times New Roman" w:eastAsia="宋体"/>
                <w:b w:val="0"/>
                <w:sz w:val="21"/>
              </w:rPr>
              <w:t>2027年7—8月，完成真实无线与串口接入、本地平台、IO演示及处置复测，完整事件流程可追溯，并完成连续运行、重启与恢复测试；继续完成剩余扰动对照批次，与主要实验共用留出批次核验。</w:t>
            </w:r>
          </w:p>
          <w:p w14:paraId="6A0F6FF3">
            <w:pPr>
              <w:keepNext w:val="0"/>
              <w:keepLines w:val="0"/>
              <w:pageBreakBefore w:val="0"/>
              <w:widowControl w:val="0"/>
              <w:kinsoku w:val="1"/>
              <w:wordWrap w:val="1"/>
              <w:overflowPunct w:val="1"/>
              <w:topLinePunct w:val="0"/>
              <w:autoSpaceDE w:val="1"/>
              <w:autoSpaceDN w:val="1"/>
              <w:bidi w:val="0"/>
              <w:adjustRightInd w:val="1"/>
              <w:snapToGrid w:val="1"/>
              <w:spacing w:after="80"/>
              <w:ind w:firstLine="420" w:firstLineChars="200"/>
              <w:jc w:val="both"/>
              <w:textAlignment w:val="auto"/>
            </w:pPr>
            <w:r>
              <w:rPr>
                <w:rFonts w:hint="eastAsia" w:ascii="Times New Roman" w:hAnsi="Times New Roman" w:eastAsia="宋体"/>
                <w:b w:val="0"/>
                <w:sz w:val="21"/>
              </w:rPr>
              <w:t>2027年9—10月，开展留出批次、基线与测点对照、关键边界补实验，并根据本项目实际开发的软件成果整理软件著作权申请材料；数据和方法版本固定，统计及失败条件可复核。同期按竞赛进程提交省赛或成果材料，并保留参赛记录以备结项。</w:t>
            </w:r>
          </w:p>
          <w:p w14:paraId="22FFF22E">
            <w:pPr>
              <w:keepNext w:val="0"/>
              <w:keepLines w:val="0"/>
              <w:pageBreakBefore w:val="0"/>
              <w:widowControl w:val="0"/>
              <w:kinsoku w:val="1"/>
              <w:wordWrap w:val="1"/>
              <w:overflowPunct w:val="1"/>
              <w:topLinePunct w:val="0"/>
              <w:autoSpaceDE w:val="1"/>
              <w:autoSpaceDN w:val="1"/>
              <w:bidi w:val="0"/>
              <w:adjustRightInd w:val="1"/>
              <w:snapToGrid w:val="1"/>
              <w:spacing w:after="80"/>
              <w:ind w:firstLine="420" w:firstLineChars="200"/>
              <w:jc w:val="both"/>
              <w:textAlignment w:val="auto"/>
            </w:pPr>
            <w:r>
              <w:rPr>
                <w:rFonts w:hint="eastAsia" w:ascii="Times New Roman" w:hAnsi="Times New Roman" w:eastAsia="宋体"/>
                <w:b w:val="0"/>
                <w:sz w:val="21"/>
              </w:rPr>
              <w:t>2027年11—12月，完成原型完善与研究报告，实验结论与原始数据一致，文稿与系统说明完整。</w:t>
            </w:r>
          </w:p>
          <w:p w14:paraId="65427436">
            <w:pPr>
              <w:keepNext w:val="0"/>
              <w:keepLines w:val="0"/>
              <w:pageBreakBefore w:val="0"/>
              <w:widowControl w:val="0"/>
              <w:kinsoku w:val="1"/>
              <w:wordWrap w:val="1"/>
              <w:overflowPunct w:val="1"/>
              <w:topLinePunct w:val="0"/>
              <w:autoSpaceDE w:val="1"/>
              <w:autoSpaceDN w:val="1"/>
              <w:bidi w:val="0"/>
              <w:adjustRightInd w:val="1"/>
              <w:snapToGrid w:val="1"/>
              <w:spacing w:after="80"/>
              <w:ind w:firstLine="420" w:firstLineChars="200"/>
              <w:jc w:val="both"/>
              <w:textAlignment w:val="auto"/>
            </w:pPr>
            <w:r>
              <w:rPr>
                <w:rFonts w:hint="eastAsia" w:ascii="Times New Roman" w:hAnsi="Times New Roman" w:eastAsia="宋体"/>
                <w:b w:val="0"/>
                <w:sz w:val="21"/>
              </w:rPr>
              <w:t>2028年1—2月，补验证、成果整理与结项，按任务要求提交原型、数据、程序及报告，成果证明据实归档。</w:t>
            </w:r>
          </w:p>
          <w:p w14:paraId="47643043">
            <w:pPr>
              <w:keepNext w:val="0"/>
              <w:keepLines w:val="0"/>
              <w:pageBreakBefore w:val="0"/>
              <w:widowControl w:val="0"/>
              <w:kinsoku w:val="1"/>
              <w:wordWrap w:val="1"/>
              <w:overflowPunct w:val="1"/>
              <w:topLinePunct w:val="0"/>
              <w:autoSpaceDE w:val="1"/>
              <w:autoSpaceDN w:val="1"/>
              <w:bidi w:val="0"/>
              <w:adjustRightInd w:val="1"/>
              <w:snapToGrid w:val="1"/>
              <w:spacing w:after="80"/>
              <w:ind w:firstLine="420" w:firstLineChars="200"/>
              <w:jc w:val="both"/>
              <w:textAlignment w:val="auto"/>
              <w:rPr>
                <w:rFonts w:hint="default" w:ascii="Times New Roman" w:hAnsi="Times New Roman" w:eastAsia="宋体" w:cs="Times New Roman"/>
                <w:sz w:val="21"/>
                <w:szCs w:val="28"/>
                <w:lang w:val="en-US" w:eastAsia="zh-CN"/>
              </w:rPr>
            </w:pPr>
            <w:r>
              <w:rPr>
                <w:rFonts w:hint="eastAsia" w:ascii="Times New Roman" w:hAnsi="Times New Roman" w:eastAsia="宋体"/>
                <w:b w:val="0"/>
                <w:sz w:val="21"/>
              </w:rPr>
              <w:t>项目按方案论证、原型研制和研究成果三个阶段推进。申报阶段以系统设计、可复现模型及软件验证说明任务可行性；实施阶段完成台架、节点、无线与平台联调，并开展独立试验；成果阶段整理原始记录、研究报告和论文初稿。各阶段围绕同一巡检问题展开，仿真用于前期准备，原型性能以实测结果验收。</w:t>
            </w:r>
          </w:p>
        </w:tc>
      </w:tr>
      <w:tr>
        <w:trPr>
          <w:trHeight w:val="0" w:hRule="atLeast"/>
          <w:jc w:val="center"/>
        </w:trPr>
        <w:tc>
          <w:tcPr>
            <w:tcW w:w="9286" w:type="dxa"/>
            <w:gridSpan w:val="9"/>
            <w:noWrap w:val="0"/>
            <w:vAlign w:val="top"/>
          </w:tcPr>
          <w:p w14:paraId="1AB3A308">
            <w:pPr>
              <w:spacing w:before="120" w:after="40"/>
            </w:pPr>
            <w:r>
              <w:rPr>
                <w:rFonts w:hint="eastAsia" w:ascii="宋体" w:hAnsi="宋体" w:eastAsia="宋体"/>
                <w:b w:val="1"/>
                <w:bCs w:val="0"/>
                <w:sz w:val="21"/>
                <w:szCs w:val="21"/>
              </w:rPr>
              <w:t>八、已有基础</w:t>
            </w:r>
            <w:r>
              <w:br w:type="textWrapping"/>
            </w:r>
            <w:r>
              <w:rPr>
                <w:rFonts w:hint="eastAsia"/>
                <w:lang w:val="en-US" w:eastAsia="zh-CN"/>
              </w:rPr>
              <w:t>8.</w:t>
            </w:r>
            <w:r>
              <w:rPr>
                <w:rFonts w:hint="eastAsia" w:ascii="Times New Roman" w:hAnsi="Times New Roman" w:eastAsia="黑体"/>
                <w:b w:val="0"/>
                <w:bCs w:val="1"/>
                <w:sz w:val="21"/>
                <w:szCs w:val="21"/>
              </w:rPr>
              <w:t>1 系统设计与前期论证</w:t>
            </w:r>
          </w:p>
          <w:p w14:paraId="4ED19288">
            <w:pPr>
              <w:spacing w:after="40"/>
              <w:ind w:firstLine="420"/>
              <w:jc w:val="both"/>
            </w:pPr>
            <w:r>
              <w:rPr>
                <w:rFonts w:hint="eastAsia" w:ascii="Times New Roman" w:hAnsi="Times New Roman" w:eastAsia="宋体"/>
                <w:b w:val="0"/>
                <w:sz w:val="21"/>
              </w:rPr>
              <w:t>前期已完成文献梳理、双支路水路设计、参数化装配、采集接口分析和本地巡检软件。台架模型含207个有效实体，测点顺序与水路一致，支持整体、电气和泄漏计量局部查看；现有分析中A支路流量约1.85—4.34L/min，最大总供水约7.95L/min，据此确定台架水源与量程。现有成果为设计、仿真和主机软件，实物节点、无线射频及田间应用在实施阶段验证。</w:t>
            </w:r>
          </w:p>
          <w:p w14:paraId="361A2864">
            <w:pPr>
              <w:jc w:val="center"/>
            </w:pPr>
            <w:r>
              <w:drawing>
                <wp:inline distT="0" distB="0" distL="114300" distR="114300">
                  <wp:extent cx="4937760" cy="2908300"/>
                  <wp:effectExtent l="0" t="0" r="6350" b="6350"/>
                  <wp:docPr id="38" name="图片 9"/>
                  <wp:cNvGraphicFramePr>
                    <a:graphicFrameLocks noChangeAspect="1"/>
                  </wp:cNvGraphicFramePr>
                  <a:graphic>
                    <a:graphicData uri="http://schemas.openxmlformats.org/drawingml/2006/picture">
                      <pic:pic>
                        <pic:nvPicPr>
                          <pic:cNvPr id="39" name="图片 9"/>
                          <pic:cNvPicPr>
                            <a:picLocks noChangeAspect="1"/>
                          </pic:cNvPicPr>
                        </pic:nvPicPr>
                        <pic:blipFill>
                          <a:blip r:embed="rId18"/>
                          <a:stretch>
                            <a:fillRect/>
                          </a:stretch>
                        </pic:blipFill>
                        <pic:spPr>
                          <a:xfrm>
                            <a:off x="0" y="0"/>
                            <a:ext cx="4937760" cy="2908300"/>
                          </a:xfrm>
                          <a:prstGeom prst="rect">
                            <a:avLst/>
                          </a:prstGeom>
                          <a:noFill/>
                          <a:ln>
                            <a:noFill/>
                          </a:ln>
                        </pic:spPr>
                      </pic:pic>
                    </a:graphicData>
                  </a:graphic>
                </wp:inline>
              </w:drawing>
            </w:r>
          </w:p>
          <w:p w14:paraId="3C062563">
            <w:pPr>
              <w:spacing w:after="160"/>
              <w:jc w:val="center"/>
            </w:pPr>
            <w:r>
              <w:rPr>
                <w:rFonts w:hint="eastAsia" w:ascii="Times New Roman" w:hAnsi="Times New Roman" w:eastAsia="宋体"/>
                <w:b w:val="0"/>
                <w:sz w:val="18"/>
              </w:rPr>
              <w:t>图</w:t>
            </w:r>
            <w:r>
              <w:rPr>
                <w:rFonts w:hint="eastAsia" w:ascii="Times New Roman" w:hAnsi="Times New Roman"/>
                <w:b w:val="0"/>
                <w:sz w:val="18"/>
                <w:lang w:val="en-US" w:eastAsia="zh-CN"/>
              </w:rPr>
              <w:t>8</w:t>
            </w:r>
            <w:r>
              <w:rPr>
                <w:rFonts w:hint="eastAsia"/>
                <w:b w:val="0"/>
                <w:sz w:val="18"/>
                <w:lang w:val="en-US" w:eastAsia="zh-CN"/>
              </w:rPr>
              <w:t>-1</w:t>
            </w:r>
            <w:r>
              <w:rPr>
                <w:rFonts w:hint="eastAsia" w:ascii="Times New Roman" w:hAnsi="Times New Roman" w:eastAsia="宋体"/>
                <w:b w:val="0"/>
                <w:sz w:val="18"/>
              </w:rPr>
              <w:t xml:space="preserve"> 候选判据的有效早期与正常误报对照</w:t>
            </w:r>
          </w:p>
          <w:p w14:paraId="32A9D9DD">
            <w:pPr>
              <w:spacing w:after="40"/>
              <w:ind w:firstLine="420"/>
              <w:jc w:val="both"/>
            </w:pPr>
            <w:r>
              <w:rPr>
                <w:rFonts w:hint="eastAsia" w:ascii="Times New Roman" w:hAnsi="Times New Roman" w:eastAsia="宋体"/>
                <w:b w:val="0"/>
                <w:sz w:val="21"/>
              </w:rPr>
              <w:t>图</w:t>
            </w:r>
            <w:r>
              <w:rPr>
                <w:rFonts w:hint="eastAsia" w:ascii="Times New Roman" w:hAnsi="Times New Roman"/>
                <w:b w:val="0"/>
                <w:sz w:val="21"/>
                <w:lang w:val="en-US" w:eastAsia="zh-CN"/>
              </w:rPr>
              <w:t>8</w:t>
            </w:r>
            <w:r>
              <w:rPr>
                <w:rFonts w:hint="eastAsia"/>
                <w:b w:val="0"/>
                <w:sz w:val="21"/>
                <w:lang w:val="en-US" w:eastAsia="zh-CN"/>
              </w:rPr>
              <w:t>-1</w:t>
            </w:r>
            <w:r>
              <w:rPr>
                <w:rFonts w:hint="eastAsia" w:ascii="Times New Roman" w:hAnsi="Times New Roman" w:eastAsia="宋体"/>
                <w:b w:val="0"/>
                <w:sz w:val="21"/>
              </w:rPr>
              <w:t>比较固定门限、稳健门限及稳健门限与累积判据组合，三组使用相同测量前端、窗口和确认条件，对泄漏、局部受限及长时正常轨迹进行合成回放，覆盖三档压力噪声和12个测试种子。在0.3、3kPa噪声下两类故障均为12/12条有效早期；10kPa时固定门限降为1/12，稳健门限和累积组合保持12/12；长时正常对照中稳健门限三档均无确认误报，固定门限与累积组合分别出现误报。结果支持优先部署稳健门限，并在实物阶段检验其实际效果。</w:t>
            </w:r>
          </w:p>
          <w:p w14:paraId="4936EF7F">
            <w:pPr>
              <w:jc w:val="center"/>
            </w:pPr>
            <w:r>
              <w:drawing>
                <wp:inline distT="0" distB="0" distL="114300" distR="114300">
                  <wp:extent cx="4937760" cy="4009390"/>
                  <wp:effectExtent l="0" t="0" r="6350" b="6350"/>
                  <wp:docPr id="41" name="图片 10"/>
                  <wp:cNvGraphicFramePr>
                    <a:graphicFrameLocks noChangeAspect="1"/>
                  </wp:cNvGraphicFramePr>
                  <a:graphic>
                    <a:graphicData uri="http://schemas.openxmlformats.org/drawingml/2006/picture">
                      <pic:pic>
                        <pic:nvPicPr>
                          <pic:cNvPr id="42" name="图片 10"/>
                          <pic:cNvPicPr>
                            <a:picLocks noChangeAspect="1"/>
                          </pic:cNvPicPr>
                        </pic:nvPicPr>
                        <pic:blipFill>
                          <a:blip r:embed="rId19"/>
                          <a:stretch>
                            <a:fillRect/>
                          </a:stretch>
                        </pic:blipFill>
                        <pic:spPr>
                          <a:xfrm>
                            <a:off x="0" y="0"/>
                            <a:ext cx="4937760" cy="4009390"/>
                          </a:xfrm>
                          <a:prstGeom prst="rect">
                            <a:avLst/>
                          </a:prstGeom>
                          <a:noFill/>
                          <a:ln>
                            <a:noFill/>
                          </a:ln>
                        </pic:spPr>
                      </pic:pic>
                    </a:graphicData>
                  </a:graphic>
                </wp:inline>
              </w:drawing>
            </w:r>
          </w:p>
          <w:p w14:paraId="0238D8A5">
            <w:pPr>
              <w:spacing w:after="160"/>
              <w:jc w:val="center"/>
            </w:pPr>
            <w:r>
              <w:rPr>
                <w:rFonts w:hint="eastAsia" w:ascii="Times New Roman" w:hAnsi="Times New Roman" w:eastAsia="宋体"/>
                <w:b w:val="0"/>
                <w:sz w:val="18"/>
              </w:rPr>
              <w:t>图</w:t>
            </w:r>
            <w:r>
              <w:rPr>
                <w:rFonts w:hint="eastAsia"/>
                <w:b w:val="0"/>
                <w:sz w:val="18"/>
                <w:lang w:val="en-US" w:eastAsia="zh-CN"/>
              </w:rPr>
              <w:t>8-2</w:t>
            </w:r>
            <w:r>
              <w:rPr>
                <w:rFonts w:hint="eastAsia" w:ascii="Times New Roman" w:hAnsi="Times New Roman" w:eastAsia="宋体"/>
                <w:b w:val="0"/>
                <w:sz w:val="18"/>
              </w:rPr>
              <w:t xml:space="preserve"> 初始K/R判据的负载歧义与压力漂移反例（仿真）</w:t>
            </w:r>
          </w:p>
          <w:p w14:paraId="3748EB10">
            <w:pPr>
              <w:spacing w:after="40"/>
              <w:ind w:firstLine="420"/>
              <w:jc w:val="both"/>
            </w:pPr>
            <w:r>
              <w:rPr>
                <w:rFonts w:hint="eastAsia" w:ascii="Times New Roman" w:hAnsi="Times New Roman" w:eastAsia="宋体"/>
                <w:b w:val="0"/>
                <w:sz w:val="21"/>
              </w:rPr>
              <w:t>前期还构造了未知正常负载、压力漂移及负载规律失配反例。图8-2显示，在20个种子的合成对照中，未知负载增加可与等效泄漏产生相同观测，上游压力偏移也可能形成受限候选。稳健门限能够抑制随机波动，却不能替代工况信息和独立核查，因此试验纳入操作记录、健康标定与跨负载留出评价。</w:t>
            </w:r>
          </w:p>
          <w:p w14:paraId="7C7A70E4">
            <w:pPr>
              <w:spacing w:after="40"/>
              <w:ind w:firstLine="420"/>
              <w:jc w:val="both"/>
            </w:pPr>
            <w:r>
              <w:rPr>
                <w:rFonts w:hint="eastAsia" w:ascii="Times New Roman" w:hAnsi="Times New Roman" w:eastAsia="宋体"/>
                <w:b w:val="0"/>
                <w:sz w:val="21"/>
              </w:rPr>
              <w:t>诊断程序已完成健康参照、稳健门限和测量质量检查。便携C整数内核与主机参考程序在216条合成轨迹、130,896次更新中的九字段输出一致，边界舍入与插值差异另有记录。当前固定1Hz基线采用十秒主窗、五次确认，三秒短窗形成关注提示，为STM32移植提供程序基础。</w:t>
            </w:r>
          </w:p>
          <w:p w14:paraId="2DCD437F">
            <w:pPr>
              <w:keepNext w:val="0"/>
              <w:keepLines w:val="0"/>
              <w:pageBreakBefore w:val="0"/>
              <w:widowControl w:val="0"/>
              <w:kinsoku w:val="1"/>
              <w:wordWrap w:val="1"/>
              <w:overflowPunct w:val="1"/>
              <w:topLinePunct w:val="0"/>
              <w:autoSpaceDE w:val="1"/>
              <w:autoSpaceDN w:val="1"/>
              <w:bidi w:val="0"/>
              <w:adjustRightInd w:val="1"/>
              <w:snapToGrid w:val="1"/>
              <w:spacing w:after="40"/>
              <w:textAlignment w:val="auto"/>
              <w:rPr>
                <w:b w:val="0"/>
                <w:bCs w:val="1"/>
                <w:sz w:val="21"/>
                <w:szCs w:val="21"/>
              </w:rPr>
            </w:pPr>
            <w:r>
              <w:rPr>
                <w:rFonts w:hint="eastAsia" w:eastAsia="黑体"/>
                <w:b w:val="0"/>
                <w:bCs w:val="1"/>
                <w:sz w:val="21"/>
                <w:szCs w:val="21"/>
                <w:lang w:val="en-US" w:eastAsia="zh-CN"/>
              </w:rPr>
              <w:t>8.</w:t>
            </w:r>
            <w:r>
              <w:rPr>
                <w:rFonts w:hint="eastAsia" w:ascii="Times New Roman" w:hAnsi="Times New Roman" w:eastAsia="黑体"/>
                <w:b w:val="0"/>
                <w:bCs w:val="1"/>
                <w:sz w:val="21"/>
                <w:szCs w:val="21"/>
              </w:rPr>
              <w:t>2 协议与平台软件</w:t>
            </w:r>
          </w:p>
          <w:p w14:paraId="4DAA22C9">
            <w:pPr>
              <w:spacing w:after="40"/>
              <w:ind w:firstLine="420"/>
              <w:jc w:val="both"/>
            </w:pPr>
            <w:r>
              <w:rPr>
                <w:rFonts w:hint="eastAsia" w:ascii="Times New Roman" w:hAnsi="Times New Roman" w:eastAsia="宋体"/>
                <w:b w:val="0"/>
                <w:sz w:val="21"/>
              </w:rPr>
              <w:t>采集适配与通信状态已在主机联调，覆盖缺测、越量程、计数复位、重复报文和确认丢失。80组通信回放包括正常链路、随机丢失及受控中断三类条件，其中正常链路组收到全部生成事件，随机丢失与受控中断组按各自条件分别统计；通信协议编解码共1429条记录，456次单比特破坏均通过校验，压力解码最大误差约0.005kPa，事件、遥测与应答帧分别为57、55和24B，程序通过严格编译检查。以上均为链路回放与合成仿真结果，节点日志与真实射频恢复将在后续联调中验证。</w:t>
            </w:r>
          </w:p>
          <w:p w14:paraId="09F3C5DE">
            <w:pPr>
              <w:spacing w:after="40"/>
              <w:ind w:firstLine="420"/>
              <w:jc w:val="both"/>
            </w:pPr>
            <w:r>
              <w:rPr>
                <w:rFonts w:hint="eastAsia" w:ascii="Times New Roman" w:hAnsi="Times New Roman" w:eastAsia="宋体"/>
                <w:b w:val="0"/>
                <w:sz w:val="21"/>
              </w:rPr>
              <w:t>巡检平台已接入C回放、Python服务和SQLite，提供24条带噪观测回放及独立核查记录。桌面封装支持八页操作、可暂停回放、压力与流量曲线、三维测点聚焦、CSV/JSON保存和重启后恢复；当前界面使用合成数据，并在本机完成启动、操作、保存与恢复检查。</w:t>
            </w:r>
          </w:p>
          <w:p w14:paraId="7EADF38C">
            <w:pPr>
              <w:spacing w:after="40"/>
              <w:ind w:firstLine="420"/>
              <w:jc w:val="both"/>
            </w:pPr>
            <w:r>
              <w:rPr>
                <w:rFonts w:hint="eastAsia" w:ascii="Times New Roman" w:hAnsi="Times New Roman" w:eastAsia="宋体"/>
                <w:b w:val="0"/>
                <w:sz w:val="21"/>
              </w:rPr>
              <w:t>分级采集仿真共432组，与上述判据对照批次相互独立，改变种子、噪声、场景及读取相位。固定1秒组的渐进泄漏与受限均为9/9有效早期，2秒巡航组为17/18，5秒组分别为39/45和42/45；事件触发方案在高频阈值下记录471帧、低频阈值仅8帧。读取次数随周期延长减少，响应代价也随之出现，项目据此保留1Hz主线，并继续研究2秒、5秒策略。</w:t>
            </w:r>
          </w:p>
          <w:p w14:paraId="2A4227CC">
            <w:pPr>
              <w:spacing w:after="40"/>
              <w:ind w:firstLine="420"/>
              <w:jc w:val="both"/>
            </w:pPr>
            <w:r>
              <w:rPr>
                <w:rFonts w:hint="eastAsia" w:ascii="Times New Roman" w:hAnsi="Times New Roman" w:eastAsia="宋体"/>
                <w:b w:val="0"/>
                <w:sz w:val="21"/>
              </w:rPr>
              <w:t>这说明单纯调整门限仍难以完全解决跨工况问题。平台已提供多供压健康曲线拟合，候选参照经独立健康数据核验后启用，后续将用实测批次比较固定参照与重新标定。</w:t>
            </w:r>
          </w:p>
          <w:p w14:paraId="3213E635">
            <w:pPr>
              <w:spacing w:after="40"/>
              <w:ind w:firstLine="420"/>
              <w:jc w:val="both"/>
            </w:pPr>
            <w:r>
              <w:rPr>
                <w:rFonts w:hint="eastAsia" w:ascii="Times New Roman" w:hAnsi="Times New Roman" w:eastAsia="宋体"/>
                <w:b w:val="0"/>
                <w:sz w:val="21"/>
              </w:rPr>
              <w:t>控制请求已接入页面和数据库，能够区分请求、软件接收、模拟输出及人工复位，并保留重复命令和重启后的状态；节点IO仍待联调，现有程序为LED或蜂鸣器演示提供基础。</w:t>
            </w:r>
          </w:p>
          <w:p w14:paraId="769025D9">
            <w:pPr>
              <w:keepNext w:val="0"/>
              <w:keepLines w:val="0"/>
              <w:pageBreakBefore w:val="0"/>
              <w:widowControl w:val="0"/>
              <w:kinsoku w:val="1"/>
              <w:wordWrap w:val="1"/>
              <w:overflowPunct w:val="1"/>
              <w:topLinePunct w:val="0"/>
              <w:autoSpaceDE w:val="1"/>
              <w:autoSpaceDN w:val="1"/>
              <w:bidi w:val="0"/>
              <w:adjustRightInd w:val="1"/>
              <w:snapToGrid w:val="1"/>
              <w:spacing w:after="40"/>
              <w:textAlignment w:val="auto"/>
              <w:rPr>
                <w:b w:val="0"/>
                <w:bCs w:val="1"/>
                <w:sz w:val="21"/>
                <w:szCs w:val="21"/>
              </w:rPr>
            </w:pPr>
            <w:r>
              <w:rPr>
                <w:rFonts w:hint="eastAsia" w:eastAsia="黑体"/>
                <w:b w:val="0"/>
                <w:bCs w:val="1"/>
                <w:sz w:val="21"/>
                <w:szCs w:val="21"/>
                <w:lang w:val="en-US" w:eastAsia="zh-CN"/>
              </w:rPr>
              <w:t>8.</w:t>
            </w:r>
            <w:r>
              <w:rPr>
                <w:rFonts w:hint="eastAsia" w:ascii="Times New Roman" w:hAnsi="Times New Roman" w:eastAsia="黑体"/>
                <w:b w:val="0"/>
                <w:bCs w:val="1"/>
                <w:sz w:val="21"/>
                <w:szCs w:val="21"/>
              </w:rPr>
              <w:t>3 已具备条件、尚缺少条件及解决方法</w:t>
            </w:r>
          </w:p>
          <w:p w14:paraId="34990915">
            <w:pPr>
              <w:spacing w:after="40"/>
              <w:ind w:firstLine="420"/>
              <w:jc w:val="both"/>
            </w:pPr>
            <w:r>
              <w:rPr>
                <w:rFonts w:hint="eastAsia" w:ascii="Times New Roman" w:hAnsi="Times New Roman" w:eastAsia="宋体"/>
                <w:b w:val="0"/>
                <w:sz w:val="21"/>
              </w:rPr>
              <w:t>已具备：系统设计、合成仿真对照、判据门限反推与可检边界分析、主机软件与桌面封装、通信协议回放与编解码、分级采集与跨工况分析、控制请求接入。</w:t>
            </w:r>
          </w:p>
          <w:p w14:paraId="124D4C97">
            <w:pPr>
              <w:spacing w:after="40"/>
              <w:ind w:firstLine="420"/>
              <w:jc w:val="both"/>
            </w:pPr>
            <w:r>
              <w:rPr>
                <w:rFonts w:hint="eastAsia" w:ascii="Times New Roman" w:hAnsi="Times New Roman" w:eastAsia="宋体"/>
                <w:b w:val="0"/>
                <w:sz w:val="21"/>
              </w:rPr>
              <w:t>下一步落实：完成硬件实物节点的焊接与调试、差压实测不确定度评定、真实LoRa射频与整机电流实测、以及上游瞬态扰动、下游堵塞背压与共同扰动参照的台架装置搭建。</w:t>
            </w:r>
          </w:p>
          <w:p w14:paraId="447E1022">
            <w:pPr>
              <w:spacing w:after="40"/>
              <w:ind w:firstLine="420"/>
              <w:jc w:val="both"/>
              <w:rPr>
                <w:rFonts w:hint="default" w:ascii="Times New Roman" w:hAnsi="Times New Roman" w:eastAsia="宋体" w:cs="Times New Roman"/>
                <w:sz w:val="21"/>
                <w:szCs w:val="28"/>
                <w:lang w:val="en-US" w:eastAsia="zh-CN"/>
              </w:rPr>
            </w:pPr>
            <w:r>
              <w:rPr>
                <w:rFonts w:hint="eastAsia" w:ascii="Times New Roman" w:hAnsi="Times New Roman" w:eastAsia="宋体"/>
                <w:b w:val="0"/>
                <w:sz w:val="21"/>
              </w:rPr>
              <w:t>解决途径：2027年3—4月完成器件选型与跨工况标定，参考仪表以借调或委托校准方式取得；上游扰动注入、B末端堵塞与首部/干管参照装置在实施阶段按实验安排搭建与试验。</w:t>
            </w:r>
          </w:p>
        </w:tc>
      </w:tr>
      <w:tr>
        <w:trPr>
          <w:trHeight w:val="1700" w:hRule="atLeast"/>
          <w:jc w:val="center"/>
        </w:trPr>
        <w:tc>
          <w:tcPr>
            <w:tcW w:w="9286" w:type="dxa"/>
            <w:gridSpan w:val="9"/>
            <w:noWrap w:val="0"/>
            <w:vAlign w:val="top"/>
          </w:tcPr>
          <w:p w14:paraId="5BB66376">
            <w:pPr>
              <w:keepNext w:val="0"/>
              <w:keepLines w:val="0"/>
              <w:widowControl w:val="1"/>
              <w:spacing w:before="0" w:after="0" w:line="240" w:lineRule="auto"/>
              <w:jc w:val="both"/>
              <w:rPr>
                <w:rFonts w:hint="default" w:ascii="Times New Roman" w:hAnsi="Times New Roman" w:eastAsia="宋体" w:cs="Times New Roman"/>
                <w:color w:val="FF0000"/>
                <w:sz w:val="21"/>
                <w:szCs w:val="28"/>
                <w:lang w:val="en-US" w:eastAsia="zh-CN"/>
              </w:rPr>
            </w:pPr>
            <w:r>
              <w:rPr>
                <w:rFonts w:hint="eastAsia" w:ascii="宋体" w:hAnsi="宋体" w:eastAsia="宋体"/>
                <w:b w:val="1"/>
                <w:sz w:val="21"/>
                <w:szCs w:val="21"/>
              </w:rPr>
              <w:t>九、项目经费使用计划</w:t>
            </w:r>
          </w:p>
          <w:p w14:paraId="682EB35A">
            <w:pPr>
              <w:spacing w:before="120" w:after="40"/>
              <w:jc w:val="center"/>
            </w:pPr>
            <w:bookmarkStart w:id="1" w:name="_GoBack"/>
            <w:bookmarkEnd w:id="1"/>
            <w:r>
              <w:rPr>
                <w:rFonts w:hint="eastAsia" w:ascii="Times New Roman" w:hAnsi="Times New Roman" w:eastAsia="黑体"/>
                <w:b w:val="1"/>
                <w:sz w:val="21"/>
              </w:rPr>
              <w:t>经费预算表（总经费12000元）</w:t>
            </w:r>
          </w:p>
          <w:tbl>
            <w:tblPr>
              <w:tblStyle w:val="0000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1728"/>
              <w:gridCol w:w="5184"/>
            </w:tblGrid>
            <w:tr>
              <w:trPr>
                <w:jc w:val="center"/>
              </w:trPr>
              <w:tc>
                <w:tcPr>
                  <w:tcW w:w="2304" w:type="dxa"/>
                </w:tcPr>
                <w:p w14:paraId="440B8A6C">
                  <w:pPr>
                    <w:spacing w:after="0"/>
                    <w:jc w:val="center"/>
                  </w:pPr>
                  <w:r>
                    <w:rPr>
                      <w:rFonts w:hint="eastAsia" w:ascii="Times New Roman" w:hAnsi="Times New Roman" w:eastAsia="宋体"/>
                      <w:b w:val="1"/>
                      <w:sz w:val="19"/>
                    </w:rPr>
                    <w:t>科目</w:t>
                  </w:r>
                </w:p>
              </w:tc>
              <w:tc>
                <w:tcPr>
                  <w:tcW w:w="1728" w:type="dxa"/>
                </w:tcPr>
                <w:p w14:paraId="2D600616">
                  <w:pPr>
                    <w:spacing w:after="0"/>
                    <w:jc w:val="center"/>
                  </w:pPr>
                  <w:r>
                    <w:rPr>
                      <w:rFonts w:hint="eastAsia" w:ascii="Times New Roman" w:hAnsi="Times New Roman" w:eastAsia="宋体"/>
                      <w:b w:val="1"/>
                      <w:sz w:val="19"/>
                    </w:rPr>
                    <w:t>金额（元）</w:t>
                  </w:r>
                </w:p>
              </w:tc>
              <w:tc>
                <w:tcPr>
                  <w:tcW w:w="5184" w:type="dxa"/>
                </w:tcPr>
                <w:p w14:paraId="11FDD596">
                  <w:pPr>
                    <w:spacing w:after="0"/>
                    <w:jc w:val="center"/>
                  </w:pPr>
                  <w:r>
                    <w:rPr>
                      <w:rFonts w:hint="eastAsia" w:ascii="Times New Roman" w:hAnsi="Times New Roman" w:eastAsia="宋体"/>
                      <w:b w:val="1"/>
                      <w:sz w:val="19"/>
                    </w:rPr>
                    <w:t>用途说明</w:t>
                  </w:r>
                </w:p>
              </w:tc>
            </w:tr>
            <w:tr>
              <w:trPr>
                <w:jc w:val="center"/>
              </w:trPr>
              <w:tc>
                <w:tcPr>
                  <w:tcW w:w="2304" w:type="dxa"/>
                </w:tcPr>
                <w:p w14:paraId="35B2C2B5">
                  <w:pPr>
                    <w:spacing w:after="0"/>
                    <w:jc w:val="left"/>
                  </w:pPr>
                  <w:r>
                    <w:rPr>
                      <w:rFonts w:hint="eastAsia" w:ascii="Times New Roman" w:hAnsi="Times New Roman" w:eastAsia="宋体"/>
                      <w:b w:val="0"/>
                      <w:sz w:val="19"/>
                    </w:rPr>
                    <w:t>专用材料费</w:t>
                  </w:r>
                </w:p>
              </w:tc>
              <w:tc>
                <w:tcPr>
                  <w:tcW w:w="1728" w:type="dxa"/>
                </w:tcPr>
                <w:p w14:paraId="1E9DB270">
                  <w:pPr>
                    <w:spacing w:after="0"/>
                    <w:jc w:val="center"/>
                  </w:pPr>
                  <w:r>
                    <w:rPr>
                      <w:rFonts w:ascii="Times New Roman" w:hAnsi="Times New Roman" w:eastAsia="宋体"/>
                      <w:b w:val="0"/>
                      <w:sz w:val="19"/>
                    </w:rPr>
                    <w:t>6300</w:t>
                  </w:r>
                </w:p>
              </w:tc>
              <w:tc>
                <w:tcPr>
                  <w:tcW w:w="5184" w:type="dxa"/>
                </w:tcPr>
                <w:p w14:paraId="5BC45496">
                  <w:pPr>
                    <w:spacing w:after="0"/>
                    <w:jc w:val="left"/>
                  </w:pPr>
                  <w:r>
                    <w:rPr>
                      <w:rFonts w:hint="eastAsia" w:ascii="Times New Roman" w:hAnsi="Times New Roman" w:eastAsia="宋体"/>
                      <w:b w:val="0"/>
                      <w:sz w:val="19"/>
                    </w:rPr>
                    <w:t>感知节点元器件（35—40 kPa 档差压变送器与干管参照压力变送器、取样调理、脉冲流量计与电平转换、主控、模数转换、LoRa与存储模块、电源模块）、双支路台架水工材料（管道、阀门接头、活接、受限元件R、泄漏旁路、回水与排水防溅、收集与称量容器）</w:t>
                  </w:r>
                </w:p>
              </w:tc>
            </w:tr>
            <w:tr>
              <w:trPr>
                <w:jc w:val="center"/>
              </w:trPr>
              <w:tc>
                <w:tcPr>
                  <w:tcW w:w="2304" w:type="dxa"/>
                </w:tcPr>
                <w:p w14:paraId="513A38ED">
                  <w:pPr>
                    <w:spacing w:after="0"/>
                    <w:jc w:val="left"/>
                  </w:pPr>
                  <w:r>
                    <w:rPr>
                      <w:rFonts w:hint="eastAsia" w:ascii="Times New Roman" w:hAnsi="Times New Roman" w:eastAsia="宋体"/>
                      <w:b w:val="0"/>
                      <w:sz w:val="19"/>
                    </w:rPr>
                    <w:t>印刷费</w:t>
                  </w:r>
                </w:p>
              </w:tc>
              <w:tc>
                <w:tcPr>
                  <w:tcW w:w="1728" w:type="dxa"/>
                </w:tcPr>
                <w:p w14:paraId="77126DB7">
                  <w:pPr>
                    <w:spacing w:after="0"/>
                    <w:jc w:val="center"/>
                  </w:pPr>
                  <w:r>
                    <w:rPr>
                      <w:rFonts w:ascii="Times New Roman" w:hAnsi="Times New Roman" w:eastAsia="宋体"/>
                      <w:b w:val="0"/>
                      <w:sz w:val="19"/>
                    </w:rPr>
                    <w:t>5200</w:t>
                  </w:r>
                </w:p>
              </w:tc>
              <w:tc>
                <w:tcPr>
                  <w:tcW w:w="5184" w:type="dxa"/>
                </w:tcPr>
                <w:p w14:paraId="4975FF97">
                  <w:pPr>
                    <w:spacing w:after="0"/>
                    <w:jc w:val="left"/>
                  </w:pPr>
                  <w:r>
                    <w:rPr>
                      <w:rFonts w:hint="eastAsia" w:ascii="Times New Roman" w:hAnsi="Times New Roman" w:eastAsia="宋体"/>
                      <w:b w:val="0"/>
                      <w:sz w:val="19"/>
                    </w:rPr>
                    <w:t>申报和任务书、结题材料印刷装订；三维装配图、水路与电气接口图、标定曲线出图；实验记录表与试次标签打印；文献资料购置与检索、论文投稿、软件著作权申请</w:t>
                  </w:r>
                </w:p>
              </w:tc>
            </w:tr>
            <w:tr>
              <w:trPr>
                <w:jc w:val="center"/>
              </w:trPr>
              <w:tc>
                <w:tcPr>
                  <w:tcW w:w="2304" w:type="dxa"/>
                </w:tcPr>
                <w:p w14:paraId="0EDAB0A9">
                  <w:pPr>
                    <w:spacing w:after="0"/>
                    <w:jc w:val="left"/>
                  </w:pPr>
                  <w:r>
                    <w:rPr>
                      <w:rFonts w:hint="eastAsia" w:ascii="Times New Roman" w:hAnsi="Times New Roman" w:eastAsia="宋体"/>
                      <w:b w:val="0"/>
                      <w:sz w:val="19"/>
                    </w:rPr>
                    <w:t>其他费用</w:t>
                  </w:r>
                </w:p>
              </w:tc>
              <w:tc>
                <w:tcPr>
                  <w:tcW w:w="1728" w:type="dxa"/>
                </w:tcPr>
                <w:p w14:paraId="06A85B68">
                  <w:pPr>
                    <w:spacing w:after="0"/>
                    <w:jc w:val="center"/>
                  </w:pPr>
                  <w:r>
                    <w:rPr>
                      <w:rFonts w:ascii="Times New Roman" w:hAnsi="Times New Roman" w:eastAsia="宋体"/>
                      <w:b w:val="0"/>
                      <w:sz w:val="19"/>
                    </w:rPr>
                    <w:t>500</w:t>
                  </w:r>
                </w:p>
              </w:tc>
              <w:tc>
                <w:tcPr>
                  <w:tcW w:w="5184" w:type="dxa"/>
                </w:tcPr>
                <w:p w14:paraId="270B664A">
                  <w:pPr>
                    <w:spacing w:after="0"/>
                    <w:jc w:val="left"/>
                  </w:pPr>
                  <w:r>
                    <w:rPr>
                      <w:rFonts w:hint="eastAsia" w:ascii="Times New Roman" w:hAnsi="Times New Roman" w:eastAsia="宋体"/>
                      <w:b w:val="0"/>
                      <w:sz w:val="19"/>
                    </w:rPr>
                    <w:t>器件与材料采购邮寄；赴合作团场或试验站现场调研与正常轮灌工况观测交通费；标定与预实验临时耗材</w:t>
                  </w:r>
                </w:p>
              </w:tc>
            </w:tr>
            <w:tr>
              <w:trPr>
                <w:jc w:val="center"/>
              </w:trPr>
              <w:tc>
                <w:tcPr>
                  <w:tcW w:w="2304" w:type="dxa"/>
                </w:tcPr>
                <w:p w14:paraId="5BEE4EF2">
                  <w:pPr>
                    <w:spacing w:after="0"/>
                    <w:jc w:val="left"/>
                  </w:pPr>
                  <w:r>
                    <w:rPr>
                      <w:rFonts w:hint="eastAsia" w:ascii="Times New Roman" w:hAnsi="Times New Roman" w:eastAsia="宋体"/>
                      <w:b w:val="0"/>
                      <w:sz w:val="19"/>
                    </w:rPr>
                    <w:t>支出合计</w:t>
                  </w:r>
                </w:p>
              </w:tc>
              <w:tc>
                <w:tcPr>
                  <w:tcW w:w="1728" w:type="dxa"/>
                </w:tcPr>
                <w:p w14:paraId="55839438">
                  <w:pPr>
                    <w:spacing w:after="0"/>
                    <w:jc w:val="center"/>
                  </w:pPr>
                  <w:r>
                    <w:rPr>
                      <w:rFonts w:ascii="Times New Roman" w:hAnsi="Times New Roman" w:eastAsia="宋体"/>
                      <w:b w:val="0"/>
                      <w:sz w:val="19"/>
                    </w:rPr>
                    <w:t>12000</w:t>
                  </w:r>
                </w:p>
              </w:tc>
              <w:tc>
                <w:tcPr>
                  <w:tcW w:w="5184" w:type="dxa"/>
                </w:tcPr>
                <w:p w14:paraId="035836E5">
                  <w:pPr>
                    <w:spacing w:after="0"/>
                    <w:jc w:val="left"/>
                  </w:pPr>
                  <w:r>
                    <w:rPr>
                      <w:rFonts w:ascii="Times New Roman" w:hAnsi="Times New Roman" w:eastAsia="宋体"/>
                      <w:b w:val="0"/>
                      <w:sz w:val="19"/>
                    </w:rPr>
                    <w:t>—</w:t>
                  </w:r>
                </w:p>
              </w:tc>
            </w:tr>
          </w:tbl>
          <w:p w14:paraId="17179CB9">
            <w:pPr>
              <w:spacing w:after="60"/>
              <w:ind w:firstLine="420"/>
              <w:jc w:val="both"/>
              <w:rPr>
                <w:rFonts w:hint="default" w:ascii="Times New Roman" w:hAnsi="Times New Roman" w:eastAsia="宋体" w:cs="Times New Roman"/>
                <w:sz w:val="21"/>
                <w:szCs w:val="28"/>
                <w:lang w:val="en-US" w:eastAsia="zh-CN"/>
              </w:rPr>
            </w:pPr>
            <w:r>
              <w:rPr>
                <w:rFonts w:hint="eastAsia" w:ascii="Times New Roman" w:hAnsi="Times New Roman" w:eastAsia="宋体"/>
                <w:b w:val="0"/>
                <w:sz w:val="21"/>
              </w:rPr>
              <w:t>专用材料费为支出主体，具体包含三部分：其一，感知节点元器件，包括GD32F103CBT6主控、35—40 kPa 档差压变送器与干管参照压力变送器、SGM58031模数转换模块、脉冲式流量计、E220LoRa模块、microSD存储及电源、调理保护电路与LED/蜂鸣器演示器件，约2600元；其二，双支路台架水路耗材，包括PVC管材、阀门接头、泄漏旁路、受限元件R、正常出流与收集容器及排水防溅结构，约2200元；其三，上游扰动注入与下游背压、首部/干管参照装置，包括可调压力扰动阀、B末端可调堵塞元件、压力调节器及额外测点，约1500元。印刷费用于申报与结题材料印刷装订、图纸与标定曲线出图、实验记录表打印，以及文献资料检索与论文投稿、软件著作权申请等知识产权事务，合计5200元。其他费用含器件采购邮寄、赴合作团场或试验站现场调研与正常轮灌工况观测的交通费（占总预算约4%，在学校规定的30%限额内）以及标定与预实验临时耗材，计500元。参考仪表不列为本项目购置支出，改以借调或委托校准方式取得。</w:t>
            </w:r>
          </w:p>
        </w:tc>
      </w:tr>
      <w:tr>
        <w:trPr>
          <w:cantSplit w:val="1"/>
          <w:trHeight w:val="602" w:hRule="atLeast"/>
          <w:jc w:val="center"/>
        </w:trPr>
        <w:tc>
          <w:tcPr>
            <w:tcW w:w="2815" w:type="dxa"/>
            <w:gridSpan w:val="5"/>
            <w:noWrap w:val="0"/>
            <w:vAlign w:val="top"/>
          </w:tcPr>
          <w:p w14:paraId="60F5022E">
            <w:pPr>
              <w:keepNext w:val="1"/>
              <w:pageBreakBefore w:val="1"/>
              <w:spacing w:before="156" w:beforeLines="50"/>
              <w:rPr>
                <w:rFonts w:hint="eastAsia" w:eastAsia="宋体"/>
                <w:b w:val="1"/>
                <w:sz w:val="21"/>
                <w:lang w:eastAsia="zh-CN"/>
              </w:rPr>
            </w:pPr>
            <w:r>
              <w:rPr>
                <w:rFonts w:hint="eastAsia" w:eastAsia="宋体"/>
                <w:b w:val="1"/>
                <w:sz w:val="21"/>
                <w:lang w:eastAsia="zh-CN"/>
              </w:rPr>
              <w:t>项目组成员签字：</w:t>
            </w:r>
          </w:p>
        </w:tc>
        <w:tc>
          <w:tcPr>
            <w:tcW w:w="3050" w:type="dxa"/>
            <w:gridSpan w:val="2"/>
            <w:noWrap w:val="0"/>
            <w:vAlign w:val="top"/>
          </w:tcPr>
          <w:p w14:paraId="11EA4AE3">
            <w:pPr>
              <w:keepNext w:val="1"/>
              <w:spacing w:before="156" w:beforeLines="50"/>
              <w:rPr>
                <w:rFonts w:hint="eastAsia"/>
                <w:b w:val="1"/>
              </w:rPr>
            </w:pPr>
          </w:p>
        </w:tc>
        <w:tc>
          <w:tcPr>
            <w:tcW w:w="3421" w:type="dxa"/>
            <w:gridSpan w:val="2"/>
            <w:noWrap w:val="0"/>
            <w:vAlign w:val="top"/>
          </w:tcPr>
          <w:p w14:paraId="0542743F">
            <w:pPr>
              <w:keepNext w:val="1"/>
              <w:spacing w:before="156" w:beforeLines="50"/>
              <w:rPr>
                <w:rFonts w:hint="eastAsia"/>
                <w:b w:val="1"/>
              </w:rPr>
            </w:pPr>
          </w:p>
        </w:tc>
      </w:tr>
      <w:tr>
        <w:trPr>
          <w:cantSplit w:val="1"/>
          <w:trHeight w:val="602" w:hRule="atLeast"/>
          <w:jc w:val="center"/>
        </w:trPr>
        <w:tc>
          <w:tcPr>
            <w:tcW w:w="2815" w:type="dxa"/>
            <w:gridSpan w:val="5"/>
            <w:noWrap w:val="0"/>
            <w:vAlign w:val="top"/>
          </w:tcPr>
          <w:p w14:paraId="0D8B614C">
            <w:pPr>
              <w:keepNext w:val="1"/>
              <w:spacing w:before="156" w:beforeLines="50"/>
              <w:rPr>
                <w:rFonts w:hint="eastAsia"/>
                <w:b w:val="1"/>
              </w:rPr>
            </w:pPr>
          </w:p>
        </w:tc>
        <w:tc>
          <w:tcPr>
            <w:tcW w:w="3050" w:type="dxa"/>
            <w:gridSpan w:val="2"/>
            <w:noWrap w:val="0"/>
            <w:vAlign w:val="top"/>
          </w:tcPr>
          <w:p w14:paraId="0444C702">
            <w:pPr>
              <w:keepNext w:val="1"/>
              <w:spacing w:before="156" w:beforeLines="50"/>
              <w:rPr>
                <w:rFonts w:hint="eastAsia"/>
                <w:b w:val="1"/>
              </w:rPr>
            </w:pPr>
          </w:p>
        </w:tc>
        <w:tc>
          <w:tcPr>
            <w:tcW w:w="3421" w:type="dxa"/>
            <w:gridSpan w:val="2"/>
            <w:noWrap w:val="0"/>
            <w:vAlign w:val="top"/>
          </w:tcPr>
          <w:p w14:paraId="3E612CA4">
            <w:pPr>
              <w:keepNext w:val="1"/>
              <w:spacing w:before="156" w:beforeLines="50"/>
              <w:rPr>
                <w:rFonts w:hint="eastAsia"/>
                <w:b w:val="1"/>
              </w:rPr>
            </w:pPr>
          </w:p>
        </w:tc>
      </w:tr>
      <w:tr>
        <w:trPr>
          <w:cantSplit w:val="1"/>
          <w:trHeight w:val="602" w:hRule="atLeast"/>
          <w:jc w:val="center"/>
        </w:trPr>
        <w:tc>
          <w:tcPr>
            <w:tcW w:w="2815" w:type="dxa"/>
            <w:gridSpan w:val="5"/>
            <w:noWrap w:val="0"/>
            <w:vAlign w:val="top"/>
          </w:tcPr>
          <w:p w14:paraId="0566EF93">
            <w:pPr>
              <w:keepNext w:val="0"/>
              <w:spacing w:before="156" w:beforeLines="50"/>
              <w:rPr>
                <w:rFonts w:hint="eastAsia"/>
                <w:b w:val="1"/>
              </w:rPr>
            </w:pPr>
          </w:p>
        </w:tc>
        <w:tc>
          <w:tcPr>
            <w:tcW w:w="3050" w:type="dxa"/>
            <w:gridSpan w:val="2"/>
            <w:noWrap w:val="0"/>
            <w:vAlign w:val="top"/>
          </w:tcPr>
          <w:p w14:paraId="129C614B">
            <w:pPr>
              <w:keepNext w:val="0"/>
              <w:spacing w:before="156" w:beforeLines="50"/>
              <w:rPr>
                <w:rFonts w:hint="eastAsia"/>
                <w:b w:val="1"/>
              </w:rPr>
            </w:pPr>
          </w:p>
        </w:tc>
        <w:tc>
          <w:tcPr>
            <w:tcW w:w="3421" w:type="dxa"/>
            <w:gridSpan w:val="2"/>
            <w:noWrap w:val="0"/>
            <w:vAlign w:val="top"/>
          </w:tcPr>
          <w:p w14:paraId="054ED11C">
            <w:pPr>
              <w:keepNext w:val="0"/>
              <w:spacing w:before="156" w:beforeLines="50"/>
              <w:rPr>
                <w:rFonts w:hint="eastAsia"/>
                <w:b w:val="1"/>
              </w:rPr>
            </w:pPr>
          </w:p>
        </w:tc>
      </w:tr>
      <w:tr>
        <w:trPr>
          <w:trHeight w:val="4670" w:hRule="atLeast"/>
          <w:jc w:val="center"/>
        </w:trPr>
        <w:tc>
          <w:tcPr>
            <w:tcW w:w="9286" w:type="dxa"/>
            <w:gridSpan w:val="9"/>
            <w:noWrap w:val="0"/>
            <w:vAlign w:val="top"/>
          </w:tcPr>
          <w:p w14:paraId="43F2D272">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指导教师意见：</w:t>
            </w:r>
          </w:p>
          <w:p w14:paraId="015D02B4">
            <w:pPr>
              <w:rPr>
                <w:rFonts w:hint="eastAsia" w:ascii="宋体" w:hAnsi="宋体"/>
              </w:rPr>
            </w:pPr>
          </w:p>
          <w:p w14:paraId="17FC746C">
            <w:pPr>
              <w:rPr>
                <w:rFonts w:hint="eastAsia" w:ascii="宋体" w:hAnsi="宋体"/>
              </w:rPr>
            </w:pPr>
          </w:p>
          <w:p w14:paraId="6E3D0FF0">
            <w:pPr>
              <w:rPr>
                <w:rFonts w:hint="eastAsia" w:ascii="宋体" w:hAnsi="宋体"/>
              </w:rPr>
            </w:pPr>
          </w:p>
          <w:p w14:paraId="189548E1">
            <w:pPr>
              <w:rPr>
                <w:rFonts w:hint="eastAsia" w:ascii="宋体" w:hAnsi="宋体"/>
              </w:rPr>
            </w:pPr>
          </w:p>
          <w:p w14:paraId="6B4E39CC">
            <w:pPr>
              <w:rPr>
                <w:rFonts w:hint="eastAsia" w:ascii="宋体" w:hAnsi="宋体"/>
              </w:rPr>
            </w:pPr>
          </w:p>
          <w:p w14:paraId="50FAA0BB">
            <w:pPr>
              <w:rPr>
                <w:rFonts w:hint="eastAsia" w:ascii="宋体" w:hAnsi="宋体"/>
              </w:rPr>
            </w:pPr>
          </w:p>
          <w:p w14:paraId="24D6675E">
            <w:pPr>
              <w:rPr>
                <w:rFonts w:hint="eastAsia" w:ascii="宋体" w:hAnsi="宋体"/>
              </w:rPr>
            </w:pPr>
          </w:p>
          <w:p w14:paraId="19EAB47F">
            <w:pPr>
              <w:rPr>
                <w:rFonts w:hint="eastAsia" w:ascii="宋体" w:hAnsi="宋体"/>
              </w:rPr>
            </w:pPr>
          </w:p>
          <w:p w14:paraId="3FDDFA05">
            <w:pPr>
              <w:rPr>
                <w:rFonts w:hint="eastAsia" w:ascii="宋体" w:hAnsi="宋体"/>
              </w:rPr>
            </w:pPr>
          </w:p>
          <w:p w14:paraId="25B27C48">
            <w:pPr>
              <w:rPr>
                <w:rFonts w:hint="eastAsia" w:ascii="宋体" w:hAnsi="宋体"/>
                <w:szCs w:val="21"/>
              </w:rPr>
            </w:pPr>
          </w:p>
          <w:p w14:paraId="0E59AE6C">
            <w:pPr>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 签    名： </w:t>
            </w:r>
          </w:p>
          <w:p w14:paraId="2F79EE9F">
            <w:pPr>
              <w:spacing w:before="156" w:beforeLines="50"/>
              <w:ind w:firstLine="6600" w:firstLineChars="3000"/>
              <w:rPr>
                <w:rFonts w:hint="eastAsia"/>
                <w:b w:val="1"/>
              </w:rPr>
            </w:pPr>
            <w:r>
              <w:rPr>
                <w:rFonts w:hint="eastAsia" w:ascii="黑体" w:hAnsi="黑体" w:eastAsia="黑体" w:cs="Times New Roman"/>
                <w:sz w:val="22"/>
                <w:szCs w:val="28"/>
              </w:rPr>
              <w:t>年     月     日</w:t>
            </w:r>
          </w:p>
        </w:tc>
      </w:tr>
      <w:tr>
        <w:trPr>
          <w:cantSplit w:val="1"/>
          <w:trHeight w:val="4657" w:hRule="atLeast"/>
          <w:jc w:val="center"/>
        </w:trPr>
        <w:tc>
          <w:tcPr>
            <w:tcW w:w="9286" w:type="dxa"/>
            <w:gridSpan w:val="9"/>
            <w:noWrap w:val="0"/>
            <w:vAlign w:val="top"/>
          </w:tcPr>
          <w:p w14:paraId="11636C42">
            <w:pPr>
              <w:keepNext w:val="1"/>
              <w:pageBreakBefore w:val="1"/>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学院意见：</w:t>
            </w:r>
          </w:p>
          <w:p w14:paraId="0E7F69C5">
            <w:pPr>
              <w:keepNext w:val="1"/>
              <w:rPr>
                <w:rFonts w:hint="eastAsia" w:ascii="宋体" w:hAnsi="宋体"/>
              </w:rPr>
            </w:pPr>
          </w:p>
          <w:p w14:paraId="4175D9EF">
            <w:pPr>
              <w:keepNext w:val="1"/>
              <w:rPr>
                <w:rFonts w:hint="eastAsia" w:ascii="宋体" w:hAnsi="宋体"/>
              </w:rPr>
            </w:pPr>
          </w:p>
          <w:p w14:paraId="23EAAF82">
            <w:pPr>
              <w:keepNext w:val="1"/>
              <w:rPr>
                <w:rFonts w:hint="eastAsia" w:ascii="宋体" w:hAnsi="宋体"/>
              </w:rPr>
            </w:pPr>
          </w:p>
          <w:p w14:paraId="75C00FE2">
            <w:pPr>
              <w:keepNext w:val="1"/>
              <w:rPr>
                <w:rFonts w:hint="eastAsia" w:ascii="宋体" w:hAnsi="宋体"/>
              </w:rPr>
            </w:pPr>
          </w:p>
          <w:p w14:paraId="2863052C">
            <w:pPr>
              <w:keepNext w:val="1"/>
              <w:rPr>
                <w:rFonts w:hint="eastAsia" w:ascii="宋体" w:hAnsi="宋体"/>
              </w:rPr>
            </w:pPr>
          </w:p>
          <w:p w14:paraId="0C8779F2">
            <w:pPr>
              <w:keepNext w:val="1"/>
              <w:rPr>
                <w:rFonts w:hint="eastAsia" w:ascii="宋体" w:hAnsi="宋体"/>
              </w:rPr>
            </w:pPr>
          </w:p>
          <w:p w14:paraId="22AA7F7F">
            <w:pPr>
              <w:keepNext w:val="1"/>
              <w:rPr>
                <w:rFonts w:hint="eastAsia" w:ascii="宋体" w:hAnsi="宋体"/>
              </w:rPr>
            </w:pPr>
          </w:p>
          <w:p w14:paraId="123A9427">
            <w:pPr>
              <w:keepNext w:val="1"/>
              <w:rPr>
                <w:rFonts w:hint="eastAsia" w:ascii="宋体" w:hAnsi="宋体"/>
              </w:rPr>
            </w:pPr>
          </w:p>
          <w:p w14:paraId="7BF5D906">
            <w:pPr>
              <w:keepNext w:val="1"/>
              <w:rPr>
                <w:rFonts w:hint="eastAsia" w:ascii="宋体" w:hAnsi="宋体"/>
              </w:rPr>
            </w:pPr>
          </w:p>
          <w:p w14:paraId="5CD4D3D3">
            <w:pPr>
              <w:keepNext w:val="1"/>
              <w:rPr>
                <w:rFonts w:hint="eastAsia" w:ascii="宋体" w:hAnsi="宋体"/>
              </w:rPr>
            </w:pPr>
          </w:p>
          <w:p w14:paraId="2BA65CA1">
            <w:pPr>
              <w:keepNext w:val="1"/>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签名盖章： </w:t>
            </w:r>
          </w:p>
          <w:p w14:paraId="5C3AF363">
            <w:pPr>
              <w:keepNext w:val="1"/>
              <w:spacing w:before="156" w:beforeLines="50"/>
              <w:ind w:firstLine="6600" w:firstLineChars="3000"/>
              <w:rPr>
                <w:rFonts w:hint="eastAsia"/>
                <w:b w:val="1"/>
              </w:rPr>
            </w:pPr>
            <w:r>
              <w:rPr>
                <w:rFonts w:hint="eastAsia" w:ascii="黑体" w:hAnsi="黑体" w:eastAsia="黑体" w:cs="Times New Roman"/>
                <w:sz w:val="22"/>
                <w:szCs w:val="28"/>
              </w:rPr>
              <w:t>年     月     日</w:t>
            </w:r>
          </w:p>
        </w:tc>
      </w:tr>
      <w:tr>
        <w:trPr>
          <w:cantSplit w:val="1"/>
          <w:trHeight w:val="4886" w:hRule="atLeast"/>
          <w:jc w:val="center"/>
        </w:trPr>
        <w:tc>
          <w:tcPr>
            <w:tcW w:w="9286" w:type="dxa"/>
            <w:gridSpan w:val="9"/>
            <w:noWrap w:val="0"/>
            <w:vAlign w:val="top"/>
          </w:tcPr>
          <w:p w14:paraId="7E78A58B">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学校意见：</w:t>
            </w:r>
          </w:p>
          <w:p w14:paraId="3F7AA19F">
            <w:pPr>
              <w:spacing w:before="156" w:beforeLines="50"/>
              <w:rPr>
                <w:rFonts w:hint="eastAsia" w:ascii="黑体" w:hAnsi="黑体" w:eastAsia="黑体" w:cs="Times New Roman"/>
                <w:sz w:val="22"/>
                <w:szCs w:val="28"/>
              </w:rPr>
            </w:pPr>
          </w:p>
          <w:p w14:paraId="1AA98FD9">
            <w:pPr>
              <w:spacing w:before="156" w:beforeLines="50"/>
              <w:rPr>
                <w:rFonts w:hint="eastAsia" w:ascii="黑体" w:hAnsi="黑体" w:eastAsia="黑体" w:cs="Times New Roman"/>
                <w:sz w:val="22"/>
                <w:szCs w:val="28"/>
              </w:rPr>
            </w:pPr>
          </w:p>
          <w:p w14:paraId="5E96CD00">
            <w:pPr>
              <w:spacing w:before="156" w:beforeLines="50"/>
              <w:rPr>
                <w:rFonts w:hint="eastAsia" w:ascii="黑体" w:hAnsi="黑体" w:eastAsia="黑体" w:cs="Times New Roman"/>
                <w:sz w:val="22"/>
                <w:szCs w:val="28"/>
              </w:rPr>
            </w:pPr>
          </w:p>
          <w:p w14:paraId="107A5911">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drawing>
                <wp:anchor distT="0" distB="0" distL="114300" distR="114300" simplePos="0" relativeHeight="251659264" behindDoc="0" locked="0" layoutInCell="1" allowOverlap="1">
                  <wp:simplePos x="0" y="0"/>
                  <wp:positionH relativeFrom="column">
                    <wp:posOffset>1571625</wp:posOffset>
                  </wp:positionH>
                  <wp:positionV relativeFrom="paragraph">
                    <wp:posOffset>78105</wp:posOffset>
                  </wp:positionV>
                  <wp:extent cx="228600" cy="198120"/>
                  <wp:effectExtent l="4445" t="4445" r="15240" b="13335"/>
                  <wp:wrapNone/>
                  <wp:docPr id="44" name="00001c"/>
                  <wp:cNvGraphicFramePr/>
                  <a:graphic>
                    <a:graphicData uri="http://schemas.microsoft.com/office/word/2010/wordprocessingShape">
                      <wps:wsp>
                        <wps:cNvSpPr txBox="1"/>
                        <wps:spPr>
                          <a:xfrm>
                            <a:off x="0" y="0"/>
                            <a:ext cx="228600" cy="19812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069894F">
                              <w:pPr/>
                            </w:p>
                          </w:txbxContent>
                        </wps:txbx>
                        <wps:bodyPr upright="1"/>
                      </wps:wsp>
                    </a:graphicData>
                  </a:graphic>
                </wp:anchor>
              </w:drawing>
            </w:r>
            <w:r>
              <w:rPr>
                <w:rFonts w:hint="eastAsia" w:ascii="黑体" w:hAnsi="黑体" w:eastAsia="黑体" w:cs="Times New Roman"/>
                <w:sz w:val="22"/>
                <w:szCs w:val="28"/>
              </w:rPr>
              <w:drawing>
                <wp:anchor distT="0" distB="0" distL="114300" distR="114300" simplePos="0" relativeHeight="251660288" behindDoc="0" locked="0" layoutInCell="1" allowOverlap="1">
                  <wp:simplePos x="0" y="0"/>
                  <wp:positionH relativeFrom="column">
                    <wp:posOffset>3182620</wp:posOffset>
                  </wp:positionH>
                  <wp:positionV relativeFrom="paragraph">
                    <wp:posOffset>71120</wp:posOffset>
                  </wp:positionV>
                  <wp:extent cx="228600" cy="198120"/>
                  <wp:effectExtent l="4445" t="4445" r="15240" b="13335"/>
                  <wp:wrapNone/>
                  <wp:docPr id="46" name="00001d"/>
                  <wp:cNvGraphicFramePr/>
                  <a:graphic>
                    <a:graphicData uri="http://schemas.microsoft.com/office/word/2010/wordprocessingShape">
                      <wps:wsp>
                        <wps:cNvSpPr txBox="1"/>
                        <wps:spPr>
                          <a:xfrm>
                            <a:off x="0" y="0"/>
                            <a:ext cx="228600" cy="19812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50A4222">
                              <w:pPr/>
                            </w:p>
                          </w:txbxContent>
                        </wps:txbx>
                        <wps:bodyPr upright="1"/>
                      </wps:wsp>
                    </a:graphicData>
                  </a:graphic>
                </wp:anchor>
              </w:drawing>
            </w:r>
            <w:r>
              <w:rPr>
                <w:rFonts w:hint="eastAsia" w:ascii="黑体" w:hAnsi="黑体" w:eastAsia="黑体" w:cs="Times New Roman"/>
                <w:sz w:val="22"/>
                <w:szCs w:val="28"/>
              </w:rPr>
              <w:t>同意立项级别：   校级                  国家级</w:t>
            </w:r>
          </w:p>
          <w:p w14:paraId="5F98D701">
            <w:pPr>
              <w:rPr>
                <w:rFonts w:hint="eastAsia"/>
                <w:b w:val="1"/>
              </w:rPr>
            </w:pPr>
          </w:p>
          <w:p w14:paraId="39462C15">
            <w:pPr>
              <w:spacing w:before="156" w:beforeLines="50"/>
              <w:rPr>
                <w:rFonts w:hint="eastAsia" w:ascii="黑体" w:hAnsi="黑体" w:eastAsia="黑体" w:cs="Times New Roman"/>
                <w:sz w:val="22"/>
                <w:szCs w:val="28"/>
              </w:rPr>
            </w:pPr>
          </w:p>
          <w:p w14:paraId="22FD2D10">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 xml:space="preserve">                                                签名盖章： </w:t>
            </w:r>
          </w:p>
          <w:p w14:paraId="428EBCD1">
            <w:pPr>
              <w:spacing w:before="156" w:beforeLines="50"/>
              <w:ind w:firstLine="6600" w:firstLineChars="3000"/>
              <w:rPr>
                <w:rFonts w:hint="eastAsia"/>
                <w:b w:val="1"/>
              </w:rPr>
            </w:pPr>
            <w:r>
              <w:rPr>
                <w:rFonts w:hint="eastAsia" w:ascii="黑体" w:hAnsi="黑体" w:eastAsia="黑体" w:cs="Times New Roman"/>
                <w:sz w:val="22"/>
                <w:szCs w:val="28"/>
              </w:rPr>
              <w:t>年     月     日</w:t>
            </w:r>
          </w:p>
        </w:tc>
      </w:tr>
    </w:tbl>
    <w:p w14:paraId="7023A84F">
      <w:pPr>
        <w:spacing w:line="360" w:lineRule="auto"/>
        <w:rPr>
          <w:rFonts w:hint="eastAsia"/>
        </w:rPr>
      </w:pPr>
    </w:p>
    <w:sectPr>
      <w:footerReference r:id="rId5" w:type="default"/>
      <w:pgSz w:w="11906" w:h="16838"/>
      <w:pgMar w:top="1418" w:right="1418" w:bottom="1418" w:left="1418" w:header="851" w:footer="992" w:gutter="0"/>
      <w:pgBorders>
        <w:top w:val="none" w:sz="0" w:space="0"/>
        <w:left w:val="none" w:sz="0" w:space="0"/>
        <w:bottom w:val="none" w:sz="0" w:space="0"/>
        <w:right w:val="none" w:sz="0" w:space="0"/>
      </w:pgBorders>
      <w:pgNumType w:fmt="numberInDash" w:start="1"/>
      <w:cols w:space="720" w:num="1"/>
      <w:docGrid w:type="lines" w:linePitch="312" w:charSpace="0"/>
    </w:sectPr>
  </w:body>
</w:document>
</file>

<file path=word/fontTable.xml><?xml version="1.0" encoding="utf-8"?>
<w:fonts xmlns:w="http://schemas.openxmlformats.org/wordprocessingml/2006/main">
  <w:font w:name="仿宋">
    <w:panose1 w:val="02010609060101010101"/>
    <w:charset w:val="86" w:characterSet="ISO-8859-1"/>
    <w:family w:val="auto"/>
    <w:pitch w:val="default"/>
    <w:sig w:usb0="800002BF" w:usb1="38CF7CFA" w:usb2="00000016" w:usb3="00000000" w:csb0="00040001" w:csb1="00000000"/>
  </w:font>
  <w:font w:name="KSOFE44F9426">
    <w:panose1 w:val="02010609060101010101"/>
    <w:charset w:val="86" w:characterSet="ISO-8859-1"/>
    <w:family w:val="auto"/>
    <w:pitch w:val="default"/>
    <w:sig w:usb0="00000001" w:usb1="00000000" w:usb2="00000000" w:usb3="00000000" w:csb0="00040001" w:csb1="00000000"/>
  </w:font>
  <w:font w:name="黑体">
    <w:panose1 w:val="02010609060101010101"/>
    <w:charset w:val="86" w:characterSet="ISO-8859-1"/>
    <w:family w:val="auto"/>
    <w:pitch w:val="default"/>
    <w:sig w:usb0="800002BF" w:usb1="38CF7CFA" w:usb2="00000016" w:usb3="00000000" w:csb0="00040001" w:csb1="00000000"/>
  </w:font>
  <w:font w:name="小标宋">
    <w:altName w:val="微软雅黑"/>
    <w:panose1 w:val="03000509000000000000"/>
    <w:charset w:val="86" w:characterSet="ISO-8859-1"/>
    <w:family w:val="auto"/>
    <w:pitch w:val="default"/>
    <w:sig w:usb0="00000000" w:usb1="00000000" w:usb2="00000000" w:usb3="00000000" w:csb0="00040000" w:csb1="00000000"/>
  </w:font>
  <w:font w:name="仿宋_GB2312">
    <w:altName w:val="仿宋"/>
    <w:panose1 w:val="02010609030101010101"/>
    <w:charset w:val="86" w:characterSet="ISO-8859-1"/>
    <w:family w:val="modern"/>
    <w:pitch w:val="default"/>
    <w:sig w:usb0="00000000" w:usb1="00000000" w:usb2="00000000" w:usb3="00000000" w:csb0="00040000" w:csb1="00000000"/>
  </w:font>
  <w:font w:name="Courier">
    <w:altName w:val="Courier New"/>
    <w:panose1 w:val="02000500000000000000"/>
    <w:charset w:val="00" w:characterSet="ISO-8859-1"/>
    <w:family w:val="auto"/>
    <w:pitch w:val="default"/>
    <w:sig w:usb0="00000000" w:usb1="00000000" w:usb2="00000000" w:usb3="00000000" w:csb0="00000001" w:csb1="00000000"/>
  </w:font>
  <w:font w:name="Times New Roman">
    <w:panose1 w:val="02020603050405020304"/>
    <w:charset w:val="02" w:characterSet="ISO-8859-1"/>
    <w:family w:val="auto"/>
    <w:pitch w:val="default"/>
    <w:sig w:usb0="E0002EFF" w:usb1="C000785B" w:usb2="00000009" w:usb3="00000000" w:csb0="400001FF" w:csb1="FFFF0000"/>
  </w:font>
  <w:font w:name="Calibri">
    <w:panose1 w:val="020F0502020204030204"/>
    <w:charset w:val="00" w:characterSet="ISO-8859-1"/>
    <w:family w:val="swiss"/>
    <w:pitch w:val="default"/>
    <w:sig w:usb0="E4002EFF" w:usb1="C200247B" w:usb2="00000009" w:usb3="00000000" w:csb0="200001FF" w:csb1="00000000"/>
  </w:font>
  <w:font w:name="楷体_GB2312">
    <w:altName w:val="楷体"/>
    <w:panose1 w:val="02010609030101010101"/>
    <w:charset w:val="86" w:characterSet="ISO-8859-1"/>
    <w:family w:val="modern"/>
    <w:pitch w:val="default"/>
    <w:sig w:usb0="00000000" w:usb1="00000000" w:usb2="00000000" w:usb3="00000000" w:csb0="00040000" w:csb1="00000000"/>
  </w:font>
  <w:font w:name="Symbol">
    <w:panose1 w:val="05050102010706020507"/>
    <w:charset w:val="02" w:characterSet="ISO-8859-1"/>
    <w:family w:val="roman"/>
    <w:pitch w:val="default"/>
    <w:sig w:usb0="00000000" w:usb1="00000000" w:usb2="00000000" w:usb3="00000000" w:csb0="80000000" w:csb1="00000000"/>
  </w:font>
  <w:font w:name="楷体">
    <w:panose1 w:val="02010609060101010101"/>
    <w:charset w:val="86" w:characterSet="ISO-8859-1"/>
    <w:family w:val="auto"/>
    <w:pitch w:val="default"/>
    <w:sig w:usb0="800002BF" w:usb1="38CF7CFA" w:usb2="00000016" w:usb3="00000000" w:csb0="00040001" w:csb1="00000000"/>
  </w:font>
  <w:font w:name="Arial">
    <w:panose1 w:val="020B0604020202020204"/>
    <w:charset w:val="01" w:characterSet="ISO-8859-1"/>
    <w:family w:val="swiss"/>
    <w:pitch w:val="default"/>
    <w:sig w:usb0="E0002EFF" w:usb1="C000785B" w:usb2="00000009" w:usb3="00000000" w:csb0="400001FF" w:csb1="FFFF0000"/>
  </w:font>
  <w:font w:name="Courier New">
    <w:panose1 w:val="02070309020205020404"/>
    <w:charset w:val="01" w:characterSet="ISO-8859-1"/>
    <w:family w:val="modern"/>
    <w:pitch w:val="default"/>
    <w:sig w:usb0="E0002EFF" w:usb1="C0007843" w:usb2="00000009" w:usb3="00000000" w:csb0="400001FF" w:csb1="FFFF0000"/>
  </w:font>
  <w:font w:name="Cambria Math">
    <w:panose1 w:val="02040503050406030204"/>
    <w:charset w:val="00" w:characterSet="ISO-8859-1"/>
    <w:family w:val="auto"/>
    <w:pitch w:val="default"/>
    <w:sig w:usb0="E00006FF" w:usb1="420024FF" w:usb2="02000000" w:usb3="00000000" w:csb0="2000019F" w:csb1="00000000"/>
  </w:font>
  <w:font w:name="微软雅黑">
    <w:panose1 w:val="020B0503020204020204"/>
    <w:charset w:val="86" w:characterSet="ISO-8859-1"/>
    <w:family w:val="auto"/>
    <w:pitch w:val="default"/>
    <w:sig w:usb0="80000287" w:usb1="2ACF3C50" w:usb2="00000016" w:usb3="00000000" w:csb0="0004001F" w:csb1="00000000"/>
  </w:font>
  <w:font w:name="Wingdings">
    <w:panose1 w:val="05000000000000000000"/>
    <w:charset w:val="02" w:characterSet="ISO-8859-1"/>
    <w:family w:val="auto"/>
    <w:pitch w:val="default"/>
    <w:sig w:usb0="00000000" w:usb1="00000000" w:usb2="00000000" w:usb3="00000000" w:csb0="80000000" w:csb1="00000000"/>
  </w:font>
  <w:font w:name="宋体">
    <w:panose1 w:val="02010600030101010101"/>
    <w:charset w:val="86" w:characterSet="ISO-8859-1"/>
    <w:family w:val="auto"/>
    <w:pitch w:val="default"/>
    <w:sig w:usb0="00000203" w:usb1="288F0000" w:usb2="00000006" w:usb3="00000000" w:csb0="00040001" w:csb1="00000000"/>
  </w:font>
</w:fonts>
</file>

<file path=word/footer1.xml><?xml version="1.0" encoding="utf-8"?>
<w:ftr xmlns:w="http://schemas.openxmlformats.org/wordprocessingml/2006/main" xmlns:a="http://schemas.openxmlformats.org/drawingml/2006/main" xmlns:wp="http://schemas.openxmlformats.org/drawingml/2006/wordprocessingDrawing" xmlns:w14="http://schemas.microsoft.com/office/word/2010/wordml" xmlns:wps="http://schemas.microsoft.com/office/word/2010/wordprocessingShape" xmlns:mc="http://schemas.openxmlformats.org/markup-compatibility/2006" mc:Ignorable="w14 wps">
  <w:p w14:paraId="7BFA77FF">
    <w:pPr>
      <w:pStyle w:val="000007"/>
    </w:pPr>
    <w:r>
      <w:rPr>
        <w:sz w:val="18"/>
      </w:rPr>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48" name="000008"/>
          <wp:cNvGraphicFramePr/>
          <a:graphic>
            <a:graphicData uri="http://schemas.microsoft.com/office/word/2010/wordprocessingShape">
              <wps:wsp>
                <wps:cNvSpPr txBox="1"/>
                <wps:spPr>
                  <a:xfrm>
                    <a:off x="0" y="0"/>
                    <a:ext cx="1828800" cy="1828800"/>
                  </a:xfrm>
                  <a:prstGeom prst="rect">
                    <a:avLst/>
                  </a:prstGeom>
                  <a:noFill/>
                  <a:ln>
                    <a:noFill/>
                  </a:ln>
                </wps:spPr>
                <wps:txbx>
                  <w:txbxContent>
                    <w:p w14:paraId="78EBDA97">
                      <w:pPr>
                        <w:pStyle w:val="000007"/>
                        <w:rPr>
                          <w:sz w:val="21"/>
                          <w:szCs w:val="21"/>
                        </w:rPr>
                      </w:pPr>
                      <w:r>
                        <w:rPr>
                          <w:sz w:val="21"/>
                          <w:szCs w:val="21"/>
                        </w:rPr>
                        <w:fldChar w:fldCharType="begin"/>
                      </w:r>
                      <w:r>
                        <w:rPr>
                          <w:rStyle w:val="000009"/>
                          <w:sz w:val="21"/>
                          <w:szCs w:val="21"/>
                        </w:rPr>
                        <w:instrText xml:space="preserve">PAGE  </w:instrText>
                      </w:r>
                      <w:r>
                        <w:rPr>
                          <w:sz w:val="21"/>
                          <w:szCs w:val="21"/>
                        </w:rPr>
                        <w:fldChar w:fldCharType="separate"/>
                      </w:r>
                      <w:r>
                        <w:rPr>
                          <w:rStyle w:val="000009"/>
                          <w:sz w:val="21"/>
                          <w:szCs w:val="21"/>
                        </w:rPr>
                        <w:t>1</w:t>
                      </w:r>
                      <w:r>
                        <w:rPr>
                          <w:sz w:val="21"/>
                          <w:szCs w:val="21"/>
                        </w:rPr>
                        <w:fldChar w:fldCharType="end"/>
                      </w:r>
                    </w:p>
                  </w:txbxContent>
                </wps:txbx>
                <wps:bodyPr wrap="none" lIns="0" tIns="0" rIns="0" bIns="0" upright="1">
                  <a:spAutoFit/>
                </wps:bodyPr>
              </wps:wsp>
            </a:graphicData>
          </a:graphic>
        </wp:anchor>
      </w:drawing>
    </w:r>
  </w:p>
</w:ftr>
</file>

<file path=word/numbering.xml><?xml version="1.0" encoding="utf-8"?>
<w:numbering xmlns:w="http://schemas.openxmlformats.org/wordprocessingml/2006/main">
  <w:abstractNum w:abstractNumId="0">
    <w:nsid w:val="7FAB3448"/>
    <w:multiLevelType w:val="singleLevel"/>
    <w:tmpl w:val="7FAB3448"/>
    <w:lvl w:ilvl="0" w:tentative="0">
      <w:start w:val="3"/>
      <w:numFmt w:val="chineseCounting"/>
      <w:suff w:val="nothing"/>
      <w:lvlText w:val="%1、"/>
      <w:lvlJc w:val="left"/>
      <w:rPr>
        <w:rFonts w:hint="eastAsia"/>
        <w:color w:val="auto"/>
        <w:sz w:val="21"/>
        <w:szCs w:val="21"/>
      </w:rPr>
    </w:lvl>
  </w:abstractNum>
  <w:abstractNum w:abstractNumId="1">
    <w:nsid w:val="CDD0C67B"/>
    <w:multiLevelType w:val="singleLevel"/>
    <w:tmpl w:val="CDD0C67B"/>
    <w:lvl w:ilvl="0" w:tentative="0">
      <w:start w:val="1"/>
      <w:numFmt w:val="chineseCounting"/>
      <w:suff w:val="nothing"/>
      <w:lvlText w:val="%1、"/>
      <w:lvlJc w:val="left"/>
      <w:rPr>
        <w:rFonts w:hint="eastAsia"/>
        <w:sz w:val="21"/>
        <w:szCs w:val="21"/>
      </w:rPr>
    </w:lvl>
  </w:abstractNum>
  <w:num w:numId="2">
    <w:abstractNumId w:val="0"/>
  </w:num>
  <w:num w:numId="1">
    <w:abstractNumId w:val="1"/>
  </w:num>
</w:numbering>
</file>

<file path=word/settings.xml><?xml version="1.0" encoding="utf-8"?>
<w:settings xmlns:w="http://schemas.openxmlformats.org/wordprocessingml/2006/main">
  <w:zoom w:percent="122"/>
  <w:embedTrueTypeFonts w:val="1"/>
  <w:saveSubsetFonts w:val="1"/>
  <w:bordersDoNotSurroundHeader w:val="0"/>
  <w:bordersDoNotSurroundFooter w:val="0"/>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val="1"/>
    <w:balanceSingleByteDoubleByteWidth w:val="1"/>
    <w:doNotLeaveBackslashAlone w:val="1"/>
    <w:ulTrailSpace w:val="1"/>
    <w:doNotExpandShiftReturn w:val="1"/>
    <w:adjustLineHeightInTable w:val="1"/>
    <w:useFELayout w:val="1"/>
    <w:compatSetting w:name="compatibilityMode" w:uri="http://schemas.microsoft.com/office/word" w:val="14"/>
    <w:compatSetting w:name="doNotFlipMirrorIndents" w:uri="http://schemas.microsoft.com/office/word" w:val="1"/>
    <w:compatSetting w:name="overrideTableStyleFontSizeAndJustification" w:uri="http://schemas.microsoft.com/office/word" w:val="1"/>
    <w:compatSetting w:name="enableOpenTypeFeatures" w:uri="http://schemas.microsoft.com/office/word" w:val="1"/>
  </w:compat>
  <w:docVars>
    <w:docVar w:name="commondata" w:val="eyJoZGlkIjoiOTMzYjIwYzMzODc2NjE0NzQwOTYwODUwNWRkNGVkZmIifQ=="/>
  </w:docVars>
  <w:rsids>
    <w:rsidRoot w:val="00C848A6"/>
    <w:rsid w:val="00007206"/>
    <w:rsid w:val="00094439"/>
    <w:rsid w:val="000B0BBE"/>
    <w:rsid w:val="001321B4"/>
    <w:rsid w:val="001558B9"/>
    <w:rsid w:val="0016391F"/>
    <w:rsid w:val="001A4A23"/>
    <w:rsid w:val="0021063B"/>
    <w:rsid w:val="00227945"/>
    <w:rsid w:val="00227EF5"/>
    <w:rsid w:val="002C5B40"/>
    <w:rsid w:val="00346C40"/>
    <w:rsid w:val="0036480C"/>
    <w:rsid w:val="00366E15"/>
    <w:rsid w:val="00376DDE"/>
    <w:rsid w:val="003B5EBD"/>
    <w:rsid w:val="003D34BA"/>
    <w:rsid w:val="003D4D06"/>
    <w:rsid w:val="004369A3"/>
    <w:rsid w:val="00440A03"/>
    <w:rsid w:val="00466C07"/>
    <w:rsid w:val="004746B0"/>
    <w:rsid w:val="004F22DA"/>
    <w:rsid w:val="00500FB0"/>
    <w:rsid w:val="005168B9"/>
    <w:rsid w:val="00540D59"/>
    <w:rsid w:val="005A367C"/>
    <w:rsid w:val="005A3C70"/>
    <w:rsid w:val="00617FD6"/>
    <w:rsid w:val="0065045A"/>
    <w:rsid w:val="0067113C"/>
    <w:rsid w:val="00673330"/>
    <w:rsid w:val="00695972"/>
    <w:rsid w:val="006B759E"/>
    <w:rsid w:val="006D5FED"/>
    <w:rsid w:val="006F599E"/>
    <w:rsid w:val="00792927"/>
    <w:rsid w:val="00793754"/>
    <w:rsid w:val="007B1B7E"/>
    <w:rsid w:val="00825FB4"/>
    <w:rsid w:val="00875D37"/>
    <w:rsid w:val="00894C41"/>
    <w:rsid w:val="008B5C9F"/>
    <w:rsid w:val="00906023"/>
    <w:rsid w:val="00981B0B"/>
    <w:rsid w:val="009A1991"/>
    <w:rsid w:val="009B2B37"/>
    <w:rsid w:val="009C01DA"/>
    <w:rsid w:val="009C0D1E"/>
    <w:rsid w:val="00A15C74"/>
    <w:rsid w:val="00A4021B"/>
    <w:rsid w:val="00A53F98"/>
    <w:rsid w:val="00A74A96"/>
    <w:rsid w:val="00AA3B49"/>
    <w:rsid w:val="00AC1F0A"/>
    <w:rsid w:val="00B128D9"/>
    <w:rsid w:val="00B56C05"/>
    <w:rsid w:val="00BD7EF6"/>
    <w:rsid w:val="00C25CC3"/>
    <w:rsid w:val="00C314D5"/>
    <w:rsid w:val="00C52A54"/>
    <w:rsid w:val="00C57E77"/>
    <w:rsid w:val="00C848A6"/>
    <w:rsid w:val="00CC794E"/>
    <w:rsid w:val="00CE5CF8"/>
    <w:rsid w:val="00D34D58"/>
    <w:rsid w:val="00D54048"/>
    <w:rsid w:val="00D84D7E"/>
    <w:rsid w:val="00DD0614"/>
    <w:rsid w:val="00DD15E9"/>
    <w:rsid w:val="00E60B11"/>
    <w:rsid w:val="00EB3A75"/>
    <w:rsid w:val="00EC5E67"/>
    <w:rsid w:val="00F12D65"/>
    <w:rsid w:val="00F2648B"/>
    <w:rsid w:val="00F33FF4"/>
    <w:rsid w:val="00F75A7A"/>
    <w:rsid w:val="00FB2D8D"/>
    <w:rsid w:val="00FE3393"/>
    <w:rsid w:val="010E6BD3"/>
    <w:rsid w:val="01282A68"/>
    <w:rsid w:val="04211061"/>
    <w:rsid w:val="05C375FE"/>
    <w:rsid w:val="081C745E"/>
    <w:rsid w:val="090A6A84"/>
    <w:rsid w:val="0B0419E3"/>
    <w:rsid w:val="0F8A271E"/>
    <w:rsid w:val="127D5F11"/>
    <w:rsid w:val="16730DCD"/>
    <w:rsid w:val="172D3FD8"/>
    <w:rsid w:val="18A40355"/>
    <w:rsid w:val="18C43E28"/>
    <w:rsid w:val="18DC7657"/>
    <w:rsid w:val="195972AD"/>
    <w:rsid w:val="19F92A7C"/>
    <w:rsid w:val="1E5F668D"/>
    <w:rsid w:val="24D448BC"/>
    <w:rsid w:val="256C6171"/>
    <w:rsid w:val="25CE0BC2"/>
    <w:rsid w:val="28156ACF"/>
    <w:rsid w:val="28F13DE8"/>
    <w:rsid w:val="29B552C9"/>
    <w:rsid w:val="2B7175E9"/>
    <w:rsid w:val="2CC22333"/>
    <w:rsid w:val="2DDB2E87"/>
    <w:rsid w:val="2F6C2559"/>
    <w:rsid w:val="2FE9288F"/>
    <w:rsid w:val="35F25224"/>
    <w:rsid w:val="391E4B76"/>
    <w:rsid w:val="46006614"/>
    <w:rsid w:val="50BC0C37"/>
    <w:rsid w:val="532474A3"/>
    <w:rsid w:val="5BD07CFF"/>
    <w:rsid w:val="5C4F0B22"/>
    <w:rsid w:val="5DAE1817"/>
    <w:rsid w:val="5FC33C0F"/>
    <w:rsid w:val="61892ED4"/>
    <w:rsid w:val="62864897"/>
    <w:rsid w:val="62950A20"/>
    <w:rsid w:val="63F4655B"/>
    <w:rsid w:val="7A0F27A6"/>
    <w:rsid w:val="7C076ABF"/>
    <w:rsid w:val="7C3D12EA"/>
    <w:rsid w:val="7D7434E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settings>
</file>

<file path=word/styles.xml><?xml version="1.0" encoding="utf-8"?>
<w:styles xmlns:w="http://schemas.openxmlformats.org/wordprocessingml/2006/main">
  <w:docDefaults>
    <w:rPrDefault>
      <w:rPr>
        <w:rFonts w:ascii="Times New Roman" w:hAnsi="Times New Roman" w:eastAsia="宋体" w:cs="Times New Roman"/>
      </w:rPr>
    </w:rPrDefault>
    <w:pPrDefault/>
  </w:docDefaults>
  <w:latentStyles w:defLockedState="0" w:defUIPriority="99" w:defSemiHidden="1" w:defUnhideWhenUsed="1" w:defQFormat="0" w:count="260">
    <w:lsdException w:name="index 5" w:uiPriority="0" w:semiHidden="0" w:unhideWhenUsed="0"/>
    <w:lsdException w:name="List Bullet 3" w:uiPriority="0" w:semiHidden="0" w:unhideWhenUsed="0"/>
    <w:lsdException w:name="Table Web 1" w:uiPriority="0" w:semiHidden="0" w:unhideWhenUsed="0"/>
    <w:lsdException w:name="caption" w:uiPriority="0" w:semiHidden="0" w:unhideWhenUsed="0"/>
    <w:lsdException w:name="Medium Grid 1 Accent 2" w:uiPriority="67" w:semiHidden="0" w:unhideWhenUsed="0"/>
    <w:lsdException w:name="Light Shading Accent 2" w:uiPriority="60" w:semiHidden="0" w:unhideWhenUsed="0"/>
    <w:lsdException w:name="List" w:uiPriority="0" w:semiHidden="0" w:unhideWhenUsed="0"/>
    <w:lsdException w:name="Table List 8" w:uiPriority="0" w:semiHidden="0" w:unhideWhenUsed="0"/>
    <w:lsdException w:name="List Number 2" w:uiPriority="0" w:semiHidden="0" w:unhideWhenUsed="0"/>
    <w:lsdException w:name="Table Simple 2" w:uiPriority="0" w:semiHidden="0" w:unhideWhenUsed="0"/>
    <w:lsdException w:name="Medium Grid 3 Accent 6" w:uiPriority="69" w:semiHidden="0" w:unhideWhenUsed="0"/>
    <w:lsdException w:name="List Bullet 2" w:uiPriority="0" w:semiHidden="0" w:unhideWhenUsed="0"/>
    <w:lsdException w:name="Light Shading Accent 1" w:uiPriority="60" w:semiHidden="0" w:unhideWhenUsed="0"/>
    <w:lsdException w:name="Colorful Shading Accent 4" w:uiPriority="71" w:semiHidden="0" w:unhideWhenUsed="0"/>
    <w:lsdException w:name="Light List Accent 5" w:uiPriority="61" w:semiHidden="0" w:unhideWhenUsed="0"/>
    <w:lsdException w:name="Block Text" w:uiPriority="0" w:semiHidden="0" w:unhideWhenUsed="0"/>
    <w:lsdException w:name="Colorful List Accent 6" w:uiPriority="72" w:semiHidden="0" w:unhideWhenUsed="0"/>
    <w:lsdException w:name="Table Classic 2" w:uiPriority="0" w:semiHidden="0" w:unhideWhenUsed="0"/>
    <w:lsdException w:name="Colorful Grid Accent 2" w:uiPriority="73" w:semiHidden="0" w:unhideWhenUsed="0"/>
    <w:lsdException w:name="Table Columns 4" w:uiPriority="0" w:semiHidden="0" w:unhideWhenUsed="0"/>
    <w:lsdException w:name="toc 8" w:uiPriority="0" w:semiHidden="0" w:unhideWhenUsed="0"/>
    <w:lsdException w:name="Light List" w:uiPriority="61" w:semiHidden="0" w:unhideWhenUsed="0"/>
    <w:lsdException w:name="Closing" w:uiPriority="0" w:semiHidden="0" w:unhideWhenUsed="0"/>
    <w:lsdException w:name="Medium List 2 Accent 2" w:uiPriority="66" w:semiHidden="0" w:unhideWhenUsed="0"/>
    <w:lsdException w:name="HTML Keyboard" w:uiPriority="0" w:semiHidden="0" w:unhideWhenUsed="0"/>
    <w:lsdException w:name="Medium Shading 2 Accent 2" w:uiPriority="64" w:semiHidden="0" w:unhideWhenUsed="0"/>
    <w:lsdException w:name="Colorful Grid Accent 1" w:uiPriority="73" w:semiHidden="0" w:unhideWhenUsed="0"/>
    <w:lsdException w:name="Colorful Grid" w:uiPriority="73" w:semiHidden="0" w:unhideWhenUsed="0"/>
    <w:lsdException w:name="Table Grid 2" w:uiPriority="0" w:semiHidden="0" w:unhideWhenUsed="0"/>
    <w:lsdException w:name="heading 6" w:uiPriority="0" w:semiHidden="0" w:unhideWhenUsed="0"/>
    <w:lsdException w:name="HTML Variable" w:uiPriority="0" w:semiHidden="0" w:unhideWhenUsed="0"/>
    <w:lsdException w:name="Medium Shading 1 Accent 3" w:uiPriority="63" w:semiHidden="0" w:unhideWhenUsed="0"/>
    <w:lsdException w:name="HTML Sample" w:uiPriority="0" w:semiHidden="0" w:unhideWhenUsed="0"/>
    <w:lsdException w:name="annotation text" w:uiPriority="0" w:semiHidden="0" w:unhideWhenUsed="0"/>
    <w:lsdException w:name="Medium Grid 1 Accent 5" w:uiPriority="67" w:semiHidden="0" w:unhideWhenUsed="0"/>
    <w:lsdException w:name="Table List 7" w:uiPriority="0" w:semiHidden="0" w:unhideWhenUsed="0"/>
    <w:lsdException w:name="Medium Grid 2 Accent 1" w:uiPriority="68" w:semiHidden="0" w:unhideWhenUsed="0"/>
    <w:lsdException w:name="Table Web 3" w:uiPriority="0" w:semiHidden="0" w:unhideWhenUsed="0"/>
    <w:lsdException w:name="Plain Text" w:uiPriority="0" w:semiHidden="0" w:unhideWhenUsed="0"/>
    <w:lsdException w:name="Table Simple 1" w:uiPriority="0" w:semiHidden="0" w:unhideWhenUsed="0"/>
    <w:lsdException w:name="Dark List Accent 3" w:uiPriority="70" w:semiHidden="0" w:unhideWhenUsed="0"/>
    <w:lsdException w:name="Light Shading Accent 4" w:uiPriority="60" w:semiHidden="0" w:unhideWhenUsed="0"/>
    <w:lsdException w:name="Medium Grid 1 Accent 4" w:uiPriority="67" w:semiHidden="0" w:unhideWhenUsed="0"/>
    <w:lsdException w:name="Light Grid Accent 1" w:uiPriority="62" w:semiHidden="0" w:unhideWhenUsed="0"/>
    <w:lsdException w:name="Medium List 1 Accent 4" w:uiPriority="65" w:semiHidden="0" w:unhideWhenUsed="0"/>
    <w:lsdException w:name="List Number 4" w:uiPriority="0" w:semiHidden="0" w:unhideWhenUsed="0"/>
    <w:lsdException w:name="List Number" w:uiPriority="0" w:semiHidden="0" w:unhideWhenUsed="0"/>
    <w:lsdException w:name="index 3" w:uiPriority="0" w:semiHidden="0" w:unhideWhenUsed="0"/>
    <w:lsdException w:name="Table Colorful 2" w:uiPriority="0" w:semiHidden="0" w:unhideWhenUsed="0"/>
    <w:lsdException w:name="Colorful Shading Accent 6" w:uiPriority="71" w:semiHidden="0" w:unhideWhenUsed="0"/>
    <w:lsdException w:name="Table Elegant" w:uiPriority="0" w:semiHidden="0" w:unhideWhenUsed="0"/>
    <w:lsdException w:name="Colorful Grid Accent 4" w:uiPriority="73" w:semiHidden="0" w:unhideWhenUsed="0"/>
    <w:lsdException w:name="Table List 2" w:uiPriority="0" w:semiHidden="0" w:unhideWhenUsed="0"/>
    <w:lsdException w:name="Medium Grid 3 Accent 4" w:uiPriority="69" w:semiHidden="0" w:unhideWhenUsed="0"/>
    <w:lsdException w:name="Dark List Accent 6" w:uiPriority="70" w:semiHidden="0" w:unhideWhenUsed="0"/>
    <w:lsdException w:name="List Continue 2" w:uiPriority="0" w:semiHidden="0" w:unhideWhenUsed="0"/>
    <w:lsdException w:name="Dark List" w:uiPriority="70" w:semiHidden="0" w:unhideWhenUsed="0"/>
    <w:lsdException w:name="heading 8" w:uiPriority="0" w:semiHidden="0" w:unhideWhenUsed="0"/>
    <w:lsdException w:name="Table Professional" w:uiPriority="0" w:semiHidden="0" w:unhideWhenUsed="0"/>
    <w:lsdException w:name="Medium Shading 1 Accent 1" w:uiPriority="63" w:semiHidden="0" w:unhideWhenUsed="0"/>
    <w:lsdException w:name="Table Columns 2" w:uiPriority="0" w:semiHidden="0" w:unhideWhenUsed="0"/>
    <w:lsdException w:name="toc 2" w:uiPriority="0" w:semiHidden="0" w:unhideWhenUsed="0"/>
    <w:lsdException w:name="Document Map" w:uiPriority="0" w:semiHidden="0" w:unhideWhenUsed="0"/>
    <w:lsdException w:name="Light List Accent 2" w:uiPriority="61" w:semiHidden="0" w:unhideWhenUsed="0"/>
    <w:lsdException w:name="Medium List 2 Accent 4" w:uiPriority="66" w:semiHidden="0" w:unhideWhenUsed="0"/>
    <w:lsdException w:name="Medium Grid 2 Accent 2" w:uiPriority="68" w:semiHidden="0" w:unhideWhenUsed="0"/>
    <w:lsdException w:name="Medium List 1 Accent 6" w:uiPriority="65" w:semiHidden="0" w:unhideWhenUsed="0"/>
    <w:lsdException w:name="endnote reference" w:uiPriority="0" w:semiHidden="0" w:unhideWhenUsed="0"/>
    <w:lsdException w:name="Default Paragraph Font" w:uiPriority="0" w:unhideWhenUsed="0" w:qFormat="1"/>
    <w:lsdException w:name="List Bullet" w:uiPriority="0" w:semiHidden="0" w:unhideWhenUsed="0"/>
    <w:lsdException w:name="Medium Grid 2" w:uiPriority="68" w:semiHidden="0" w:unhideWhenUsed="0"/>
    <w:lsdException w:name="Table Grid 4" w:uiPriority="0" w:semiHidden="0" w:unhideWhenUsed="0"/>
    <w:lsdException w:name="Light Shading Accent 6" w:uiPriority="60" w:semiHidden="0" w:unhideWhenUsed="0"/>
    <w:lsdException w:name="Colorful Shading" w:uiPriority="71" w:semiHidden="0" w:unhideWhenUsed="0"/>
    <w:lsdException w:name="Light Shading" w:uiPriority="60" w:semiHidden="0" w:unhideWhenUsed="0"/>
    <w:lsdException w:name="macro" w:uiPriority="99" w:semiHidden="0" w:qFormat="1"/>
    <w:lsdException w:name="Colorful Shading Accent 1" w:uiPriority="71" w:semiHidden="0" w:unhideWhenUsed="0"/>
    <w:lsdException w:name="envelope return" w:uiPriority="0" w:semiHidden="0" w:unhideWhenUsed="0"/>
    <w:lsdException w:name="Light Grid Accent 3" w:uiPriority="62" w:semiHidden="0" w:unhideWhenUsed="0"/>
    <w:lsdException w:name="E-mail Signature" w:uiPriority="0" w:semiHidden="0" w:unhideWhenUsed="0"/>
    <w:lsdException w:name="page number" w:uiPriority="0" w:semiHidden="0" w:unhideWhenUsed="0" w:qFormat="1"/>
    <w:lsdException w:name="annotation subject" w:uiPriority="0" w:semiHidden="0" w:unhideWhenUsed="0"/>
    <w:lsdException w:name="Medium Shading 1 Accent 4" w:uiPriority="63" w:semiHidden="0" w:unhideWhenUsed="0"/>
    <w:lsdException w:name="index 9" w:uiPriority="0" w:semiHidden="0" w:unhideWhenUsed="0"/>
    <w:lsdException w:name="List 3" w:uiPriority="0" w:semiHidden="0" w:unhideWhenUsed="0"/>
    <w:lsdException w:name="index 1" w:uiPriority="0" w:semiHidden="0" w:unhideWhenUsed="0"/>
    <w:lsdException w:name="Light Grid" w:uiPriority="62" w:semiHidden="0" w:unhideWhenUsed="0"/>
    <w:lsdException w:name="HTML Definition" w:uiPriority="0" w:semiHidden="0" w:unhideWhenUsed="0"/>
    <w:lsdException w:name="Colorful Grid Accent 6" w:uiPriority="73" w:semiHidden="0" w:unhideWhenUsed="0"/>
    <w:lsdException w:name="line number" w:uiPriority="0" w:semiHidden="0" w:unhideWhenUsed="0"/>
    <w:lsdException w:name="Medium Grid 3 Accent 2" w:uiPriority="69" w:semiHidden="0" w:unhideWhenUsed="0"/>
    <w:lsdException w:name="Medium Grid 2 Accent 4" w:uiPriority="68" w:semiHidden="0" w:unhideWhenUsed="0"/>
    <w:lsdException w:name="Colorful List Accent 3" w:uiPriority="72" w:semiHidden="0" w:unhideWhenUsed="0"/>
    <w:lsdException w:name="Dark List Accent 4" w:uiPriority="70" w:semiHidden="0" w:unhideWhenUsed="0"/>
    <w:lsdException w:name="Table 3D effects 3" w:uiPriority="0" w:semiHidden="0" w:unhideWhenUsed="0"/>
    <w:lsdException w:name="toc 5" w:uiPriority="0" w:semiHidden="0" w:unhideWhenUsed="0"/>
    <w:lsdException w:name="HTML Typewriter" w:uiPriority="0" w:semiHidden="0" w:unhideWhenUsed="0"/>
    <w:lsdException w:name="Medium List 2 Accent 1" w:uiPriority="66" w:semiHidden="0" w:unhideWhenUsed="0"/>
    <w:lsdException w:name="Medium List 1 Accent 1" w:uiPriority="65" w:semiHidden="0" w:unhideWhenUsed="0"/>
    <w:lsdException w:name="table of authorities" w:uiPriority="0" w:semiHidden="0" w:unhideWhenUsed="0"/>
    <w:lsdException w:name="Medium Shading 2 Accent 5" w:uiPriority="64" w:semiHidden="0" w:unhideWhenUsed="0"/>
    <w:lsdException w:name="Table Subtle 1" w:uiPriority="0" w:semiHidden="0" w:unhideWhenUsed="0"/>
    <w:lsdException w:name="heading 2" w:uiPriority="0" w:semiHidden="0" w:unhideWhenUsed="0"/>
    <w:lsdException w:name="toc 4" w:uiPriority="0" w:semiHidden="0" w:unhideWhenUsed="0"/>
    <w:lsdException w:name="Medium List 1" w:uiPriority="65" w:semiHidden="0" w:unhideWhenUsed="0"/>
    <w:lsdException w:name="Emphasis" w:uiPriority="0" w:semiHidden="0" w:unhideWhenUsed="0"/>
    <w:lsdException w:name="table of figures" w:uiPriority="0" w:semiHidden="0" w:unhideWhenUsed="0"/>
    <w:lsdException w:name="Message Header" w:uiPriority="0" w:semiHidden="0" w:unhideWhenUsed="0"/>
    <w:lsdException w:name="Medium Shading 2 Accent 6" w:uiPriority="64" w:semiHidden="0" w:unhideWhenUsed="0"/>
    <w:lsdException w:name="Normal Indent" w:uiPriority="0" w:semiHidden="0" w:unhideWhenUsed="0"/>
    <w:lsdException w:name="endnote text" w:uiPriority="0" w:semiHidden="0" w:unhideWhenUsed="0"/>
    <w:lsdException w:name="header" w:uiPriority="0" w:semiHidden="0" w:unhideWhenUsed="0" w:qFormat="1"/>
    <w:lsdException w:name="Light Grid Accent 6" w:uiPriority="62" w:semiHidden="0" w:unhideWhenUsed="0"/>
    <w:lsdException w:name="Table List 4" w:uiPriority="0" w:semiHidden="0" w:unhideWhenUsed="0"/>
    <w:lsdException w:name="Table Grid 6" w:uiPriority="0" w:semiHidden="0" w:unhideWhenUsed="0"/>
    <w:lsdException w:name="Colorful Shading Accent 3" w:uiPriority="71" w:semiHidden="0" w:unhideWhenUsed="0"/>
    <w:lsdException w:name="index 4" w:uiPriority="0" w:semiHidden="0" w:unhideWhenUsed="0"/>
    <w:lsdException w:name="Light Grid Accent 5" w:uiPriority="62" w:semiHidden="0" w:unhideWhenUsed="0"/>
    <w:lsdException w:name="Medium Grid 1 Accent 1" w:uiPriority="67" w:semiHidden="0" w:unhideWhenUsed="0"/>
    <w:lsdException w:name="toa heading" w:uiPriority="0" w:semiHidden="0" w:unhideWhenUsed="0"/>
    <w:lsdException w:name="List Number 3" w:uiPriority="0" w:semiHidden="0" w:unhideWhenUsed="0"/>
    <w:lsdException w:name="index 7" w:uiPriority="0" w:semiHidden="0" w:unhideWhenUsed="0"/>
    <w:lsdException w:name="Medium Grid 3 Accent 1" w:uiPriority="69" w:semiHidden="0" w:unhideWhenUsed="0"/>
    <w:lsdException w:name="Body Text Indent 3" w:uiPriority="0" w:semiHidden="0" w:unhideWhenUsed="0"/>
    <w:lsdException w:name="List Bullet 5" w:uiPriority="0" w:semiHidden="0" w:unhideWhenUsed="0"/>
    <w:lsdException w:name="Medium Shading 1" w:uiPriority="63" w:semiHidden="0" w:unhideWhenUsed="0"/>
    <w:lsdException w:name="Light List Accent 4" w:uiPriority="61" w:semiHidden="0" w:unhideWhenUsed="0"/>
    <w:lsdException w:name="Medium Grid 2 Accent 6" w:uiPriority="68" w:semiHidden="0" w:unhideWhenUsed="0"/>
    <w:lsdException w:name="Colorful List Accent 5" w:uiPriority="72" w:semiHidden="0" w:unhideWhenUsed="0"/>
    <w:lsdException w:name="Table Columns 5" w:uiPriority="0" w:semiHidden="0" w:unhideWhenUsed="0"/>
    <w:lsdException w:name="toc 7" w:uiPriority="0" w:semiHidden="0" w:unhideWhenUsed="0"/>
    <w:lsdException w:name="Table 3D effects 1" w:uiPriority="0" w:semiHidden="0" w:unhideWhenUsed="0"/>
    <w:lsdException w:name="Medium List 2" w:uiPriority="66" w:semiHidden="0" w:unhideWhenUsed="0"/>
    <w:lsdException w:name="List 5" w:uiPriority="0" w:semiHidden="0" w:unhideWhenUsed="0"/>
    <w:lsdException w:name="Body Text" w:uiPriority="0" w:semiHidden="0" w:unhideWhenUsed="0"/>
    <w:lsdException w:name="Note Heading" w:uiPriority="0" w:semiHidden="0" w:unhideWhenUsed="0"/>
    <w:lsdException w:name="List Continue" w:uiPriority="0" w:semiHidden="0" w:unhideWhenUsed="0"/>
    <w:lsdException w:name="Medium Shading 2" w:uiPriority="64" w:semiHidden="0" w:unhideWhenUsed="0"/>
    <w:lsdException w:name="Medium List 2 Accent 3" w:uiPriority="66" w:semiHidden="0" w:unhideWhenUsed="0"/>
    <w:lsdException w:name="Body Text First Indent 2" w:uiPriority="0" w:semiHidden="0" w:unhideWhenUsed="0"/>
    <w:lsdException w:name="Medium List 1 Accent 3" w:uiPriority="65" w:semiHidden="0" w:unhideWhenUsed="0"/>
    <w:lsdException w:name="heading 4" w:uiPriority="9" w:semiHidden="0" w:qFormat="1"/>
    <w:lsdException w:name="Medium Shading 2 Accent 3" w:uiPriority="64" w:semiHidden="0" w:unhideWhenUsed="0"/>
    <w:lsdException w:name="HTML Acronym" w:uiPriority="0" w:semiHidden="0" w:unhideWhenUsed="0"/>
    <w:lsdException w:name="annotation reference" w:uiPriority="0" w:semiHidden="0" w:unhideWhenUsed="0"/>
    <w:lsdException w:name="Colorful List" w:uiPriority="72" w:semiHidden="0" w:unhideWhenUsed="0"/>
    <w:lsdException w:name="heading 5" w:uiPriority="0" w:semiHidden="0" w:unhideWhenUsed="0"/>
    <w:lsdException w:name="Table Grid 1" w:uiPriority="0" w:semiHidden="0" w:unhideWhenUsed="0"/>
    <w:lsdException w:name="Medium Shading 1 Accent 2" w:uiPriority="63" w:semiHidden="0" w:unhideWhenUsed="0"/>
    <w:lsdException w:name="Date" w:uiPriority="0" w:semiHidden="0" w:unhideWhenUsed="0"/>
    <w:lsdException w:name="Table List 6" w:uiPriority="0" w:semiHidden="0" w:unhideWhenUsed="0"/>
    <w:lsdException w:name="Table Contemporary" w:uiPriority="0" w:semiHidden="0" w:unhideWhenUsed="0"/>
    <w:lsdException w:name="HTML Code" w:uiPriority="0" w:semiHidden="0" w:unhideWhenUsed="0"/>
    <w:lsdException w:name="index 2" w:uiPriority="0" w:semiHidden="0" w:unhideWhenUsed="0"/>
    <w:lsdException w:name="Table Web 2" w:uiPriority="0" w:semiHidden="0" w:unhideWhenUsed="0"/>
    <w:lsdException w:name="HTML Cite" w:uiPriority="0" w:semiHidden="0" w:unhideWhenUsed="0"/>
    <w:lsdException w:name="Medium Grid 1 Accent 3" w:uiPriority="67" w:semiHidden="0" w:unhideWhenUsed="0"/>
    <w:lsdException w:name="Dark List Accent 2" w:uiPriority="70" w:semiHidden="0" w:unhideWhenUsed="0"/>
    <w:lsdException w:name="Light Shading Accent 3" w:uiPriority="60" w:semiHidden="0" w:unhideWhenUsed="0"/>
    <w:lsdException w:name="List Number 5" w:uiPriority="0" w:semiHidden="0" w:unhideWhenUsed="0"/>
    <w:lsdException w:name="Table Simple 3" w:uiPriority="0" w:semiHidden="0" w:unhideWhenUsed="0"/>
    <w:lsdException w:name="Colorful Shading Accent 5" w:uiPriority="71" w:semiHidden="0" w:unhideWhenUsed="0"/>
    <w:lsdException w:name="Medium Grid 1" w:uiPriority="67" w:semiHidden="0" w:unhideWhenUsed="0"/>
    <w:lsdException w:name="Table Grid" w:uiPriority="0" w:semiHidden="0" w:unhideWhenUsed="0" w:qFormat="1"/>
    <w:lsdException w:name="Normal Table" w:uiPriority="0" w:unhideWhenUsed="0" w:qFormat="1"/>
    <w:lsdException w:name="FollowedHyperlink" w:uiPriority="0" w:semiHidden="0" w:unhideWhenUsed="0"/>
    <w:lsdException w:name="Table Classic 3" w:uiPriority="0" w:semiHidden="0" w:unhideWhenUsed="0"/>
    <w:lsdException w:name="Colorful Grid Accent 3" w:uiPriority="73" w:semiHidden="0" w:unhideWhenUsed="0"/>
    <w:lsdException w:name="HTML Preformatted" w:uiPriority="0" w:semiHidden="0" w:unhideWhenUsed="0"/>
    <w:lsdException w:name="Table List 1" w:uiPriority="0" w:semiHidden="0" w:unhideWhenUsed="0"/>
    <w:lsdException w:name="toc 9" w:uiPriority="0" w:semiHidden="0" w:unhideWhenUsed="0"/>
    <w:lsdException w:name="Dark List Accent 1" w:uiPriority="70" w:semiHidden="0" w:unhideWhenUsed="0"/>
    <w:lsdException w:name="Medium Grid 1 Accent 6" w:uiPriority="67" w:semiHidden="0" w:unhideWhenUsed="0"/>
    <w:lsdException w:name="List Continue 3" w:uiPriority="0" w:semiHidden="0" w:unhideWhenUsed="0"/>
    <w:lsdException w:name="Table Grid 3" w:uiPriority="0" w:semiHidden="0" w:unhideWhenUsed="0"/>
    <w:lsdException w:name="heading 7" w:uiPriority="0" w:semiHidden="0" w:unhideWhenUsed="0"/>
    <w:lsdException w:name="Table Columns 3" w:uiPriority="0" w:semiHidden="0" w:unhideWhenUsed="0"/>
    <w:lsdException w:name="toc 1" w:uiPriority="0" w:semiHidden="0" w:unhideWhenUsed="0"/>
    <w:lsdException w:name="Subtitle" w:uiPriority="0" w:semiHidden="0" w:unhideWhenUsed="0"/>
    <w:lsdException w:name="Light List Accent 1" w:uiPriority="61" w:semiHidden="0" w:unhideWhenUsed="0"/>
    <w:lsdException w:name="Medium List 2 Accent 5" w:uiPriority="66" w:semiHidden="0" w:unhideWhenUsed="0"/>
    <w:lsdException w:name="Medium Grid 2 Accent 3" w:uiPriority="68" w:semiHidden="0" w:unhideWhenUsed="0"/>
    <w:lsdException w:name="Salutation" w:uiPriority="0" w:semiHidden="0" w:unhideWhenUsed="0"/>
    <w:lsdException w:name="Medium Shading 2 Accent 1" w:uiPriority="64" w:semiHidden="0" w:unhideWhenUsed="0"/>
    <w:lsdException w:name="Hyperlink" w:uiPriority="0" w:semiHidden="0" w:unhideWhenUsed="0"/>
    <w:lsdException w:name="Medium Grid 3" w:uiPriority="69" w:semiHidden="0" w:unhideWhenUsed="0"/>
    <w:lsdException w:name="Body Text 2" w:uiPriority="0" w:semiHidden="0" w:unhideWhenUsed="0"/>
    <w:lsdException w:name="Light Shading Accent 5" w:uiPriority="60" w:semiHidden="0" w:unhideWhenUsed="0"/>
    <w:lsdException w:name="Medium List 1 Accent 5" w:uiPriority="65" w:semiHidden="0" w:unhideWhenUsed="0"/>
    <w:lsdException w:name="Light Grid Accent 2" w:uiPriority="62" w:semiHidden="0" w:unhideWhenUsed="0"/>
    <w:lsdException w:name="Body Text 3" w:uiPriority="0" w:semiHidden="0" w:unhideWhenUsed="0"/>
    <w:lsdException w:name="envelope address" w:uiPriority="0" w:semiHidden="0" w:unhideWhenUsed="0"/>
    <w:lsdException w:name="index 8" w:uiPriority="0" w:semiHidden="0" w:unhideWhenUsed="0"/>
    <w:lsdException w:name="Table Colorful 3" w:uiPriority="0" w:semiHidden="0" w:unhideWhenUsed="0"/>
    <w:lsdException w:name="Signature" w:uiPriority="0" w:semiHidden="0" w:unhideWhenUsed="0"/>
    <w:lsdException w:name="List 2" w:uiPriority="0" w:semiHidden="0" w:unhideWhenUsed="0"/>
    <w:lsdException w:name="footer" w:uiPriority="0" w:semiHidden="0" w:unhideWhenUsed="0" w:qFormat="1"/>
    <w:lsdException w:name="Strong" w:uiPriority="0" w:semiHidden="0" w:unhideWhenUsed="0"/>
    <w:lsdException w:name="Colorful Grid Accent 5" w:uiPriority="73" w:semiHidden="0" w:unhideWhenUsed="0"/>
    <w:lsdException w:name="Balloon Text" w:uiPriority="0" w:semiHidden="0" w:unhideWhenUsed="0"/>
    <w:lsdException w:name="Table List 3" w:uiPriority="0" w:semiHidden="0" w:unhideWhenUsed="0"/>
    <w:lsdException w:name="Table Classic 1" w:uiPriority="0" w:semiHidden="0" w:unhideWhenUsed="0"/>
    <w:lsdException w:name="List Continue 4" w:uiPriority="0" w:semiHidden="0" w:unhideWhenUsed="0"/>
    <w:lsdException w:name="Medium Grid 2 Accent 5" w:uiPriority="68" w:semiHidden="0" w:unhideWhenUsed="0"/>
    <w:lsdException w:name="Colorful List Accent 2" w:uiPriority="72" w:semiHidden="0" w:unhideWhenUsed="0"/>
    <w:lsdException w:name="Medium Grid 3 Accent 5" w:uiPriority="69" w:semiHidden="0" w:unhideWhenUsed="0"/>
    <w:lsdException w:name="index heading" w:uiPriority="0" w:semiHidden="0" w:unhideWhenUsed="0"/>
    <w:lsdException w:name="List Continue 5" w:uiPriority="0" w:semiHidden="0" w:unhideWhenUsed="0"/>
    <w:lsdException w:name="Medium List 2 Accent 6" w:uiPriority="66" w:semiHidden="0" w:unhideWhenUsed="0"/>
    <w:lsdException w:name="Colorful List Accent 1" w:uiPriority="72" w:semiHidden="0" w:unhideWhenUsed="0"/>
    <w:lsdException w:name="Table Subtle 2" w:uiPriority="0" w:semiHidden="0" w:unhideWhenUsed="0"/>
    <w:lsdException w:name="heading 9" w:uiPriority="0" w:semiHidden="0" w:unhideWhenUsed="0"/>
    <w:lsdException w:name="heading 1" w:uiPriority="0" w:semiHidden="0" w:unhideWhenUsed="0"/>
    <w:lsdException w:name="toc 3" w:uiPriority="0" w:semiHidden="0" w:unhideWhenUsed="0"/>
    <w:lsdException w:name="Medium Shading 1 Accent 6" w:uiPriority="63" w:semiHidden="0" w:unhideWhenUsed="0"/>
    <w:lsdException w:name="Table Columns 1" w:uiPriority="0" w:semiHidden="0" w:unhideWhenUsed="0"/>
    <w:lsdException w:name="Light List Accent 3" w:uiPriority="61" w:semiHidden="0" w:unhideWhenUsed="0"/>
    <w:lsdException w:name="Normal" w:uiPriority="0" w:semiHidden="0" w:unhideWhenUsed="0" w:qFormat="1"/>
    <w:lsdException w:name="Table Colorful 1" w:uiPriority="0" w:semiHidden="0" w:unhideWhenUsed="0"/>
    <w:lsdException w:name="Table Grid 5" w:uiPriority="0" w:semiHidden="0" w:unhideWhenUsed="0"/>
    <w:lsdException w:name="Colorful Shading Accent 2" w:uiPriority="71" w:semiHidden="0" w:unhideWhenUsed="0"/>
    <w:lsdException w:name="Light Grid Accent 4" w:uiPriority="62" w:semiHidden="0" w:unhideWhenUsed="0"/>
    <w:lsdException w:name="footnote reference" w:uiPriority="0" w:semiHidden="0" w:unhideWhenUsed="0"/>
    <w:lsdException w:name="Medium Shading 1 Accent 5" w:uiPriority="63" w:semiHidden="0" w:unhideWhenUsed="0"/>
    <w:lsdException w:name="index 6" w:uiPriority="0" w:semiHidden="0" w:unhideWhenUsed="0"/>
    <w:lsdException w:name="List Bullet 4" w:uiPriority="0" w:semiHidden="0" w:unhideWhenUsed="0"/>
    <w:lsdException w:name="Medium Grid 3 Accent 3" w:uiPriority="69" w:semiHidden="0" w:unhideWhenUsed="0"/>
    <w:lsdException w:name="Colorful List Accent 4" w:uiPriority="72" w:semiHidden="0" w:unhideWhenUsed="0"/>
    <w:lsdException w:name="Table Classic 4" w:uiPriority="0" w:semiHidden="0" w:unhideWhenUsed="0"/>
    <w:lsdException w:name="Dark List Accent 5" w:uiPriority="70" w:semiHidden="0" w:unhideWhenUsed="0"/>
    <w:lsdException w:name="toc 6" w:uiPriority="0" w:semiHidden="0" w:unhideWhenUsed="0"/>
    <w:lsdException w:name="Table 3D effects 2" w:uiPriority="0" w:semiHidden="0" w:unhideWhenUsed="0"/>
    <w:lsdException w:name="Medium List 1 Accent 2" w:uiPriority="65" w:semiHidden="0" w:unhideWhenUsed="0"/>
    <w:lsdException w:name="heading 3" w:uiPriority="0" w:semiHidden="0" w:unhideWhenUsed="0"/>
    <w:lsdException w:name="Medium Shading 2 Accent 4" w:uiPriority="64" w:semiHidden="0" w:unhideWhenUsed="0"/>
    <w:lsdException w:name="Title" w:uiPriority="0" w:semiHidden="0" w:unhideWhenUsed="0"/>
    <w:lsdException w:name="Normal (Web)" w:uiPriority="0" w:semiHidden="0" w:unhideWhenUsed="0" w:qFormat="1"/>
    <w:lsdException w:name="footnote text" w:uiPriority="0" w:semiHidden="0" w:unhideWhenUsed="0"/>
    <w:lsdException w:name="Table Grid 8" w:uiPriority="0" w:semiHidden="0" w:unhideWhenUsed="0"/>
    <w:lsdException w:name="List 4" w:uiPriority="0" w:semiHidden="0" w:unhideWhenUsed="0"/>
    <w:lsdException w:name="Light List Accent 6" w:uiPriority="61" w:semiHidden="0" w:unhideWhenUsed="0"/>
    <w:lsdException w:name="HTML Address" w:uiPriority="0" w:semiHidden="0" w:unhideWhenUsed="0"/>
    <w:lsdException w:name="Table List 5" w:uiPriority="0" w:semiHidden="0" w:unhideWhenUsed="0"/>
    <w:lsdException w:name="Body Text Indent 2" w:uiPriority="0" w:semiHidden="0" w:unhideWhenUsed="0"/>
    <w:lsdException w:name="Table Grid 7" w:uiPriority="0" w:semiHidden="0" w:unhideWhenUsed="0"/>
    <w:lsdException w:name="Table Theme" w:uiPriority="0" w:semiHidden="0" w:unhideWhenUsed="0"/>
    <w:lsdException w:name="Body Text Indent" w:uiPriority="0" w:semiHidden="0" w:unhideWhenUsed="0"/>
    <w:lsdException w:name="Body Text First Indent" w:uiPriority="0" w:semiHidden="0" w:unhideWhenUsed="0"/>
  </w:latentStyles>
  <w:style w:type="paragraph" w:styleId="000020">
    <w:name w:val="macro"/>
    <w:uiPriority w:val="99"/>
    <w:unhideWhenUsed w:val="1"/>
    <w:qFormat w:val="1"/>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table" w:styleId="00001f" w:default="1">
    <w:name w:val="Normal Table"/>
    <w:uiPriority w:val="0"/>
    <w:semiHidden w:val="1"/>
    <w:qFormat w:val="1"/>
    <w:tblPr>
      <w:tblCellMar>
        <w:top w:w="0" w:type="dxa"/>
        <w:left w:w="108" w:type="dxa"/>
        <w:bottom w:w="0" w:type="dxa"/>
        <w:right w:w="108" w:type="dxa"/>
      </w:tblCellMar>
    </w:tblPr>
  </w:style>
  <w:style w:type="paragraph" w:styleId="00001d">
    <w:name w:val="heading 4"/>
    <w:basedOn w:val="00001c"/>
    <w:next w:val="00001c"/>
    <w:uiPriority w:val="9"/>
    <w:unhideWhenUsed w:val="1"/>
    <w:qFormat w:val="1"/>
    <w:pPr>
      <w:ind w:firstLine="422" w:firstLineChars="200"/>
      <w:outlineLvl w:val="3"/>
    </w:pPr>
    <w:rPr>
      <w:b w:val="1"/>
    </w:rPr>
  </w:style>
  <w:style w:type="paragraph" w:styleId="000022">
    <w:name w:val="Normal (Web)"/>
    <w:basedOn w:val="00001c"/>
    <w:uiPriority w:val="0"/>
    <w:qFormat w:val="1"/>
    <w:pPr>
      <w:spacing w:before="100" w:beforeAutospacing="1" w:after="100" w:afterAutospacing="1"/>
      <w:ind w:left="0" w:right="0"/>
      <w:jc w:val="left"/>
    </w:pPr>
    <w:rPr>
      <w:kern w:val="0"/>
      <w:sz w:val="24"/>
      <w:lang w:val="en-US" w:eastAsia="zh-CN" w:bidi="ar"/>
    </w:rPr>
  </w:style>
  <w:style w:type="paragraph" w:styleId="000007">
    <w:name w:val="footer"/>
    <w:basedOn w:val="00001c"/>
    <w:uiPriority w:val="0"/>
    <w:qFormat w:val="1"/>
    <w:pPr>
      <w:tabs>
        <w:tab w:val="center" w:pos="4153"/>
        <w:tab w:val="right" w:pos="8306"/>
      </w:tabs>
      <w:snapToGrid w:val="0"/>
      <w:jc w:val="left"/>
    </w:pPr>
    <w:rPr>
      <w:sz w:val="18"/>
      <w:szCs w:val="18"/>
    </w:rPr>
  </w:style>
  <w:style w:type="paragraph" w:styleId="00001c" w:default="1">
    <w:name w:val="Normal"/>
    <w:uiPriority w:val="0"/>
    <w:qFormat w:val="1"/>
    <w:pPr>
      <w:widowControl w:val="0"/>
      <w:jc w:val="both"/>
    </w:pPr>
    <w:rPr>
      <w:rFonts w:ascii="Times New Roman" w:hAnsi="Times New Roman" w:eastAsia="宋体" w:cs="Times New Roman"/>
      <w:kern w:val="2"/>
      <w:sz w:val="21"/>
      <w:szCs w:val="24"/>
      <w:lang w:val="en-US" w:eastAsia="zh-CN" w:bidi="ar-SA"/>
    </w:rPr>
  </w:style>
  <w:style w:type="paragraph" w:styleId="000021">
    <w:name w:val="header"/>
    <w:basedOn w:val="00001c"/>
    <w:uiPriority w:val="0"/>
    <w:qFormat w:val="1"/>
    <w:pPr>
      <w:pBdr>
        <w:bottom w:val="single" w:color="auto" w:sz="6" w:space="1"/>
      </w:pBdr>
      <w:tabs>
        <w:tab w:val="center" w:pos="4153"/>
        <w:tab w:val="right" w:pos="8306"/>
      </w:tabs>
      <w:snapToGrid w:val="0"/>
      <w:jc w:val="center"/>
    </w:pPr>
    <w:rPr>
      <w:sz w:val="18"/>
      <w:szCs w:val="18"/>
    </w:rPr>
  </w:style>
  <w:style w:type="character" w:styleId="000009">
    <w:name w:val="page number"/>
    <w:basedOn w:val="00001e"/>
    <w:uiPriority w:val="0"/>
    <w:qFormat w:val="1"/>
  </w:style>
  <w:style w:type="character" w:styleId="00001e" w:default="1">
    <w:name w:val="Default Paragraph Font"/>
    <w:uiPriority w:val="0"/>
    <w:semiHidden w:val="1"/>
    <w:qFormat w:val="1"/>
  </w:style>
  <w:style w:type="table" w:styleId="000023">
    <w:name w:val="Table Grid"/>
    <w:basedOn w:val="00001f"/>
    <w:uiPriority w:val="0"/>
    <w:qFormat w:val="1"/>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Relationships xmlns="http://schemas.openxmlformats.org/package/2006/relationships"><Relationship Id="rId13" Type="http://schemas.openxmlformats.org/officeDocument/2006/relationships/image" Target="media/image8.png" /><Relationship Id="rId10" Type="http://schemas.openxmlformats.org/officeDocument/2006/relationships/image" Target="media/image5.png" /><Relationship Id="rId17" Type="http://schemas.openxmlformats.org/officeDocument/2006/relationships/image" Target="media/image12.png" /><Relationship Id="rId0" Type="http://schemas.openxmlformats.org/officeDocument/2006/relationships/styles" Target="styles.xml" /><Relationship Id="rId11" Type="http://schemas.openxmlformats.org/officeDocument/2006/relationships/image" Target="media/image6.png" /><Relationship Id="rId7" Type="http://schemas.openxmlformats.org/officeDocument/2006/relationships/image" Target="media/image2.png" /><Relationship Id="rId1" Type="http://schemas.openxmlformats.org/officeDocument/2006/relationships/settings" Target="settings.xml" /><Relationship Id="rId14" Type="http://schemas.openxmlformats.org/officeDocument/2006/relationships/image" Target="media/image9.png" /><Relationship Id="rId12" Type="http://schemas.openxmlformats.org/officeDocument/2006/relationships/image" Target="media/image7.png" /><Relationship Id="rId15" Type="http://schemas.openxmlformats.org/officeDocument/2006/relationships/image" Target="media/image10.png" /><Relationship Id="rId16" Type="http://schemas.openxmlformats.org/officeDocument/2006/relationships/image" Target="media/image11.pn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fontTable" Target="fontTable.xml" /><Relationship Id="rId3" Type="http://schemas.openxmlformats.org/officeDocument/2006/relationships/theme" Target="theme/theme1.xml" /><Relationship Id="rId4" Type="http://schemas.openxmlformats.org/officeDocument/2006/relationships/numbering" Target="numbering.xml" /><Relationship Id="rId5" Type="http://schemas.openxmlformats.org/officeDocument/2006/relationships/footer" Target="footer1.xml" /><Relationship Id="rId6" Type="http://schemas.openxmlformats.org/officeDocument/2006/relationships/image" Target="media/image1.png" /><Relationship Id="rId8" Type="http://schemas.openxmlformats.org/officeDocument/2006/relationships/image" Target="media/image3.gif" /><Relationship Id="rId9" Type="http://schemas.openxmlformats.org/officeDocument/2006/relationships/image" Target="media/image4.png"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2026-10-17T14:32:44Z</dcterms:created>
  <dcterms:modified xsi:type="dcterms:W3CDTF">2026-10-17T14:32:44Z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eyJoZGlkIjoiZTljYjUxYzc5MzU5N2YwMmU0NTMwZDE3MDE5YmM1MGUiLCJ1c2VySWQiOiIxNzQzMDgyNTIzIn0=</vt:lpwstr>
  </property>
  <property fmtid="{D5CDD505-2E9C-101B-9397-08002B2CF9AE}" pid="3" name="KSOProductBuildVer">
    <vt:lpwstr>2052-12.1.0.29161</vt:lpwstr>
  </property>
  <property fmtid="{D5CDD505-2E9C-101B-9397-08002B2CF9AE}" pid="4" name="ICV">
    <vt:lpwstr>B077F74D177A4784BCFAD058514CD090_13</vt:lpwstr>
  </property>
</Properties>
</file>