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Times New Roman" w:hAnsi="Times New Roman" w:eastAsia="宋体"/>
                      <w:sz w:val="21"/>
                      <w:szCs w:val="21"/>
                    </w:rPr>
                    <w:t>本项目面向南疆规模化棉田膜下滴灌支管巡检，针对管网分散、异常不易及时发现和人工排查范围大的问题，拟研制集压力与流量感知、支管异常诊断、LoRa无线传输和巡检管理于一体的物联网原型系统。项目围绕泄漏与局部过流受限，通过双压力—流量联合观测建立健康状态参照，研究渐进异常提示和事件触发采集方法，使正常运行与异常变化采用不同的采集和上报方式。平台集中呈现支管状态、变化趋势及建议检查区段，关联人工核查与复测记录。项目以双支路清水台架完成原型与对照验证，交付感知节点、无线接收端、巡检平台、实验数据和研究报告，为棉田支管分区监测提供可复用方案，并为后续跨工况应用和多支管联动研究奠定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围绕支管接头或管路泄漏、局部过流受限两类问题，利用压力和流量变化为巡检提供线索。单独观察流量变化容易将正常调节与故障混淆，因此拟在支管区段布置两个压力测点和一个流量测点，同时记录轮灌状态与维护操作。系统将异常支管、变化趋势和检查建议集中呈现，帮助人员有针对性地查看接头、管段及下游配水单元，并通过复测确认处理效果。研究的重点是形成有测量依据、能够用于巡检的完整原型。</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将传感测量、嵌入式采集、无线通信与巡检管理结合起来，形成从支管状态感知到异常核查的完整研制任务。前期已完成台架概念设计、集中参数模型和离线平台，具备开展测点布置、方法选择与软件联调的基础。实施过程中拟依次完成独立标定、节点开发和台架试验，建立观测数据与故障操作记录的对应关系，研制能够提供核查依据的原型系统，为南疆棉田支管巡检提供可复用的技术方案。</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拟研制由感知节点、LoRa接收端和本地巡检平台组成的物联网原型系统。节点采集支管压力与流量并形成异常提示，接收端将事件传输至计算机，平台呈现运行趋势、支管状态和巡检记录。项目以单节点双支路清水台架完成原理与功能验证，先建立固定1Hz采集基线，再开展事件触发分级采集对照。控制部分采用软件模拟和LED或蜂鸣器演示，预留后续执行接口，形成从感知、判断到人工核查与复测的系统流程。</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1给出了系统组成及协作关系。感知节点负责测量、异常判断及事件记录，LoRa接收端连接计算机，接收服务完成数据校验与存储，巡检平台组织状态展示和维护记录。各环节围绕同一支管及异常事件衔接，使人员能够从页面查看变化依据，并记录核查、处置及复测结果。参考测量与故障操作独立记录，用于检验原型提示是否正确。</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886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224.7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E364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225.1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结构围绕测点安装、故障切换和重复计量设计。图3呈现当前参数化三维布局：A支路测量顺序与水路方案一致，B支路承担共源健康负载切换，采集盒位于前侧，泄漏收集装置与电气区域分开布置。设计增加带过线开口的防溅板，并检查盒盖开启、管路避让和容器取放空间。模型用于布局与装配准备，采购后按实际器件核定尺寸，实物阶段再完成排气、密封、固定及计量稳定性验证。</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泄漏量采用独立收集与计时测量。台架按20秒分次取样设计，收集容器有效容量要求不低于440mL，并保留自由出流空间；使用前以实测核定有效容量，检查溢流、出口淹没及重复取样误差。长时运行另设排水并独立验证。该参考测量不依赖诊断输出，用于确定故障程度以及比较提示时刻。</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2F6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325.8pt;width:425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双支路验证台架三维布局</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感知节点与分级采集</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4给出了压力与脉冲流量采集接口。两路压力信号经调理、保护和滤波后转换为数字观测，流量信号经电平转换接入主控计数端，节点统一记录测量时刻。电源和逻辑接口按实际器件要求核对，重点检查异常输入、断电和采集、存储、发送同时运行时的稳定性。先完成有线采集，再接入无线模块，使各环节能够逐项验证。</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830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315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首先建立固定1Hz采集基线，采用累计脉冲和时间窗计算流量，保存压力转换与计数锁存时刻，为渐进异常判断提供连续观测。压力和流量分别采用不少于五个工作点、每点至少三次独立读取开展标定，并设置升降压、共同压力及容积或称量计时对照。缺测、迟到及计数复位分别记录，使判断依据能够与参考测量核对，并明确实际可用量程和误差。</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Times New Roman" w:hAnsi="Times New Roman" w:eastAsia="宋体"/>
                <w:sz w:val="21"/>
                <w:szCs w:val="21"/>
              </w:rPr>
              <w:t>和</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Times New Roman" w:hAnsi="Times New Roman" w:eastAsia="宋体"/>
                <w:sz w:val="21"/>
                <w:szCs w:val="21"/>
              </w:rPr>
              <w:t>描述水力变化，R表示区段阻力，Cₙ、Cₗ分别为正常负载和附加泄漏系数，压力、流量分别按kPa、L/min表示。模型用于比较测点布置与诊断特征，并分析两支路在共同水源下的影响。现有分析中，A支路流量约1.85—4.34L/min，最大总供水量约7.95L/min，据此确定台架水源及量程要求，实物阶段通过标定核对。</w:t>
            </w:r>
          </w:p>
          <w:p w14:paraId="04E1262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固定1Hz采集稳定后，研究事件触发分级采集。正常阶段按候选周期读取压力，持续记录累计脉冲；观测到持续偏离时切换至1秒读取，恢复稳定后返回原周期。触发判断只使用已取得的压力与计数，不以保持旧读数代替新测量。现阶段已完成独立策略仿真，后续结合真实计数、压力时序和窗口重建实现节点调度，比较渐进故障、短时变化及正常负载切换时的响应。</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压力读取与无线发送分别配置。固定1秒读取作为主线，2秒、5秒巡航间隔作为研究对照；正常上报以60秒为候选，异常事件优先发送。稀疏读取的仿真已显示漏检与迟发代价，因此不直接把更长周期设为默认配置。图5给出拟实现的分级采集及模拟处置关系，正式对照同时改变异常出现相位，依据提示及时性、误触发和通信开销选择参数。</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BE0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85.6pt;width:420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拟研究的事件触发采集与模拟控制流程</w:t>
                  </w:r>
                </w:p>
              </w:tc>
            </w:tr>
          </w:tbl>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采集策略设置固定高频、固定低频、仅改变上报周期和分级采集四组对照。在相同健康参照与故障条件下，改变异常出现时刻，比较提示及时性、漏检和误触发；同时记录读取、存储及发送次数。实物阶段按相同供电和运行时长测量整机电流，评价策略收益与代价，使采集次数减少和实际能耗变化分别获得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支管异常诊断与巡检提示</w:t>
                  </w:r>
                  <w:r>
                    <w:br w:type="textWrapping"/>
                  </w:r>
                  <w:r>
                    <w:rPr>
                      <w:rFonts w:ascii="Times New Roman" w:hAnsi="Times New Roman" w:eastAsia="宋体"/>
                      <w:sz w:val="21"/>
                      <w:szCs w:val="21"/>
                    </w:rPr>
                    <w:t>诊断以健康状态为参照，采用相对流量残差</w:t>
                  </w:r>
                  <m:oMath>
                    <m:sSub>
                      <m:sSubPr/>
                      <m:e>
                        <m:r>
                          <m:rPr/>
                          <w:rPr>
                            <w:rFonts w:ascii="Cambria Math"/>
                            <w:sz w:val="21"/>
                          </w:rPr>
                          <m:t>e</m:t>
                        </m:r>
                      </m:e>
                      <m:sub>
                        <m:r>
                          <m:rPr/>
                          <w:rPr>
                            <w:rFonts w:ascii="Cambria Math"/>
                            <w:sz w:val="21"/>
                          </w:rPr>
                          <m:t>Q</m:t>
                        </m:r>
                      </m:sub>
                    </m:sSub>
                    <m:r>
                      <m:rPr>
                        <m:sty m:val="p"/>
                      </m:rPr>
                      <w:rPr>
                        <w:rFonts w:ascii="Cambria Math"/>
                        <w:sz w:val="21"/>
                      </w:rPr>
                      <m:t>=</m:t>
                    </m:r>
                    <m:f>
                      <m:fPr/>
                      <m:num>
                        <m:r>
                          <m:rPr/>
                          <w:rPr>
                            <w:rFonts w:ascii="Cambria Math"/>
                            <w:sz w:val="21"/>
                          </w:rPr>
                          <m:t>Q</m:t>
                        </m:r>
                      </m:num>
                      <m:den>
                        <m:sSub>
                          <m:sSubPr/>
                          <m:e>
                            <m:r>
                              <m:rPr/>
                              <w:rPr>
                                <w:rFonts w:ascii="Cambria Math"/>
                                <w:sz w:val="21"/>
                              </w:rPr>
                              <m:t>Q</m:t>
                            </m:r>
                          </m:e>
                          <m:sub>
                            <m:r>
                              <m:rPr/>
                              <w:rPr>
                                <w:rFonts w:ascii="Cambria Math"/>
                                <w:sz w:val="21"/>
                              </w:rPr>
                              <m:t>h</m:t>
                            </m:r>
                          </m:sub>
                        </m:sSub>
                        <m:r>
                          <m:rPr>
                            <m:sty m:val="p"/>
                          </m:rPr>
                          <w:rPr>
                            <w:rFonts w:ascii="Cambria Math"/>
                            <w:sz w:val="21"/>
                          </w:rPr>
                          <m:t>(</m:t>
                        </m:r>
                        <m:sSub>
                          <m:sSubPr/>
                          <m:e>
                            <m:r>
                              <m:rPr/>
                              <w:rPr>
                                <w:rFonts w:ascii="Cambria Math"/>
                                <w:sz w:val="21"/>
                              </w:rPr>
                              <m:t>P</m:t>
                            </m:r>
                          </m:e>
                          <m:sub>
                            <m:r>
                              <m:rPr>
                                <m:sty m:val="p"/>
                              </m:rPr>
                              <w:rPr>
                                <w:rFonts w:ascii="Cambria Math"/>
                                <w:sz w:val="21"/>
                              </w:rPr>
                              <m:t>1</m:t>
                            </m:r>
                          </m:sub>
                        </m:sSub>
                        <m:r>
                          <m:rPr>
                            <m:sty m:val="p"/>
                          </m:rPr>
                          <w:rPr>
                            <w:rFonts w:ascii="Cambria Math"/>
                            <w:sz w:val="21"/>
                          </w:rPr>
                          <m:t>)</m:t>
                        </m:r>
                      </m:den>
                    </m:f>
                    <m:r>
                      <m:rPr>
                        <m:sty m:val="p"/>
                      </m:rPr>
                      <w:rPr>
                        <w:rFonts w:ascii="Cambria Math"/>
                        <w:sz w:val="21"/>
                      </w:rPr>
                      <m:t>−1</m:t>
                    </m:r>
                  </m:oMath>
                  <w:r>
                    <w:rPr>
                      <w:rFonts w:ascii="Times New Roman" w:hAnsi="Times New Roman" w:eastAsia="宋体"/>
                      <w:sz w:val="21"/>
                      <w:szCs w:val="21"/>
                    </w:rPr>
                    <w:t>与区段阻力估计</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Times New Roman" w:hAnsi="Times New Roman" w:eastAsia="宋体"/>
                      <w:sz w:val="21"/>
                      <w:szCs w:val="21"/>
                    </w:rPr>
                    <w:t>进行联合判断。健康曲线Qₕ(P₁)给出相同下游压力下的正常流量，阻力估计与健康区段阻力作差后反映局部受限。流量持续正向偏离而区段阻力基本稳定时形成等效泄漏候选，阻力持续增加时形成受限候选；两类特征冲突时提示异常待检查。图6为固定1Hz基线的处理流程。</w:t>
                  </w:r>
                </w:p>
                <w:p w14:paraId="028D854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前在不同供压点开展独立健康标定，建立压力—流量经验曲线和区段阻力参照。平台已提供健康记录导入与候选曲线拟合，用于检查数据范围和拟合偏差；生成的候选参数须经独立健康核验与未参与拟合的批次验证，才能用于节点判断。正式故障试验固定参照版本，并记录正常阀门切换与负载状态。通过跨供压、跨负载对照，评价固定参照和重新标定的适用范围。</w:t>
                  </w:r>
                </w:p>
                <w:p w14:paraId="09F546A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减少正常波动引起的误报，拟采用基于健康数据波动幅度的稳健门限，结合连续确认形成异常候选。前期已对固定门限、稳健门限及累积判据进行软件比较，实施中优先验证稳健门限方案，并根据独立标定和正常运行试验确定参数。门限及确认条件在正式验证前固定，后续同时检查检出效果、误报和适用范围。</w:t>
                  </w:r>
                </w:p>
                <w:tbl>
                  <w:tblPr>
                    <w:tblStyle w:val="5"/>
                    <w:tblW w:w="90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60"/>
                  </w:tblGrid>
                  <w:tr w14:paraId="115FF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60" w:type="dxa"/>
                      </w:tcPr>
                      <w:p w14:paraId="33DF4D2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设置短窗关注与主窗候选两种结果。三秒短窗连续两次正向越限时提示复核；十秒主窗同一候选连续五次成立后输出持续候选。二者分别记录，短窗关注不直接触发控制，持续候选也需结合工况与人工核查确定实际原因。短窗须具有独立标定依据，窗口未完整建立或观测无效时标明不可用，不以旧数据填补正常状态。</w:t>
                        </w:r>
                      </w:p>
                    </w:tc>
                  </w:tr>
                </w:tbl>
                <w:p w14:paraId="09AC1EE0">
                  <w:pPr>
                    <w:spacing w:before="0" w:after="0" w:line="1" w:lineRule="exact"/>
                  </w:pP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异常记录同时保存原采集时刻、测量质量、候选类别及参照版本。健康参照经独立核验后启用判断，出现缺测、计数复位、越量程或采集时序异常时重新建立受影响的窗口。对正常负载变化与泄漏相似等情况，保留异常待检查并交由人工核查，复测结果再写入平台。项目通过真实采集、独立操作和复测记录评价判断效果，明确系统能够可靠提示的范围。</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期试验以独立参考测量确定故障程度，设置相对健康流量偏离5%、10%和15%的三级变化，将15%作为试验比较参照。记录故障操作开始、首次正确确认及达到该参照的时刻，评价系统能否在变化进一步扩大前给出有效提示。5%用于探索小幅变化的识别能力，该试验参照不等同于棉花减产或农业通用失效标准。</w:t>
            </w:r>
          </w:p>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力争在标定确认的工作范围内，使10%和15%故障组首次持续候选正确比例达到90%，正常运行确认误报不高于1次/小时，并评价达到15%试验参照前的有效提示比例。上述为拟验证的研究目标，正式试验分别保存检出、漏检、误报和复测记录，形成能够说明系统效果及适用条件的结果。</w:t>
            </w:r>
          </w:p>
          <w:p w14:paraId="6F127EA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软件开发以完成稳定采集和可复核判断为目标。拟将已开展主机验证的便携C程序移植至STM32，采用预先生成的健康曲线表进行在线计算，结合实际压力读数和流量计数形成事件记录。开发顺序为目标编译、有线采集、诊断联调和无线接入，逐项检查异常观测处理、程序运行时间及资源占用，形成可复用的节点程序和操作说明。</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68FA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98.2pt;width:420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固定1Hz基线的双时间窗诊断流程</w:t>
                        </w:r>
                      </w:p>
                    </w:tc>
                  </w:tr>
                </w:tbl>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LoRa无线通信与事件管理</w:t>
                  </w:r>
                  <w:r>
                    <w:br w:type="textWrapping"/>
                  </w:r>
                  <w:r>
                    <w:rPr>
                      <w:rFonts w:ascii="Times New Roman" w:hAnsi="Times New Roman" w:eastAsia="宋体"/>
                      <w:sz w:val="21"/>
                      <w:szCs w:val="21"/>
                    </w:rPr>
                    <w:t>面向棉田支管分散布置的需求，设计周期状态与异常事件相结合的LoRa传输方式。正常状态支持远程查看，异常事件优先保存和发送；接收端校验后存入数据库并回复确认，重复事件核对身份后去重。节点在短时中断后恢复待确认事件，使平台能够保留完整巡检线索，降低通信中断对异常追踪的影响。</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7展示事件接收及确认丢失后的处理过程。通信采用数据校验、接收确认和有限次数重发，优先保留已接纳的异常事件，普通遥测保留最新状态。接收服务在数据成功存储后回复确认，同一事件重发时核对身份并去重；链路中断后恢复发送，分别记录超期或容量不足的事件。实施中将完成真实串口、节点日志和接收服务联调，确保平台上的异常能够追溯到原始采集记录。</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9FE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66.7pt;width:420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通信拟比较不同上报周期、事件触发和异常优先发送方式，考察链路稳定、遮挡和短时中断时的告警效果。使用相同诊断记录开展对照，记录告警到达时间、成功接收比例及恢复后的事件缺失，分析可靠传输与通信开销的关系。发送次数和整机电流分别测量，使通信方案选择具有可检查的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Times New Roman" w:hAnsi="Times New Roman" w:eastAsia="宋体"/>
                      <w:sz w:val="21"/>
                      <w:szCs w:val="21"/>
                    </w:rPr>
                    <w:t>本地Web平台按功能划分为运行总览、支管监测、异常事件、设备链路、历史记录、策略实验、试验台架和系统设置八个页面。总览集中提示当前工作，监测页面展示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Times New Roman" w:hAnsi="Times New Roman" w:eastAsia="宋体"/>
                      <w:sz w:val="21"/>
                      <w:szCs w:val="21"/>
                    </w:rPr>
                    <w:t>、Q及窗口特征，事件页面组织查看、处置和复测；设备页面核对连接状态，历史页面按会话检索与导出。策略实验用于采样对照和参照标定，台架页面用于结构检查与模拟控制，设置页面维护配置身份。图8为当前监测页面局部，各页面围绕同一支管和事件协作。</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0A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497.1pt;width:425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巡检平台监测页面局部</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平台将“已查看、处置、复测”作为独立维护步骤，保留原始候选快照并追加核查记录。现阶段已实现Python本地服务与SQLite数据库接入，核查记录、模拟命令和历史会话能够在服务重启后保留。图8数据来自C程序合成回放，不代表现场监测；实施阶段将把串口和LoRa接收数据接入同一记录流程，核对采集时刻、测量质量及传输状态。断连时显示最近有效记录及连接状态，避免将历史数据误作当前正常。</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系统联调依次完成有线采集、无线收发、平台显示及巡检记录，使用同一异常操作贯穿采集、判断、传输、展示和复测。验收包括两类故障的核查与复测、误报核查、一次8小时连续记录和至少3次重启恢复，并检查模拟控制与人工操作的状态。形成原型、使用说明和对应记录，验证系统能否为支管巡检提供可理解、可追溯的信息。</w:t>
            </w:r>
          </w:p>
          <w:tbl>
            <w:tblPr>
              <w:tblStyle w:val="5"/>
              <w:tblW w:w="90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60"/>
            </w:tblGrid>
            <w:tr w14:paraId="78375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60" w:type="dxa"/>
                </w:tcPr>
                <w:p w14:paraId="770EA952">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联动服务于异常核查后的处置演示，本期采用软件模拟与LED或蜂鸣器输出。平台已实现人工发起请求、软件接收、模拟执行和人工复位的状态记录；实施中再联调节点IO，核验重复命令不重复执行，并研究有效观测、明确工况和人工确认下的请求条件。接收确认、演示输出与真实执行反馈分别呈现。实际阀门不列为本期必做任务，以免改变原诊断试验的水力条件。</w:t>
                  </w:r>
                </w:p>
              </w:tc>
            </w:tr>
          </w:tbl>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预留控制驱动和反馈接口，为后续接入执行器提供条件。真实阀门作为延伸任务，结合管径、工作压力及反馈方式选型，置于A支路入口并检查实际止流和对其他支路的影响。阀控验证与原诊断试验分开开展，保护条件通过独立试验确定；本期先完成异常提示、人工核查及模拟输出衔接，避免执行动作影响原有测量和诊断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实施步骤与验证安排</w:t>
                  </w:r>
                  <w:r>
                    <w:br w:type="textWrapping"/>
                  </w:r>
                  <w:r>
                    <w:rPr>
                      <w:rFonts w:ascii="Times New Roman" w:hAnsi="Times New Roman" w:eastAsia="宋体"/>
                      <w:sz w:val="21"/>
                      <w:szCs w:val="21"/>
                    </w:rPr>
                    <w:t>项目按照测量建模、诊断验证、可靠告警和平台集成四个工作包推进，交付内容及验收要求见表1。首先完成台架与节点的独立标定，建立健康状态参照；随后开展故障及正常调节对照，确定诊断方法与适用范围；在本地判断和原始记录稳定后，验证无线接收与事件恢复，最后完成巡检平台和模拟控制联调。各工作包保留程序、配置及原始记录，以实验批次对应图表与结论，保证研究任务能够逐项检查。</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八页面Web、真实接入、模拟请求及维护记录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试验比较固定流量阈值、健康参照固定门限和健康参照稳健门限三种方案，使用相同观测数据、时间窗和确认条件。通过分别使用单点信息、双压力信息及操作记录，分析附加测点与运行状态记录的作用；累积判据作为候选方案补充比较。参数在健康标定和预实验中确定，正式验证采用留出批次，分别统计故障提示和正常误报，并保留负载变化、压力漂移及模型失配条件下的失败记录。</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测试设置稳定、遮挡和短时中断三类场景，改变测试顺序并保存位置与配置，比较本地提示和平台收到事件的时刻。平台连续运行时核对节点日志、数据库和维护记录，检查掉线恢复、事件去重及页面状态，验证从采集到巡检记录的完整功能。</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后续首先研究不同供压和负载条件下的健康参照适配。现有跨工况合成测试表明，供压变化与负载规律变化对判断的影响并不相同，固定参照不能直接覆盖任意负载。拟比较固定参照、多供压点重新标定和少量健康数据修正，按日期与工况设置独立验证批次，考察误报、漏检及标定工作量。这一方向由本期台架和平台标定工具承接，为轮灌条件变化下的应用提供依据。</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单节点路线验证后，进一步拓展多支管分区监测。利用同一水源下不同支管的同步变化，研究共同供压扰动与局部异常的区分，改进支管范围提示。结合维护记录比较有无系统提示时的排查时间和误导情况，评价实际巡检价值。本期完成单节点台架和事件流程，后续布点按新增资源及现场条件推进。</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Times New Roman" w:hAnsi="Times New Roman" w:eastAsia="宋体"/>
                      <w:sz w:val="21"/>
                      <w:szCs w:val="21"/>
                    </w:rPr>
                    <w:t>（1）面向南疆棉田支管巡检的联合判断。将两个压力测点与流量观测结合，以正常运行数据建立参照，减少单一流量报警难以区分正常调节和故障的问题。节点给出异常候选及变化依据，平台关联支管编号、测点区段和建议检查部位，形成感知、提示、核查和复测相衔接的系统功能。对现有观测难以区分的情况保留人工核查，并通过测点对照验证联合观测的实际作用。</w:t>
                  </w:r>
                </w:p>
              </w:tc>
            </w:tr>
          </w:tbl>
          <w:tbl>
            <w:tblPr>
              <w:tblStyle w:val="5"/>
              <w:tblW w:w="90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60"/>
            </w:tblGrid>
            <w:tr w14:paraId="219D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60" w:type="dxa"/>
                </w:tcPr>
                <w:p w14:paraId="0EE2F21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2）围绕健康参照开展渐进异常辨识与工况适配。以双压力和流量建立正常运行关系，结合稳健门限、双时间窗和连续确认提示渐进变化。通过固定参照与重新标定对照，分析不同负载和供压下的判断变化，将工况记录与复测纳入验证，减少把正常调节直接判为故障的情况。研究重点在于可复核的早期提示及参照适用范围，并由独立故障操作检验。</w:t>
                  </w:r>
                </w:p>
              </w:tc>
            </w:tr>
          </w:tbl>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3）将事件触发采集与可靠告警结合。正常阶段按设定周期观测，出现持续变化后加密采集，并结合异常优先发送、接收确认和恢复重传保存事件。项目分别比较读取次数、发送次数和提示及时性，实物阶段再测量整机电流，评价策略的收益与代价。通过同一事件贯穿节点、接收平台及人工复测，使采集优化与巡检功能在同一系统中得到验证。</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Times New Roman" w:hAnsi="Times New Roman" w:eastAsia="宋体"/>
                      <w:sz w:val="21"/>
                      <w:szCs w:val="21"/>
                    </w:rPr>
                    <w:t>预期研制1套支管故障诊断物联网原型，包括双压力—流量感知节点、LoRa接收端、双支路清水台架及本地巡检平台。实现稳定采集、分级采集对照、异常提示、可靠接收、核查复测和控制请求模拟，形成完整巡检流程。提交结构与接口设计、节点及前后端程序、配置、使用说明和结题报告；平台采用本地部署，并研究便携桌面封装，便于台架操作与成果演示。以一个监测单元完成可演示、可复测的原型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整理形成标定、故障、正常调节、采集策略和通信对照等原始数据，按表2完成主要故障操作及相关验证。配套提交标定曲线、测试记录和结果分析，说明原型的测量范围、故障提示效果及采集通信方案的取舍，形成能够复核的研究报告。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形成1篇以实测数据为基础的研究论文稿，围绕跨工况故障辨识或事件采集策略，完成对照试验、结果分析和投稿。项目在规定周期内完成原型及结题报告，论文投稿与修订按实际研究进度推进，录用、发表结果依据真实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诊断与分级采集、独立故障及正常干扰、参照适配对照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真实无线与串口接入、本地平台、IO演示及处置复测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留出批次、基线与测点对照、关键边界补实验及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系统设计与前期论证</w:t>
                  </w:r>
                  <w:r>
                    <w:br w:type="textWrapping"/>
                  </w:r>
                  <w:r>
                    <w:rPr>
                      <w:rFonts w:ascii="Times New Roman" w:hAnsi="Times New Roman" w:eastAsia="宋体"/>
                      <w:sz w:val="21"/>
                      <w:szCs w:val="21"/>
                    </w:rPr>
                    <w:t>前期已完成文献梳理、双支路水路方案、参数化装配、采集接口分析及本地巡检平台，形成模型、程序、配置和图源。三维模型与水路保持一致的测点顺序，新增防溅板及过线开口后，已检查新增板与原构件的实体交集，并完成局部间隙、容器取放和分次计量容量分析。当前模型含207个有效实体，能够按整体、测点、电气和泄漏计量局部查看，为采购装配提供设计基础。现有成果为设计、仿真与主机软件验证，实物制造、真实无线和田间应用尚待实施。</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选择后续节点诊断方案，前期对健康参照固定门限、稳健门限及稳健门限与累积判据组合进行了合成回放，结果见图9。三组使用相同测量前端、时间窗和确认条件，在泄漏、局部受限及长时正常场景比较提示与误报，覆盖0.3、3和10kPa压力噪声及全部12个测试种子。模型与随机序列的设置保持一致，用于比较候选方案，不作为独立实物试验。</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718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360pt;width:40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候选判据的有效早期与正常误报对照</w:t>
                  </w:r>
                  <w:bookmarkStart w:id="0" w:name="_GoBack"/>
                  <w:bookmarkEnd w:id="0"/>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三组在0.3、3kPa时，两类故障均为12/12条有效早期；10kPa时固定门限两组均为1/12，稳健门限及累积组合均为12/12。长时正常对照中，稳健门限三档均无确认误报；固定门限在10kPa有12/12条误报，累积组合在3kPa为1/12。该对照支持优先部署稳健门限；其他场景的失败按完整数据保留，不据此认定实测准确率或普适优势。</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初期模型在高噪声条件下出现故障前误报，促使方案引入健康数据波动幅度和连续确认。另已完成288个静态有界误差组合分析，并核对缺测时的窗口处理。上述工作为测点选择、门限设计和台架试验提供前期依据；正式性能结论由独立标定及故障操作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诊断方法与可行性分析</w:t>
                  </w:r>
                  <w:r>
                    <w:br w:type="textWrapping"/>
                  </w:r>
                  <w:r>
                    <w:rPr>
                      <w:rFonts w:ascii="Times New Roman" w:hAnsi="Times New Roman" w:eastAsia="宋体"/>
                      <w:sz w:val="21"/>
                      <w:szCs w:val="21"/>
                    </w:rPr>
                    <w:t>针对水力观测歧义，已构造未知正常负载、压力漂移和负载指数失配反例。图10保留初始K/R模型的两类失败：未知正常负载增加与等效泄漏可生成相同观测，上游压力</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偏移可能产生受限候选。更新门限有助于抑制随机波动，无法凭现有三通道观测消除负载同形或确定故障原因。因此，项目将已知操作记录、独立健康标定和维护复测纳入实验，并开展跨负载留出评价，明确可辨识范围。</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FC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初始K/R判据的负载歧义与压力漂移反例（仿真）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已建立健康参照、稳健门限和测量质量检查，完成便携C整数内核与主机参考程序的比较。在216条合成轨迹、130,896次更新中，九字段输出保持一致，边界舍入及插值差异另有记录。固定1Hz、十秒主窗和五次确认作为当前软件基线，三秒短窗仅形成待复核提示。这些工作证明软件逻辑具备移植准备，STM32运行、实际传感器时序及物理诊断效果在实施阶段验证。</w:t>
            </w:r>
          </w:p>
          <w:p w14:paraId="3BEB3391">
            <w:pPr>
              <w:keepNext/>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3 协议与平台软件</w:t>
            </w:r>
          </w:p>
          <w:p w14:paraId="295DDC90">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Times New Roman" w:hAnsi="Times New Roman" w:eastAsia="宋体"/>
                <w:sz w:val="21"/>
                <w:szCs w:val="21"/>
              </w:rPr>
              <w:t>已完成采集适配、诊断与通信状态的主机软件联调，检查缺测、越量程、计数复位等异常情况下的处理。80组通信回放涵盖正常、随机丢失、60秒中断及接收确认全丢，其中20组正常链路收到全部生成事件；丢失、拒绝及过期记录分别保存。这些结果为后续节点移植和无线联调提供程序基础，尚不代表真实射频链路或节点掉电恢复性能。</w:t>
            </w:r>
          </w:p>
          <w:tbl>
            <w:tblPr>
              <w:tblStyle w:val="5"/>
              <w:tblW w:w="90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60"/>
            </w:tblGrid>
            <w:tr w14:paraId="49E0E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60" w:type="dxa"/>
                </w:tcPr>
                <w:p w14:paraId="60A3609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地巡检平台已形成八个功能页面，接入C算法回放、Python服务和SQLite存储，提供27组压力带噪合成轨迹，覆盖正常运行、供压切换、泄漏、受限、漂移、短时异常及采集质量问题。候选快照与核查记录分开保存，支持历史会话检索、CSV/JSON导出和服务重启后读取。已核查重复报文、校验错误、身份冲突及模拟命令的处理，接收确认对应已提交的数据。现有成果说明本地主机流程已贯通，实际串口与射频接入在实施阶段验证。</w:t>
                  </w:r>
                </w:p>
              </w:tc>
            </w:tr>
          </w:tbl>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分级采集新增432组仿真组合，覆盖3个测试种子、3档压力噪声、6类场景及1秒、2秒、5秒读取间隔的全部相位。渐进泄漏和受限在固定1秒组分别为9/9有效早期，2秒巡航组分别为17/18，5秒组分别为39/45和42/45；正常场景平均压力读取次数依次为601.0、411.6和273.6。结果显示减少读取会带来响应代价，支持保留1Hz主线并对2秒、5秒策略继续验证。上述为共享模型下的仿真组合，不能作为独立实物试次，也不据此计算节电率。</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新增72组未见工况C程序测试，改变供压、负载指数、噪声及随机种子。参照负载规律匹配时，正常对照8组无候选误报，两类故障各8组满足该模型的有效早期判据；负载规律失配时出现正常误报，说明只改变门限不足以保证跨工况应用。另保留短时变化漏检、压力漂移以及正常切换增加触发次数等记录。平台已提供多供压健康曲线拟合工具，拟合结果仅形成候选参照，不自动批准或覆盖运行配置，后续通过独立实测确定适配效果。</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功能在既有12项主机状态检查基础上，已接入网页操作和数据库记录，区分请求、软件接收、模拟输出及人工复位，检查重复命令和重启后的历史状态。页面明确标识模拟模式，当前未接入节点IO或实际阀门。相关程序与操作记录为LED或蜂鸣器联调提供基础，不将软件执行状态写成实际关阀效果。</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AC98357-2E9C-4971-B546-FFD2558D4B7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F6035B67-87B7-4F5D-B3F3-623F5B94E7D9}"/>
  </w:font>
  <w:font w:name="楷体_GB2312">
    <w:altName w:val="楷体"/>
    <w:panose1 w:val="02010609030101010101"/>
    <w:charset w:val="86"/>
    <w:family w:val="modern"/>
    <w:pitch w:val="default"/>
    <w:sig w:usb0="00000000" w:usb1="00000000" w:usb2="00000000" w:usb3="00000000" w:csb0="00040000" w:csb1="00000000"/>
    <w:embedRegular r:id="rId3" w:fontKey="{A0A67292-7C1E-421A-90ED-DDA9E8E7D55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2C03555E-AC3F-43EC-8DB3-D29A3AD943F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AFF654A9-E53D-4466-9CC0-CBD23BE80CC1}"/>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B57B3322-11D0-427C-B638-7F226FC83F55}"/>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8F13DE8"/>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 w:val="7D743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13315</Words>
  <Characters>14595</Characters>
  <Lines>7</Lines>
  <Paragraphs>2</Paragraphs>
  <TotalTime>18</TotalTime>
  <ScaleCrop>false</ScaleCrop>
  <LinksUpToDate>false</LinksUpToDate>
  <CharactersWithSpaces>14965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2026-10-07T03:11:01Z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