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44C95">
      <w:pPr>
        <w:rPr>
          <w:rFonts w:hint="eastAsia" w:eastAsia="宋体"/>
          <w:lang w:eastAsia="zh-CN"/>
        </w:rPr>
      </w:pPr>
    </w:p>
    <w:p w14:paraId="369FCE04">
      <w:pPr>
        <w:rPr>
          <w:rFonts w:hint="eastAsia" w:eastAsia="宋体"/>
          <w:lang w:eastAsia="zh-CN"/>
        </w:rPr>
      </w:pPr>
    </w:p>
    <w:p w14:paraId="6A928CEE">
      <w:pPr>
        <w:jc w:val="left"/>
        <w:rPr>
          <w:rFonts w:hint="eastAsia" w:eastAsia="宋体"/>
          <w:lang w:eastAsia="zh-CN"/>
        </w:rPr>
      </w:pPr>
      <w:r>
        <w:rPr>
          <w:rFonts w:hint="eastAsia" w:eastAsia="宋体"/>
          <w:lang w:eastAsia="zh-CN"/>
        </w:rPr>
        <w:drawing>
          <wp:inline distT="0" distB="0" distL="114300" distR="114300">
            <wp:extent cx="2260600" cy="781050"/>
            <wp:effectExtent l="0" t="0" r="6350" b="6985"/>
            <wp:docPr id="3" name="图片 1" descr="塔里木大学VI-基础部分_A4.01标志标准中英文全称横式使用规范与不可入侵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塔里木大学VI-基础部分_A4.01标志标准中英文全称横式使用规范与不可入侵范围"/>
                    <pic:cNvPicPr>
                      <a:picLocks noChangeAspect="1"/>
                    </pic:cNvPicPr>
                  </pic:nvPicPr>
                  <pic:blipFill>
                    <a:blip r:embed="rId5"/>
                    <a:stretch>
                      <a:fillRect/>
                    </a:stretch>
                  </pic:blipFill>
                  <pic:spPr>
                    <a:xfrm>
                      <a:off x="0" y="0"/>
                      <a:ext cx="2260600" cy="781050"/>
                    </a:xfrm>
                    <a:prstGeom prst="rect">
                      <a:avLst/>
                    </a:prstGeom>
                    <a:noFill/>
                    <a:ln>
                      <a:noFill/>
                    </a:ln>
                  </pic:spPr>
                </pic:pic>
              </a:graphicData>
            </a:graphic>
          </wp:inline>
        </w:drawing>
      </w:r>
    </w:p>
    <w:p w14:paraId="4651466F">
      <w:pPr>
        <w:rPr>
          <w:rFonts w:hint="eastAsia"/>
        </w:rPr>
      </w:pPr>
    </w:p>
    <w:p w14:paraId="4E7A7E45">
      <w:pPr>
        <w:rPr>
          <w:rFonts w:hint="eastAsia"/>
        </w:rPr>
      </w:pPr>
    </w:p>
    <w:p w14:paraId="4C06D6F6">
      <w:pPr>
        <w:rPr>
          <w:rFonts w:hint="eastAsia"/>
        </w:rPr>
      </w:pPr>
    </w:p>
    <w:p w14:paraId="7AA9A7E3">
      <w:pPr>
        <w:rPr>
          <w:rFonts w:hint="eastAsia"/>
        </w:rPr>
      </w:pPr>
    </w:p>
    <w:p w14:paraId="504C68B3">
      <w:pPr>
        <w:jc w:val="center"/>
        <w:rPr>
          <w:rFonts w:hint="eastAsia" w:ascii="宋体" w:hAnsi="宋体" w:eastAsia="宋体" w:cs="宋体"/>
          <w:b w:val="0"/>
          <w:bCs/>
          <w:sz w:val="52"/>
          <w:szCs w:val="52"/>
        </w:rPr>
      </w:pPr>
      <w:r>
        <w:rPr>
          <w:rFonts w:hint="eastAsia" w:ascii="宋体" w:hAnsi="宋体" w:eastAsia="宋体" w:cs="宋体"/>
          <w:b w:val="0"/>
          <w:bCs/>
          <w:sz w:val="52"/>
          <w:szCs w:val="52"/>
        </w:rPr>
        <w:t>大学生创新训练</w:t>
      </w:r>
      <w:r>
        <w:rPr>
          <w:rFonts w:hint="eastAsia" w:ascii="宋体" w:hAnsi="宋体" w:eastAsia="宋体" w:cs="宋体"/>
          <w:b w:val="0"/>
          <w:bCs/>
          <w:sz w:val="52"/>
          <w:szCs w:val="52"/>
          <w:lang w:val="en-US" w:eastAsia="zh-CN"/>
        </w:rPr>
        <w:t>计划</w:t>
      </w:r>
      <w:r>
        <w:rPr>
          <w:rFonts w:hint="eastAsia" w:ascii="宋体" w:hAnsi="宋体" w:eastAsia="宋体" w:cs="宋体"/>
          <w:b w:val="0"/>
          <w:bCs/>
          <w:sz w:val="52"/>
          <w:szCs w:val="52"/>
        </w:rPr>
        <w:t>申报书</w:t>
      </w:r>
    </w:p>
    <w:p w14:paraId="2A1DBA14">
      <w:pPr>
        <w:jc w:val="center"/>
        <w:rPr>
          <w:rFonts w:hint="eastAsia" w:ascii="宋体" w:hAnsi="宋体" w:eastAsia="宋体" w:cs="宋体"/>
          <w:sz w:val="36"/>
          <w:szCs w:val="36"/>
        </w:rPr>
      </w:pPr>
      <w:r>
        <w:rPr>
          <w:rFonts w:hint="eastAsia" w:ascii="宋体" w:hAnsi="宋体" w:eastAsia="宋体" w:cs="宋体"/>
          <w:color w:val="000000"/>
          <w:sz w:val="36"/>
          <w:szCs w:val="36"/>
          <w:lang w:eastAsia="zh-CN"/>
        </w:rPr>
        <w:t>（</w:t>
      </w:r>
      <w:r>
        <w:rPr>
          <w:rFonts w:hint="eastAsia" w:ascii="宋体" w:hAnsi="宋体" w:eastAsia="宋体" w:cs="宋体"/>
          <w:color w:val="000000"/>
          <w:sz w:val="36"/>
          <w:szCs w:val="36"/>
          <w:lang w:val="en-US" w:eastAsia="zh-CN"/>
        </w:rPr>
        <w:t>创新训练项目</w:t>
      </w:r>
      <w:r>
        <w:rPr>
          <w:rFonts w:hint="eastAsia" w:ascii="宋体" w:hAnsi="宋体" w:eastAsia="宋体" w:cs="宋体"/>
          <w:color w:val="000000"/>
          <w:sz w:val="36"/>
          <w:szCs w:val="36"/>
          <w:lang w:eastAsia="zh-CN"/>
        </w:rPr>
        <w:t>）</w:t>
      </w:r>
    </w:p>
    <w:p w14:paraId="2C92BC78">
      <w:pPr>
        <w:jc w:val="both"/>
        <w:rPr>
          <w:rFonts w:hint="eastAsia" w:ascii="黑体" w:hAnsi="黑体" w:eastAsia="黑体"/>
          <w:sz w:val="36"/>
          <w:szCs w:val="36"/>
        </w:rPr>
      </w:pPr>
    </w:p>
    <w:p w14:paraId="0C0112CF">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55038F8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0F2372D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2A5A84E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24E70EA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6E52B4B8">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14E340EA">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43B742DC">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52C9DF82">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34DA69B7">
      <w:pPr>
        <w:spacing w:line="480" w:lineRule="auto"/>
        <w:rPr>
          <w:rFonts w:hint="eastAsia" w:ascii="黑体" w:hAnsi="黑体" w:eastAsia="黑体" w:cs="黑体"/>
          <w:b w:val="0"/>
          <w:bCs w:val="0"/>
          <w:sz w:val="30"/>
          <w:szCs w:val="30"/>
          <w:lang w:val="en-US" w:eastAsia="zh-CN"/>
        </w:rPr>
      </w:pPr>
    </w:p>
    <w:p w14:paraId="52C96B77">
      <w:pPr>
        <w:rPr>
          <w:rFonts w:hint="eastAsia" w:ascii="黑体" w:hAnsi="黑体" w:eastAsia="黑体" w:cs="黑体"/>
          <w:sz w:val="36"/>
        </w:rPr>
      </w:pPr>
    </w:p>
    <w:p w14:paraId="435BCCC1">
      <w:pPr>
        <w:rPr>
          <w:rFonts w:hint="eastAsia" w:ascii="黑体" w:hAnsi="黑体" w:eastAsia="黑体" w:cs="黑体"/>
          <w:sz w:val="36"/>
        </w:rPr>
      </w:pPr>
    </w:p>
    <w:p w14:paraId="733CC358">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8D9065E">
      <w:pPr>
        <w:pageBreakBefore/>
        <w:jc w:val="center"/>
        <w:rPr>
          <w:rFonts w:eastAsia="楷体_GB2312"/>
          <w:b/>
          <w:bCs/>
          <w:sz w:val="36"/>
        </w:rPr>
      </w:pPr>
      <w:r>
        <w:rPr>
          <w:rFonts w:hint="eastAsia" w:ascii="小标宋" w:hAnsi="小标宋" w:eastAsia="小标宋" w:cs="小标宋"/>
          <w:b w:val="0"/>
          <w:bCs w:val="0"/>
          <w:sz w:val="44"/>
        </w:rPr>
        <w:t>填 写 须 知</w:t>
      </w:r>
    </w:p>
    <w:p w14:paraId="3619FE5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67BC2FA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6BBE510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58BF55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7B57B53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533DF83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6AC86FD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31102C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34D2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191EC4AF">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525C63A6">
            <w:pPr>
              <w:jc w:val="center"/>
              <w:rPr>
                <w:rFonts w:hint="eastAsia" w:eastAsia="宋体"/>
                <w:lang w:eastAsia="zh-CN"/>
              </w:rPr>
            </w:pPr>
          </w:p>
        </w:tc>
      </w:tr>
      <w:tr w14:paraId="2B42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4BC4ECD9">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1479F2D5">
            <w:pPr>
              <w:jc w:val="left"/>
              <w:rPr>
                <w:rFonts w:hint="default" w:eastAsia="宋体"/>
                <w:lang w:val="en-US" w:eastAsia="zh-CN"/>
              </w:rPr>
            </w:pPr>
          </w:p>
        </w:tc>
      </w:tr>
      <w:tr w14:paraId="4B9B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B9ABC0">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8DD95B6">
            <w:pPr>
              <w:jc w:val="center"/>
              <w:rPr>
                <w:rFonts w:hint="eastAsia" w:eastAsia="宋体"/>
                <w:lang w:eastAsia="zh-CN"/>
              </w:rPr>
            </w:pPr>
          </w:p>
        </w:tc>
      </w:tr>
      <w:tr w14:paraId="5F8A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2415BB6B">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78A9CEE3">
            <w:pPr>
              <w:jc w:val="center"/>
              <w:rPr>
                <w:rFonts w:ascii="黑体" w:hAnsi="黑体" w:eastAsia="黑体"/>
              </w:rPr>
            </w:pPr>
            <w:r>
              <w:rPr>
                <w:rFonts w:hint="eastAsia" w:ascii="黑体" w:hAnsi="黑体" w:eastAsia="黑体"/>
              </w:rPr>
              <w:t>姓名</w:t>
            </w:r>
          </w:p>
        </w:tc>
        <w:tc>
          <w:tcPr>
            <w:tcW w:w="719" w:type="dxa"/>
            <w:noWrap w:val="0"/>
            <w:vAlign w:val="center"/>
          </w:tcPr>
          <w:p w14:paraId="153E2BDA">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1CD21082">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436792C">
            <w:pPr>
              <w:jc w:val="center"/>
              <w:rPr>
                <w:rFonts w:ascii="黑体" w:hAnsi="黑体" w:eastAsia="黑体"/>
              </w:rPr>
            </w:pPr>
            <w:r>
              <w:rPr>
                <w:rFonts w:hint="eastAsia" w:ascii="黑体" w:hAnsi="黑体" w:eastAsia="黑体"/>
              </w:rPr>
              <w:t>联系电话</w:t>
            </w:r>
          </w:p>
        </w:tc>
        <w:tc>
          <w:tcPr>
            <w:tcW w:w="2689" w:type="dxa"/>
            <w:noWrap w:val="0"/>
            <w:vAlign w:val="center"/>
          </w:tcPr>
          <w:p w14:paraId="08141AC0">
            <w:pPr>
              <w:jc w:val="center"/>
              <w:rPr>
                <w:rFonts w:hint="eastAsia" w:ascii="黑体" w:hAnsi="黑体" w:eastAsia="黑体"/>
              </w:rPr>
            </w:pPr>
            <w:r>
              <w:rPr>
                <w:rFonts w:hint="eastAsia" w:ascii="黑体" w:hAnsi="黑体" w:eastAsia="黑体"/>
              </w:rPr>
              <w:t>E-mail</w:t>
            </w:r>
          </w:p>
        </w:tc>
      </w:tr>
      <w:tr w14:paraId="5E4D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FE5EFB8">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5DA50315">
            <w:pPr>
              <w:jc w:val="center"/>
              <w:rPr>
                <w:rFonts w:hint="eastAsia" w:eastAsia="宋体"/>
                <w:lang w:eastAsia="zh-CN"/>
              </w:rPr>
            </w:pPr>
          </w:p>
        </w:tc>
        <w:tc>
          <w:tcPr>
            <w:tcW w:w="719" w:type="dxa"/>
            <w:tcBorders>
              <w:bottom w:val="single" w:color="auto" w:sz="4" w:space="0"/>
            </w:tcBorders>
            <w:noWrap w:val="0"/>
            <w:vAlign w:val="center"/>
          </w:tcPr>
          <w:p w14:paraId="4DD33FDB">
            <w:pPr>
              <w:jc w:val="center"/>
              <w:rPr>
                <w:rFonts w:hint="eastAsia" w:eastAsia="宋体"/>
                <w:lang w:eastAsia="zh-CN"/>
              </w:rPr>
            </w:pPr>
          </w:p>
        </w:tc>
        <w:tc>
          <w:tcPr>
            <w:tcW w:w="2883" w:type="dxa"/>
            <w:gridSpan w:val="2"/>
            <w:tcBorders>
              <w:top w:val="nil"/>
              <w:bottom w:val="single" w:color="auto" w:sz="4" w:space="0"/>
            </w:tcBorders>
            <w:noWrap w:val="0"/>
            <w:vAlign w:val="center"/>
          </w:tcPr>
          <w:p w14:paraId="206C9963">
            <w:pPr>
              <w:jc w:val="center"/>
              <w:rPr>
                <w:rFonts w:hint="eastAsia" w:eastAsia="宋体"/>
                <w:lang w:eastAsia="zh-CN"/>
              </w:rPr>
            </w:pPr>
          </w:p>
        </w:tc>
        <w:tc>
          <w:tcPr>
            <w:tcW w:w="1447" w:type="dxa"/>
            <w:gridSpan w:val="2"/>
            <w:tcBorders>
              <w:bottom w:val="single" w:color="auto" w:sz="4" w:space="0"/>
            </w:tcBorders>
            <w:noWrap w:val="0"/>
            <w:vAlign w:val="center"/>
          </w:tcPr>
          <w:p w14:paraId="6BB6E857">
            <w:pPr>
              <w:jc w:val="center"/>
              <w:rPr>
                <w:rFonts w:hint="eastAsia" w:eastAsia="宋体"/>
                <w:lang w:eastAsia="zh-CN"/>
              </w:rPr>
            </w:pPr>
          </w:p>
        </w:tc>
        <w:tc>
          <w:tcPr>
            <w:tcW w:w="2689" w:type="dxa"/>
            <w:tcBorders>
              <w:bottom w:val="single" w:color="auto" w:sz="4" w:space="0"/>
            </w:tcBorders>
            <w:noWrap w:val="0"/>
            <w:vAlign w:val="center"/>
          </w:tcPr>
          <w:p w14:paraId="25684F6C">
            <w:pPr>
              <w:jc w:val="center"/>
              <w:rPr>
                <w:rFonts w:hint="eastAsia" w:eastAsia="宋体"/>
                <w:lang w:eastAsia="zh-CN"/>
              </w:rPr>
            </w:pPr>
          </w:p>
        </w:tc>
      </w:tr>
      <w:tr w14:paraId="6276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366FB58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46DA0EE">
            <w:pPr>
              <w:jc w:val="both"/>
              <w:rPr>
                <w:rFonts w:hint="eastAsia" w:eastAsia="宋体"/>
                <w:lang w:val="en-US" w:eastAsia="zh-CN"/>
              </w:rPr>
            </w:pPr>
          </w:p>
        </w:tc>
      </w:tr>
      <w:tr w14:paraId="717B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DD9993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4AEEE8E4">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12EBFCC2">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3396DB65">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3F11031">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6AD5B50B">
            <w:pPr>
              <w:jc w:val="center"/>
              <w:rPr>
                <w:rFonts w:hint="eastAsia" w:ascii="黑体" w:hAnsi="黑体" w:eastAsia="黑体"/>
              </w:rPr>
            </w:pPr>
            <w:r>
              <w:rPr>
                <w:rFonts w:hint="eastAsia" w:ascii="黑体" w:hAnsi="黑体" w:eastAsia="黑体"/>
              </w:rPr>
              <w:t>项目分工</w:t>
            </w:r>
          </w:p>
        </w:tc>
      </w:tr>
      <w:tr w14:paraId="4F55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EAD3E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B9F24D8">
            <w:pPr>
              <w:jc w:val="center"/>
            </w:pPr>
          </w:p>
        </w:tc>
        <w:tc>
          <w:tcPr>
            <w:tcW w:w="719" w:type="dxa"/>
            <w:tcBorders>
              <w:top w:val="single" w:color="auto" w:sz="4" w:space="0"/>
              <w:bottom w:val="single" w:color="auto" w:sz="4" w:space="0"/>
            </w:tcBorders>
            <w:noWrap w:val="0"/>
            <w:vAlign w:val="center"/>
          </w:tcPr>
          <w:p w14:paraId="2FDE55E0">
            <w:pPr>
              <w:jc w:val="center"/>
              <w:rPr>
                <w:rFonts w:hint="eastAsia"/>
              </w:rPr>
            </w:pPr>
          </w:p>
        </w:tc>
        <w:tc>
          <w:tcPr>
            <w:tcW w:w="2883" w:type="dxa"/>
            <w:gridSpan w:val="2"/>
            <w:tcBorders>
              <w:top w:val="single" w:color="auto" w:sz="4" w:space="0"/>
              <w:bottom w:val="single" w:color="auto" w:sz="4" w:space="0"/>
            </w:tcBorders>
            <w:noWrap w:val="0"/>
            <w:vAlign w:val="center"/>
          </w:tcPr>
          <w:p w14:paraId="44582349">
            <w:pPr>
              <w:jc w:val="center"/>
              <w:rPr>
                <w:rFonts w:hint="eastAsia"/>
              </w:rPr>
            </w:pPr>
          </w:p>
        </w:tc>
        <w:tc>
          <w:tcPr>
            <w:tcW w:w="1447" w:type="dxa"/>
            <w:gridSpan w:val="2"/>
            <w:tcBorders>
              <w:top w:val="single" w:color="auto" w:sz="4" w:space="0"/>
              <w:bottom w:val="single" w:color="auto" w:sz="4" w:space="0"/>
            </w:tcBorders>
            <w:noWrap w:val="0"/>
            <w:vAlign w:val="center"/>
          </w:tcPr>
          <w:p w14:paraId="24C376D2">
            <w:pPr>
              <w:jc w:val="center"/>
              <w:rPr>
                <w:rFonts w:hint="eastAsia"/>
              </w:rPr>
            </w:pPr>
          </w:p>
        </w:tc>
        <w:tc>
          <w:tcPr>
            <w:tcW w:w="2689" w:type="dxa"/>
            <w:tcBorders>
              <w:top w:val="single" w:color="auto" w:sz="4" w:space="0"/>
              <w:bottom w:val="single" w:color="auto" w:sz="4" w:space="0"/>
            </w:tcBorders>
            <w:noWrap w:val="0"/>
            <w:vAlign w:val="center"/>
          </w:tcPr>
          <w:p w14:paraId="46D96696">
            <w:pPr>
              <w:jc w:val="center"/>
              <w:rPr>
                <w:rFonts w:hint="eastAsia"/>
              </w:rPr>
            </w:pPr>
          </w:p>
        </w:tc>
      </w:tr>
      <w:tr w14:paraId="780A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4FBA457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5F2C89F">
            <w:pPr>
              <w:jc w:val="center"/>
            </w:pPr>
          </w:p>
        </w:tc>
        <w:tc>
          <w:tcPr>
            <w:tcW w:w="719" w:type="dxa"/>
            <w:tcBorders>
              <w:top w:val="single" w:color="auto" w:sz="4" w:space="0"/>
              <w:bottom w:val="single" w:color="auto" w:sz="4" w:space="0"/>
            </w:tcBorders>
            <w:noWrap w:val="0"/>
            <w:vAlign w:val="center"/>
          </w:tcPr>
          <w:p w14:paraId="633889FA">
            <w:pPr>
              <w:jc w:val="center"/>
              <w:rPr>
                <w:rFonts w:hint="eastAsia"/>
              </w:rPr>
            </w:pPr>
          </w:p>
        </w:tc>
        <w:tc>
          <w:tcPr>
            <w:tcW w:w="2883" w:type="dxa"/>
            <w:gridSpan w:val="2"/>
            <w:tcBorders>
              <w:top w:val="single" w:color="auto" w:sz="4" w:space="0"/>
              <w:bottom w:val="single" w:color="auto" w:sz="4" w:space="0"/>
            </w:tcBorders>
            <w:noWrap w:val="0"/>
            <w:vAlign w:val="center"/>
          </w:tcPr>
          <w:p w14:paraId="137CEE6B">
            <w:pPr>
              <w:jc w:val="center"/>
              <w:rPr>
                <w:rFonts w:hint="eastAsia"/>
              </w:rPr>
            </w:pPr>
          </w:p>
        </w:tc>
        <w:tc>
          <w:tcPr>
            <w:tcW w:w="1447" w:type="dxa"/>
            <w:gridSpan w:val="2"/>
            <w:tcBorders>
              <w:top w:val="single" w:color="auto" w:sz="4" w:space="0"/>
              <w:bottom w:val="single" w:color="auto" w:sz="4" w:space="0"/>
            </w:tcBorders>
            <w:noWrap w:val="0"/>
            <w:vAlign w:val="center"/>
          </w:tcPr>
          <w:p w14:paraId="61282B3F">
            <w:pPr>
              <w:jc w:val="center"/>
              <w:rPr>
                <w:rFonts w:hint="eastAsia"/>
              </w:rPr>
            </w:pPr>
          </w:p>
        </w:tc>
        <w:tc>
          <w:tcPr>
            <w:tcW w:w="2689" w:type="dxa"/>
            <w:tcBorders>
              <w:top w:val="single" w:color="auto" w:sz="4" w:space="0"/>
              <w:bottom w:val="single" w:color="auto" w:sz="4" w:space="0"/>
            </w:tcBorders>
            <w:noWrap w:val="0"/>
            <w:vAlign w:val="center"/>
          </w:tcPr>
          <w:p w14:paraId="3DDB8709">
            <w:pPr>
              <w:jc w:val="center"/>
              <w:rPr>
                <w:rFonts w:hint="eastAsia"/>
              </w:rPr>
            </w:pPr>
          </w:p>
        </w:tc>
      </w:tr>
      <w:tr w14:paraId="5D4C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20954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C63A226">
            <w:pPr>
              <w:jc w:val="center"/>
            </w:pPr>
          </w:p>
        </w:tc>
        <w:tc>
          <w:tcPr>
            <w:tcW w:w="719" w:type="dxa"/>
            <w:tcBorders>
              <w:top w:val="single" w:color="auto" w:sz="4" w:space="0"/>
              <w:bottom w:val="single" w:color="auto" w:sz="4" w:space="0"/>
            </w:tcBorders>
            <w:noWrap w:val="0"/>
            <w:vAlign w:val="center"/>
          </w:tcPr>
          <w:p w14:paraId="1A69650E">
            <w:pPr>
              <w:jc w:val="center"/>
              <w:rPr>
                <w:rFonts w:hint="eastAsia"/>
              </w:rPr>
            </w:pPr>
          </w:p>
        </w:tc>
        <w:tc>
          <w:tcPr>
            <w:tcW w:w="2883" w:type="dxa"/>
            <w:gridSpan w:val="2"/>
            <w:tcBorders>
              <w:top w:val="single" w:color="auto" w:sz="4" w:space="0"/>
              <w:bottom w:val="single" w:color="auto" w:sz="4" w:space="0"/>
            </w:tcBorders>
            <w:noWrap w:val="0"/>
            <w:vAlign w:val="center"/>
          </w:tcPr>
          <w:p w14:paraId="409F7EAD">
            <w:pPr>
              <w:jc w:val="center"/>
              <w:rPr>
                <w:rFonts w:hint="eastAsia"/>
              </w:rPr>
            </w:pPr>
          </w:p>
        </w:tc>
        <w:tc>
          <w:tcPr>
            <w:tcW w:w="1447" w:type="dxa"/>
            <w:gridSpan w:val="2"/>
            <w:tcBorders>
              <w:top w:val="single" w:color="auto" w:sz="4" w:space="0"/>
              <w:bottom w:val="single" w:color="auto" w:sz="4" w:space="0"/>
            </w:tcBorders>
            <w:noWrap w:val="0"/>
            <w:vAlign w:val="center"/>
          </w:tcPr>
          <w:p w14:paraId="6E67FFD0">
            <w:pPr>
              <w:jc w:val="center"/>
              <w:rPr>
                <w:rFonts w:hint="eastAsia"/>
              </w:rPr>
            </w:pPr>
          </w:p>
        </w:tc>
        <w:tc>
          <w:tcPr>
            <w:tcW w:w="2689" w:type="dxa"/>
            <w:tcBorders>
              <w:top w:val="single" w:color="auto" w:sz="4" w:space="0"/>
              <w:bottom w:val="single" w:color="auto" w:sz="4" w:space="0"/>
            </w:tcBorders>
            <w:noWrap w:val="0"/>
            <w:vAlign w:val="center"/>
          </w:tcPr>
          <w:p w14:paraId="2144C35B">
            <w:pPr>
              <w:jc w:val="center"/>
              <w:rPr>
                <w:rFonts w:hint="eastAsia"/>
              </w:rPr>
            </w:pPr>
          </w:p>
        </w:tc>
      </w:tr>
      <w:tr w14:paraId="18F2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79F6F88">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01FFA2B">
            <w:pPr>
              <w:jc w:val="center"/>
            </w:pPr>
          </w:p>
        </w:tc>
        <w:tc>
          <w:tcPr>
            <w:tcW w:w="719" w:type="dxa"/>
            <w:tcBorders>
              <w:top w:val="single" w:color="auto" w:sz="4" w:space="0"/>
              <w:bottom w:val="single" w:color="auto" w:sz="4" w:space="0"/>
            </w:tcBorders>
            <w:noWrap w:val="0"/>
            <w:vAlign w:val="center"/>
          </w:tcPr>
          <w:p w14:paraId="448C4128">
            <w:pPr>
              <w:jc w:val="center"/>
              <w:rPr>
                <w:rFonts w:hint="eastAsia"/>
              </w:rPr>
            </w:pPr>
          </w:p>
        </w:tc>
        <w:tc>
          <w:tcPr>
            <w:tcW w:w="2883" w:type="dxa"/>
            <w:gridSpan w:val="2"/>
            <w:tcBorders>
              <w:top w:val="single" w:color="auto" w:sz="4" w:space="0"/>
              <w:bottom w:val="single" w:color="auto" w:sz="4" w:space="0"/>
            </w:tcBorders>
            <w:noWrap w:val="0"/>
            <w:vAlign w:val="center"/>
          </w:tcPr>
          <w:p w14:paraId="2F40E958">
            <w:pPr>
              <w:jc w:val="center"/>
              <w:rPr>
                <w:rFonts w:hint="eastAsia"/>
              </w:rPr>
            </w:pPr>
          </w:p>
        </w:tc>
        <w:tc>
          <w:tcPr>
            <w:tcW w:w="1447" w:type="dxa"/>
            <w:gridSpan w:val="2"/>
            <w:tcBorders>
              <w:top w:val="single" w:color="auto" w:sz="4" w:space="0"/>
              <w:bottom w:val="single" w:color="auto" w:sz="4" w:space="0"/>
            </w:tcBorders>
            <w:noWrap w:val="0"/>
            <w:vAlign w:val="center"/>
          </w:tcPr>
          <w:p w14:paraId="4F9E321B">
            <w:pPr>
              <w:jc w:val="center"/>
              <w:rPr>
                <w:rFonts w:hint="eastAsia"/>
              </w:rPr>
            </w:pPr>
          </w:p>
        </w:tc>
        <w:tc>
          <w:tcPr>
            <w:tcW w:w="2689" w:type="dxa"/>
            <w:tcBorders>
              <w:top w:val="single" w:color="auto" w:sz="4" w:space="0"/>
              <w:bottom w:val="single" w:color="auto" w:sz="4" w:space="0"/>
            </w:tcBorders>
            <w:noWrap w:val="0"/>
            <w:vAlign w:val="center"/>
          </w:tcPr>
          <w:p w14:paraId="749B0C24">
            <w:pPr>
              <w:jc w:val="center"/>
              <w:rPr>
                <w:rFonts w:hint="eastAsia"/>
              </w:rPr>
            </w:pPr>
          </w:p>
        </w:tc>
      </w:tr>
      <w:tr w14:paraId="2614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2EC54A41">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5F500A8C">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3EF95E4B">
            <w:pPr>
              <w:jc w:val="center"/>
              <w:rPr>
                <w:rFonts w:hint="eastAsia"/>
              </w:rPr>
            </w:pPr>
          </w:p>
        </w:tc>
        <w:tc>
          <w:tcPr>
            <w:tcW w:w="1447" w:type="dxa"/>
            <w:gridSpan w:val="2"/>
            <w:tcBorders>
              <w:top w:val="single" w:color="auto" w:sz="4" w:space="0"/>
              <w:bottom w:val="single" w:color="auto" w:sz="4" w:space="0"/>
            </w:tcBorders>
            <w:noWrap w:val="0"/>
            <w:vAlign w:val="center"/>
          </w:tcPr>
          <w:p w14:paraId="357AB6D7">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23D13549">
            <w:pPr>
              <w:jc w:val="center"/>
              <w:rPr>
                <w:rFonts w:hint="eastAsia"/>
              </w:rPr>
            </w:pPr>
          </w:p>
        </w:tc>
      </w:tr>
      <w:tr w14:paraId="31BB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A67E29E">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ABDEC9B">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7EA1B7D8">
            <w:pPr>
              <w:jc w:val="center"/>
              <w:rPr>
                <w:rFonts w:hint="eastAsia"/>
              </w:rPr>
            </w:pPr>
          </w:p>
        </w:tc>
        <w:tc>
          <w:tcPr>
            <w:tcW w:w="1447" w:type="dxa"/>
            <w:gridSpan w:val="2"/>
            <w:tcBorders>
              <w:top w:val="single" w:color="auto" w:sz="4" w:space="0"/>
              <w:bottom w:val="single" w:color="auto" w:sz="4" w:space="0"/>
            </w:tcBorders>
            <w:noWrap w:val="0"/>
            <w:vAlign w:val="center"/>
          </w:tcPr>
          <w:p w14:paraId="6C37A812">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36F29B27">
            <w:pPr>
              <w:jc w:val="center"/>
              <w:rPr>
                <w:rFonts w:hint="eastAsia"/>
              </w:rPr>
            </w:pPr>
          </w:p>
        </w:tc>
      </w:tr>
      <w:tr w14:paraId="3B44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73E4327F">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39B34A88">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8C8D50E">
            <w:pPr>
              <w:jc w:val="center"/>
              <w:rPr>
                <w:rFonts w:hint="eastAsia"/>
              </w:rPr>
            </w:pPr>
          </w:p>
        </w:tc>
        <w:tc>
          <w:tcPr>
            <w:tcW w:w="1447" w:type="dxa"/>
            <w:gridSpan w:val="2"/>
            <w:tcBorders>
              <w:top w:val="single" w:color="auto" w:sz="4" w:space="0"/>
              <w:bottom w:val="single" w:color="auto" w:sz="4" w:space="0"/>
            </w:tcBorders>
            <w:noWrap w:val="0"/>
            <w:vAlign w:val="center"/>
          </w:tcPr>
          <w:p w14:paraId="2B7CE74D">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29723506">
            <w:pPr>
              <w:jc w:val="center"/>
              <w:rPr>
                <w:rFonts w:hint="eastAsia"/>
              </w:rPr>
            </w:pPr>
          </w:p>
        </w:tc>
      </w:tr>
      <w:tr w14:paraId="7DE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1F5757D1">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39B1686A">
            <w:pPr>
              <w:jc w:val="both"/>
              <w:rPr>
                <w:rFonts w:hint="default" w:eastAsia="宋体"/>
                <w:lang w:val="en-US" w:eastAsia="zh-CN"/>
              </w:rPr>
            </w:pPr>
          </w:p>
        </w:tc>
      </w:tr>
      <w:tr w14:paraId="3F14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48D7658C">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1FF116EF">
            <w:pPr>
              <w:jc w:val="both"/>
              <w:rPr>
                <w:rFonts w:hint="eastAsia" w:eastAsia="宋体"/>
                <w:lang w:eastAsia="zh-CN"/>
              </w:rPr>
            </w:pPr>
          </w:p>
        </w:tc>
      </w:tr>
      <w:tr w14:paraId="2A19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4A3CD25">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right="0"/>
              <w:jc w:val="left"/>
              <w:textAlignment w:val="auto"/>
              <w:rPr>
                <w:rFonts w:ascii="宋体" w:hAnsi="宋体" w:eastAsia="宋体"/>
                <w:b/>
                <w:sz w:val="21"/>
                <w:szCs w:val="21"/>
              </w:rPr>
            </w:pPr>
            <w:r>
              <w:rPr>
                <w:rFonts w:ascii="宋体" w:hAnsi="宋体" w:eastAsia="宋体"/>
                <w:b/>
                <w:sz w:val="21"/>
                <w:szCs w:val="21"/>
              </w:rPr>
              <w:t>项目简介（300字左右）</w:t>
            </w:r>
          </w:p>
          <w:p w14:paraId="166EE142">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新疆棉花产量约占全国九成，膜下滴灌是支撑其节水增产的核心技术。南疆棉田大面积连片种植，支管数量多、分布分散，轮灌切换频繁，单次切换约1—5分钟、末端压力衰减可达1—8分钟，灌水器堵塞发生率约17%—18%，灌溉费用约130元/亩。支管一旦接头泄漏或管路受限，仅凭首部总流量难以察觉具体是哪一根支管出了问题，运维人员只能进入覆膜田间逐段排查，往往在出现灌水不均、影响产量之后才被发现，既浪费水资源，又推高了灌溉与人工成本。</w:t>
            </w:r>
          </w:p>
          <w:p w14:paraId="5757E91F">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基于此，本项目面向南疆棉田支管巡检，研制一套集双压力—流量感知、早期异常诊断、LoRa无线通信与巡检管理于一体的物联网原型系统。系统由感知诊断节点、LoRa接收端、本地巡检平台与A、B双支路清水台架四部分组成：节点采集监测区段上下游两点压力P0、P1与分流前总流量Q，在本地完成质量检查与异常判断；出现异常候选即经LoRa上报，接收端校验、去重并写入数据库后回复确认；平台呈现支管状态并记录人工核查与复测。</w:t>
            </w:r>
          </w:p>
          <w:p w14:paraId="3653C841">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以等效泄漏与等效受限两类渐进水力异常为对象，以正常供压调整与轮灌切换为对照，先在双支管清水台架上完成标定与机理验证，形成可复核的监测方法与判据适用范围，再为多支管分区监测与现场应用积累基础。系统把感知、提示、核查与复测组织成闭环，有助于维护人员更早发现支管异常、减少灌水不均与水资源浪费，为南疆棉田滴灌运行的精细化管理提供技术支持。</w:t>
            </w:r>
          </w:p>
        </w:tc>
      </w:tr>
      <w:tr w14:paraId="5DBA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2934F13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left="0" w:leftChars="0" w:right="0" w:firstLine="0" w:firstLineChars="0"/>
              <w:jc w:val="left"/>
              <w:textAlignment w:val="auto"/>
              <w:rPr>
                <w:rFonts w:ascii="宋体" w:hAnsi="宋体" w:eastAsia="宋体"/>
                <w:b/>
                <w:sz w:val="21"/>
                <w:szCs w:val="21"/>
              </w:rPr>
            </w:pPr>
            <w:r>
              <w:rPr>
                <w:rFonts w:ascii="宋体" w:hAnsi="宋体" w:eastAsia="宋体"/>
                <w:b/>
                <w:sz w:val="21"/>
                <w:szCs w:val="21"/>
              </w:rPr>
              <w:t>申请理由（包括自身/团队具备的知识条件、特长、兴趣等）</w:t>
            </w:r>
          </w:p>
          <w:p w14:paraId="67687B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80" w:afterAutospacing="0"/>
              <w:ind w:leftChars="0" w:right="0" w:rightChars="0" w:firstLine="420" w:firstLineChars="200"/>
              <w:jc w:val="left"/>
              <w:textAlignment w:val="auto"/>
            </w:pPr>
            <w:r>
              <w:rPr>
                <w:rFonts w:hint="eastAsia" w:ascii="宋体" w:hAnsi="宋体" w:eastAsia="宋体" w:cs="宋体"/>
                <w:b w:val="0"/>
                <w:bCs w:val="0"/>
                <w:i w:val="0"/>
                <w:iCs w:val="0"/>
                <w:color w:val="000000"/>
                <w:spacing w:val="0"/>
                <w:w w:val="100"/>
                <w:sz w:val="21"/>
                <w:szCs w:val="21"/>
                <w:vertAlign w:val="baseline"/>
              </w:rPr>
              <w:t>南疆棉花膜下滴灌依靠管网把灌溉水输送至地膜下的滴灌带，支管承担向下游配水单元供水的任务。当支管接头泄漏、局部受限或供水异常时，维护人员须先判断异常涉及哪个灌溉单元，再进入田间核查；大面积种植下仅掌握首部总流量难以直接识别具体支管，逐段查看又受管线分布、轮灌时间与覆膜条件限制。这一现实困难，是面向支管建立连续观测与异常记录研究的切入点。</w:t>
            </w:r>
          </w:p>
          <w:p w14:paraId="25F7D37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项目以支管接头或管路泄漏、局部过流受限为研究对象。单独观察流量，难以分清正常轮灌调节与故障变化，故在监测区段布置两个压力点并记录分流前总流量，为判断提供更多依据；平台将异常支管、变化趋势与建议检查部位关联，维护人员据此查看接头、管段及下游配水单元，再经复测确认处理效果。</w:t>
            </w:r>
          </w:p>
          <w:p w14:paraId="6BF3DE6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研制工作涵盖传感测量、嵌入式采集、无线通信与巡检软件，与团队所学通信工程专业高度对应。成员已系统学习C语言、STM32嵌入式开发、无线通信原理、传感与信号处理及数据库等课程，具备器件选型、接口调试、程序设计与数据处理训练。前期已建立水路模型、参数化台架和诊断软件，完成本地数据库接入及桌面封装，采集适配与通信协议在主机端通过多组回放验证——这些是可运行、可复现的前期成果，说明团队具备把原型落成的工程能力，而非停留于设想。</w:t>
            </w:r>
          </w:p>
          <w:p w14:paraId="0029F07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bCs w:val="0"/>
                <w:i w:val="0"/>
                <w:iCs w:val="0"/>
                <w:color w:val="000000"/>
                <w:spacing w:val="0"/>
                <w:w w:val="100"/>
                <w:sz w:val="21"/>
                <w:szCs w:val="21"/>
                <w:vertAlign w:val="baseline"/>
              </w:rPr>
              <w:t>团队兴趣聚焦农业物联网与智能巡检，成员按传感采集、诊断算法、无线通信与平台软件分工，可并行推进、交叉联调；指导教师具备本方向指导与资源支持条件（详见信息表及第八章）。接下来的工作以独立标定和真实采集为起点，逐步完成节点、无线与台架联调，在有记录、有对照的试验中检验系统效果。</w:t>
            </w:r>
          </w:p>
        </w:tc>
      </w:tr>
      <w:tr w14:paraId="45B6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B73741C">
            <w:pPr>
              <w:keepNext w:val="0"/>
              <w:keepLines w:val="0"/>
              <w:pageBreakBefore w:val="0"/>
              <w:widowControl w:val="0"/>
              <w:numPr>
                <w:ilvl w:val="0"/>
                <w:numId w:val="2"/>
              </w:numPr>
              <w:kinsoku/>
              <w:wordWrap/>
              <w:overflowPunct/>
              <w:topLinePunct w:val="0"/>
              <w:autoSpaceDE/>
              <w:autoSpaceDN/>
              <w:bidi w:val="0"/>
              <w:adjustRightInd/>
              <w:snapToGrid/>
              <w:spacing w:after="80"/>
              <w:jc w:val="left"/>
              <w:textAlignment w:val="auto"/>
              <w:rPr>
                <w:rFonts w:hint="eastAsia" w:ascii="宋体" w:hAnsi="宋体" w:eastAsia="宋体" w:cs="宋体"/>
                <w:b/>
                <w:sz w:val="21"/>
                <w:szCs w:val="21"/>
              </w:rPr>
            </w:pPr>
            <w:r>
              <w:rPr>
                <w:rFonts w:hint="eastAsia" w:ascii="宋体" w:hAnsi="宋体" w:eastAsia="宋体" w:cs="宋体"/>
                <w:b/>
                <w:sz w:val="21"/>
                <w:szCs w:val="21"/>
              </w:rPr>
              <w:t>项目方案（项目内容、项目目标、</w:t>
            </w:r>
            <w:r>
              <w:rPr>
                <w:rFonts w:hint="eastAsia" w:ascii="宋体" w:hAnsi="宋体" w:eastAsia="宋体" w:cs="宋体"/>
                <w:b/>
                <w:color w:val="auto"/>
                <w:sz w:val="21"/>
                <w:szCs w:val="21"/>
              </w:rPr>
              <w:t>技术路线、实验方案</w:t>
            </w:r>
            <w:r>
              <w:rPr>
                <w:rFonts w:hint="eastAsia" w:ascii="宋体" w:hAnsi="宋体" w:eastAsia="宋体" w:cs="宋体"/>
                <w:b/>
                <w:sz w:val="21"/>
                <w:szCs w:val="21"/>
              </w:rPr>
              <w:t>、要解决的主要问题）</w:t>
            </w:r>
          </w:p>
          <w:p w14:paraId="595145DD">
            <w:pPr>
              <w:spacing w:after="80"/>
              <w:ind w:firstLine="0"/>
              <w:jc w:val="left"/>
              <w:outlineLvl w:val="1"/>
              <w:rPr>
                <w:rFonts w:hint="eastAsia" w:eastAsia="宋体"/>
                <w:lang w:eastAsia="zh-CN"/>
              </w:rPr>
            </w:pPr>
            <w:r>
              <w:rPr>
                <w:rFonts w:ascii="Times New Roman" w:hAnsi="Times New Roman" w:eastAsia="宋体"/>
                <w:b/>
                <w:sz w:val="21"/>
              </w:rPr>
              <w:t>3.1. 项目内容</w:t>
            </w:r>
          </w:p>
          <w:p w14:paraId="5CC36414">
            <w:pPr>
              <w:spacing w:after="80"/>
              <w:ind w:firstLine="0"/>
              <w:jc w:val="left"/>
              <w:outlineLvl w:val="2"/>
            </w:pPr>
            <w:r>
              <w:rPr>
                <w:rFonts w:ascii="Times New Roman" w:hAnsi="Times New Roman" w:eastAsia="宋体"/>
                <w:b/>
                <w:sz w:val="21"/>
              </w:rPr>
              <w:t>3.1.1. 研究对象与监测对象</w:t>
            </w:r>
          </w:p>
          <w:p w14:paraId="339C12CC">
            <w:pPr>
              <w:spacing w:after="80"/>
              <w:ind w:firstLine="420"/>
              <w:jc w:val="both"/>
            </w:pPr>
            <w:r>
              <w:rPr>
                <w:rFonts w:ascii="Times New Roman" w:hAnsi="Times New Roman" w:eastAsia="宋体"/>
                <w:b w:val="0"/>
                <w:sz w:val="21"/>
              </w:rPr>
              <w:t>本项目服务于南疆规模化棉田膜下滴灌管网，重点观察轮灌支管及下游配水单元的水力变化。管网按干管—支管—毛管分层，支管从干管接水并向毛管配水，毛管通常为带灌水器的滴灌带；</w:t>
            </w:r>
            <w:r>
              <w:rPr>
                <w:rFonts w:hint="eastAsia"/>
                <w:b w:val="0"/>
                <w:sz w:val="21"/>
                <w:lang w:val="en-US" w:eastAsia="zh-CN"/>
              </w:rPr>
              <w:t>由于</w:t>
            </w:r>
            <w:r>
              <w:rPr>
                <w:rFonts w:ascii="Times New Roman" w:hAnsi="Times New Roman" w:eastAsia="宋体"/>
                <w:b w:val="0"/>
                <w:sz w:val="21"/>
              </w:rPr>
              <w:t>支管运行受上游供压状态与下游出流结构影响，</w:t>
            </w:r>
            <w:r>
              <w:rPr>
                <w:rFonts w:hint="eastAsia"/>
                <w:b w:val="0"/>
                <w:sz w:val="21"/>
                <w:lang w:val="en-US" w:eastAsia="zh-CN"/>
              </w:rPr>
              <w:t>因此</w:t>
            </w:r>
            <w:r>
              <w:rPr>
                <w:rFonts w:ascii="Times New Roman" w:hAnsi="Times New Roman" w:eastAsia="宋体"/>
                <w:b w:val="0"/>
                <w:sz w:val="21"/>
              </w:rPr>
              <w:t>监测需同时覆盖上下游的水力变化。本项目以支管为监测对象，研制集双压力—流量感知、早期异常诊断、LoRa通信与巡检管理于一体的物联网原型系统，并通过清水台架完成方法验证。</w:t>
            </w:r>
          </w:p>
          <w:p w14:paraId="4098CEBA">
            <w:pPr>
              <w:spacing w:after="80"/>
              <w:ind w:firstLine="420"/>
              <w:jc w:val="both"/>
            </w:pPr>
            <w:r>
              <w:rPr>
                <w:rFonts w:ascii="Times New Roman" w:hAnsi="Times New Roman" w:eastAsia="宋体"/>
                <w:b w:val="0"/>
                <w:sz w:val="21"/>
              </w:rPr>
              <w:t>研究围绕接头或管路泄漏、两压力测点之间的局部过流受限两类异常展开。上游供压调整、正常轮灌切换、邻支路负载变化与下游出流结构变化都可能形成与故障相似的观测，因此</w:t>
            </w:r>
            <w:r>
              <w:rPr>
                <w:rFonts w:hint="eastAsia"/>
                <w:b w:val="0"/>
                <w:sz w:val="21"/>
                <w:lang w:val="en-US" w:eastAsia="zh-CN"/>
              </w:rPr>
              <w:t>我们</w:t>
            </w:r>
            <w:r>
              <w:rPr>
                <w:rFonts w:ascii="Times New Roman" w:hAnsi="Times New Roman" w:eastAsia="宋体"/>
                <w:b w:val="0"/>
                <w:sz w:val="21"/>
              </w:rPr>
              <w:t>将供压调整、正常轮灌切换与负载变化列为对照工况，并将邻支路开关与上游供压变化作为影响被测支管判据的主要扰动来源。</w:t>
            </w:r>
          </w:p>
          <w:p w14:paraId="24F483BC">
            <w:pPr>
              <w:spacing w:after="80"/>
              <w:ind w:firstLine="0"/>
              <w:jc w:val="left"/>
              <w:outlineLvl w:val="2"/>
            </w:pPr>
            <w:r>
              <w:rPr>
                <w:rFonts w:ascii="Times New Roman" w:hAnsi="Times New Roman" w:eastAsia="宋体"/>
                <w:b/>
                <w:sz w:val="21"/>
              </w:rPr>
              <w:t>3.1.2. 系统组成与研究边界</w:t>
            </w:r>
          </w:p>
          <w:p w14:paraId="0897AF31">
            <w:pPr>
              <w:spacing w:after="80"/>
              <w:ind w:firstLine="420"/>
              <w:jc w:val="both"/>
            </w:pPr>
            <w:r>
              <w:rPr>
                <w:rFonts w:hint="eastAsia"/>
                <w:b w:val="0"/>
                <w:sz w:val="21"/>
                <w:lang w:val="en-US" w:eastAsia="zh-CN"/>
              </w:rPr>
              <w:t>本</w:t>
            </w:r>
            <w:r>
              <w:rPr>
                <w:rFonts w:ascii="Times New Roman" w:hAnsi="Times New Roman" w:eastAsia="宋体"/>
                <w:b w:val="0"/>
                <w:sz w:val="21"/>
              </w:rPr>
              <w:t>系统由感知诊断节点、LoRa接收端和本地巡检平台组成：节点获取压力与流量并完成本地判断，接收端连接计算机，平台呈现趋势并记录维护过程。</w:t>
            </w:r>
            <w:r>
              <w:rPr>
                <w:rFonts w:hint="eastAsia"/>
                <w:b w:val="0"/>
                <w:sz w:val="21"/>
                <w:lang w:val="en-US" w:eastAsia="zh-CN"/>
              </w:rPr>
              <w:t>目前阶段是</w:t>
            </w:r>
            <w:r>
              <w:rPr>
                <w:rFonts w:ascii="Times New Roman" w:hAnsi="Times New Roman" w:eastAsia="宋体"/>
                <w:b w:val="0"/>
                <w:sz w:val="21"/>
              </w:rPr>
              <w:t>建设一个监测节点与A、B双支路清水台架，A支路为被测支管，B支路模拟另一支管；采集</w:t>
            </w:r>
            <w:r>
              <w:rPr>
                <w:rFonts w:hint="eastAsia"/>
                <w:b w:val="0"/>
                <w:sz w:val="21"/>
                <w:lang w:val="en-US" w:eastAsia="zh-CN"/>
              </w:rPr>
              <w:t>要</w:t>
            </w:r>
            <w:r>
              <w:rPr>
                <w:rFonts w:ascii="Times New Roman" w:hAnsi="Times New Roman" w:eastAsia="宋体"/>
                <w:b w:val="0"/>
                <w:sz w:val="21"/>
              </w:rPr>
              <w:t>先验证固定1Hz基线，再比较事件触发策略，</w:t>
            </w:r>
            <w:r>
              <w:rPr>
                <w:rFonts w:hint="eastAsia"/>
                <w:b w:val="0"/>
                <w:sz w:val="21"/>
                <w:lang w:val="en-US" w:eastAsia="zh-CN"/>
              </w:rPr>
              <w:t>最后</w:t>
            </w:r>
            <w:r>
              <w:rPr>
                <w:rFonts w:ascii="Times New Roman" w:hAnsi="Times New Roman" w:eastAsia="宋体"/>
                <w:b w:val="0"/>
                <w:sz w:val="21"/>
              </w:rPr>
              <w:t>控制环节保留软件请求与LED或蜂鸣器演示接口。位置提示</w:t>
            </w:r>
            <w:r>
              <w:rPr>
                <w:rFonts w:hint="eastAsia"/>
                <w:b w:val="0"/>
                <w:sz w:val="21"/>
                <w:lang w:val="en-US" w:eastAsia="zh-CN"/>
              </w:rPr>
              <w:t>则</w:t>
            </w:r>
            <w:r>
              <w:rPr>
                <w:rFonts w:ascii="Times New Roman" w:hAnsi="Times New Roman" w:eastAsia="宋体"/>
                <w:b w:val="0"/>
                <w:sz w:val="21"/>
              </w:rPr>
              <w:t>采用“支管编号—测点区段—建议检查部位”，</w:t>
            </w:r>
            <w:r>
              <w:rPr>
                <w:rFonts w:hint="eastAsia"/>
                <w:b w:val="0"/>
                <w:sz w:val="21"/>
                <w:lang w:val="en-US" w:eastAsia="zh-CN"/>
              </w:rPr>
              <w:t>同时，</w:t>
            </w:r>
            <w:r>
              <w:rPr>
                <w:rFonts w:ascii="Times New Roman" w:hAnsi="Times New Roman" w:eastAsia="宋体"/>
                <w:b w:val="0"/>
                <w:sz w:val="21"/>
              </w:rPr>
              <w:t>设备与支管标识贯穿采集、事件与维护记录。</w:t>
            </w:r>
          </w:p>
          <w:p w14:paraId="380926A7">
            <w:pPr>
              <w:spacing w:after="80"/>
              <w:ind w:firstLine="420"/>
              <w:jc w:val="both"/>
            </w:pPr>
            <w:r>
              <w:rPr>
                <w:rFonts w:hint="eastAsia"/>
                <w:b w:val="0"/>
                <w:sz w:val="21"/>
                <w:lang w:val="en-US" w:eastAsia="zh-CN"/>
              </w:rPr>
              <w:t>目前的实验研究处于双支管模型的实验室检验阶段，重点考察B支路开关与上游供压变化下A支路泄漏与受限判据是否稳健，明确哪些观测能够可靠提示。现场多节点同步关联、共同扰动与局部异常的普适辨识需要首部或干管参照与更多监测点，列入下一阶段研究。</w:t>
            </w:r>
          </w:p>
          <w:p w14:paraId="68C9AAC5">
            <w:pPr>
              <w:spacing w:after="80"/>
              <w:ind w:firstLine="0"/>
              <w:jc w:val="left"/>
              <w:outlineLvl w:val="1"/>
            </w:pPr>
            <w:r>
              <w:rPr>
                <w:rFonts w:ascii="Times New Roman" w:hAnsi="Times New Roman" w:eastAsia="宋体"/>
                <w:b/>
                <w:sz w:val="21"/>
              </w:rPr>
              <w:t>3.2. 项目目标</w:t>
            </w:r>
          </w:p>
          <w:p w14:paraId="1C00D1D4">
            <w:pPr>
              <w:spacing w:after="80"/>
              <w:ind w:firstLine="420"/>
              <w:jc w:val="both"/>
            </w:pPr>
            <w:r>
              <w:rPr>
                <w:rFonts w:ascii="Times New Roman" w:hAnsi="Times New Roman" w:eastAsia="宋体"/>
                <w:b w:val="0"/>
                <w:sz w:val="21"/>
              </w:rPr>
              <w:t>（1）研制1套支管故障诊断物联网原型，包括双压力—流量感知节点、LoRa接收端、双支路清水台架和本地巡检平台，</w:t>
            </w:r>
            <w:r>
              <w:rPr>
                <w:rFonts w:hint="eastAsia"/>
                <w:b w:val="0"/>
                <w:sz w:val="21"/>
                <w:lang w:val="en-US" w:eastAsia="zh-CN"/>
              </w:rPr>
              <w:t>并</w:t>
            </w:r>
            <w:r>
              <w:rPr>
                <w:rFonts w:ascii="Times New Roman" w:hAnsi="Times New Roman" w:eastAsia="宋体"/>
                <w:b w:val="0"/>
                <w:sz w:val="21"/>
              </w:rPr>
              <w:t>完成采集、提示、接收、核查复测与模拟控制流程。</w:t>
            </w:r>
          </w:p>
          <w:p w14:paraId="00358E42">
            <w:pPr>
              <w:spacing w:after="80"/>
              <w:ind w:firstLine="420"/>
              <w:jc w:val="both"/>
            </w:pPr>
            <w:r>
              <w:rPr>
                <w:rFonts w:ascii="Times New Roman" w:hAnsi="Times New Roman" w:eastAsia="宋体"/>
                <w:b w:val="0"/>
                <w:sz w:val="21"/>
              </w:rPr>
              <w:t>（2）实现对渐进泄漏与局部过流受限的早期提示，能够区分正常调节与故障变化；在双支路模型台架上检验邻支路开关与上游供压变化下判据的稳健性，明确判据的适用边界。</w:t>
            </w:r>
          </w:p>
          <w:p w14:paraId="42D2D105">
            <w:pPr>
              <w:spacing w:after="80"/>
              <w:ind w:firstLine="420"/>
              <w:jc w:val="both"/>
            </w:pPr>
            <w:r>
              <w:rPr>
                <w:rFonts w:ascii="Times New Roman" w:hAnsi="Times New Roman" w:eastAsia="宋体"/>
                <w:b w:val="0"/>
                <w:sz w:val="21"/>
              </w:rPr>
              <w:t>（3）力争在标定确认的工作范围内，使10%与15%故障组首次持续候选正确比例达到90%，正常运行确认误报不高于1次/小时，并统计达到15%参照前的有效提示比例。</w:t>
            </w:r>
          </w:p>
          <w:p w14:paraId="6D221A44">
            <w:pPr>
              <w:spacing w:after="80"/>
              <w:ind w:firstLine="420"/>
              <w:jc w:val="both"/>
            </w:pPr>
            <w:r>
              <w:rPr>
                <w:rFonts w:ascii="Times New Roman" w:hAnsi="Times New Roman" w:eastAsia="宋体"/>
                <w:b w:val="0"/>
                <w:sz w:val="21"/>
              </w:rPr>
              <w:t>（4）形成标定、故障、正常调节、扰动与通信对照等原始数据，整理论文稿与软件著作权申请材料。</w:t>
            </w:r>
          </w:p>
          <w:p w14:paraId="20BD46DF">
            <w:pPr>
              <w:spacing w:after="80"/>
              <w:ind w:firstLine="0"/>
              <w:jc w:val="left"/>
              <w:outlineLvl w:val="1"/>
            </w:pPr>
            <w:r>
              <w:rPr>
                <w:rFonts w:ascii="Times New Roman" w:hAnsi="Times New Roman" w:eastAsia="宋体"/>
                <w:b/>
                <w:sz w:val="21"/>
              </w:rPr>
              <w:t>3.3. 技术路线</w:t>
            </w:r>
          </w:p>
          <w:p w14:paraId="52F5A861">
            <w:pPr>
              <w:spacing w:after="80"/>
              <w:ind w:firstLine="420"/>
              <w:jc w:val="both"/>
            </w:pPr>
            <w:r>
              <w:rPr>
                <w:rFonts w:hint="eastAsia"/>
                <w:b w:val="0"/>
                <w:sz w:val="21"/>
                <w:lang w:val="en-US" w:eastAsia="zh-CN"/>
              </w:rPr>
              <w:t>项目的</w:t>
            </w:r>
            <w:r>
              <w:rPr>
                <w:rFonts w:ascii="Times New Roman" w:hAnsi="Times New Roman" w:eastAsia="宋体"/>
                <w:b w:val="0"/>
                <w:sz w:val="21"/>
              </w:rPr>
              <w:t>技术路线</w:t>
            </w:r>
            <w:r>
              <w:rPr>
                <w:rFonts w:hint="eastAsia"/>
                <w:b w:val="0"/>
                <w:sz w:val="21"/>
                <w:lang w:val="en-US" w:eastAsia="zh-CN"/>
              </w:rPr>
              <w:t>以</w:t>
            </w:r>
            <w:r>
              <w:rPr>
                <w:rFonts w:ascii="Times New Roman" w:hAnsi="Times New Roman" w:eastAsia="宋体"/>
                <w:b w:val="0"/>
                <w:sz w:val="21"/>
              </w:rPr>
              <w:t>“测量—判断—传输—展示与核查”</w:t>
            </w:r>
            <w:r>
              <w:rPr>
                <w:rFonts w:hint="eastAsia"/>
                <w:b w:val="0"/>
                <w:sz w:val="21"/>
                <w:lang w:val="en-US" w:eastAsia="zh-CN"/>
              </w:rPr>
              <w:t>为</w:t>
            </w:r>
            <w:r>
              <w:rPr>
                <w:rFonts w:ascii="Times New Roman" w:hAnsi="Times New Roman" w:eastAsia="宋体"/>
                <w:b w:val="0"/>
                <w:sz w:val="21"/>
              </w:rPr>
              <w:t>主线组织，分总体设计、硬件模块设计、测量平台与水力模型、软件模块设计四个部分展开：硬件部分把感知与判断所需的物理接口从传感器闭合到主控引脚；测量平台部分建立测点在水路中的位置与可用的水力关系；软件部分完成判断、上报与核查的闭环。各模块独立标定、逐级联调，最后在双支路台架上完成模型</w:t>
            </w:r>
            <w:r>
              <w:rPr>
                <w:rFonts w:hint="eastAsia"/>
                <w:b w:val="0"/>
                <w:sz w:val="21"/>
                <w:lang w:val="en-US" w:eastAsia="zh-CN"/>
              </w:rPr>
              <w:t>的</w:t>
            </w:r>
            <w:r>
              <w:rPr>
                <w:rFonts w:ascii="Times New Roman" w:hAnsi="Times New Roman" w:eastAsia="宋体"/>
                <w:b w:val="0"/>
                <w:sz w:val="21"/>
              </w:rPr>
              <w:t>实验室检验。</w:t>
            </w:r>
          </w:p>
          <w:p w14:paraId="01BF1592">
            <w:pPr>
              <w:spacing w:after="80"/>
              <w:ind w:firstLine="0"/>
              <w:jc w:val="left"/>
              <w:outlineLvl w:val="2"/>
            </w:pPr>
            <w:r>
              <w:rPr>
                <w:rFonts w:ascii="Times New Roman" w:hAnsi="Times New Roman" w:eastAsia="宋体"/>
                <w:b/>
                <w:sz w:val="21"/>
              </w:rPr>
              <w:t>3.3.1. 总体设计</w:t>
            </w:r>
          </w:p>
          <w:p w14:paraId="792D877D">
            <w:pPr>
              <w:spacing w:after="80"/>
              <w:ind w:firstLine="420"/>
              <w:jc w:val="both"/>
            </w:pPr>
            <w:r>
              <w:rPr>
                <w:rFonts w:ascii="Times New Roman" w:hAnsi="Times New Roman" w:eastAsia="宋体"/>
                <w:b w:val="0"/>
                <w:sz w:val="21"/>
              </w:rPr>
              <w:t>系统总体结构</w:t>
            </w:r>
            <w:r>
              <w:rPr>
                <w:rFonts w:hint="eastAsia" w:ascii="Times New Roman" w:hAnsi="Times New Roman"/>
                <w:b w:val="0"/>
                <w:sz w:val="21"/>
                <w:lang w:val="en-US" w:eastAsia="zh-CN"/>
              </w:rPr>
              <w:t>如图3-1所示，其</w:t>
            </w:r>
            <w:r>
              <w:rPr>
                <w:rFonts w:ascii="Times New Roman" w:hAnsi="Times New Roman" w:eastAsia="宋体"/>
                <w:b w:val="0"/>
                <w:sz w:val="21"/>
              </w:rPr>
              <w:t>由感知诊断节点、LoRa接收端、本地巡检平台和双支路清水台架四部分组成，信息流为：节点采集P0、P1两路压力与一路脉冲流量，在本地计算特征并作有限判断；</w:t>
            </w:r>
            <w:r>
              <w:rPr>
                <w:rFonts w:hint="eastAsia"/>
                <w:b w:val="0"/>
                <w:sz w:val="21"/>
                <w:lang w:val="en-US" w:eastAsia="zh-CN"/>
              </w:rPr>
              <w:t>有</w:t>
            </w:r>
            <w:r>
              <w:rPr>
                <w:rFonts w:ascii="Times New Roman" w:hAnsi="Times New Roman" w:eastAsia="宋体"/>
                <w:b w:val="0"/>
                <w:sz w:val="21"/>
              </w:rPr>
              <w:t>异常事件</w:t>
            </w:r>
            <w:r>
              <w:rPr>
                <w:rFonts w:hint="eastAsia"/>
                <w:b w:val="0"/>
                <w:sz w:val="21"/>
                <w:lang w:val="en-US" w:eastAsia="zh-CN"/>
              </w:rPr>
              <w:t>则</w:t>
            </w:r>
            <w:r>
              <w:rPr>
                <w:rFonts w:ascii="Times New Roman" w:hAnsi="Times New Roman" w:eastAsia="宋体"/>
                <w:b w:val="0"/>
                <w:sz w:val="21"/>
              </w:rPr>
              <w:t>经LoRa上报；</w:t>
            </w:r>
            <w:r>
              <w:rPr>
                <w:rFonts w:hint="eastAsia"/>
                <w:b w:val="0"/>
                <w:sz w:val="21"/>
                <w:lang w:val="en-US" w:eastAsia="zh-CN"/>
              </w:rPr>
              <w:t>再</w:t>
            </w:r>
            <w:r>
              <w:rPr>
                <w:rFonts w:ascii="Times New Roman" w:hAnsi="Times New Roman" w:eastAsia="宋体"/>
                <w:b w:val="0"/>
                <w:sz w:val="21"/>
              </w:rPr>
              <w:t>接收服务校验、去重并写入数据库后回复确认；</w:t>
            </w:r>
            <w:r>
              <w:rPr>
                <w:rFonts w:hint="eastAsia"/>
                <w:b w:val="0"/>
                <w:sz w:val="21"/>
                <w:lang w:val="en-US" w:eastAsia="zh-CN"/>
              </w:rPr>
              <w:t>最后</w:t>
            </w:r>
            <w:r>
              <w:rPr>
                <w:rFonts w:ascii="Times New Roman" w:hAnsi="Times New Roman" w:eastAsia="宋体"/>
                <w:b w:val="0"/>
                <w:sz w:val="21"/>
              </w:rPr>
              <w:t>平台呈现状态并记录人工核查与复测。节点侧硬件为STM32F103C8T6主控、两路4—20mA压力变送器、ADS1115模数转换模块、SEN0549流量计、microSD日志模块和E220-400T22D无线模块；接收侧</w:t>
            </w:r>
            <w:r>
              <w:rPr>
                <w:rFonts w:hint="eastAsia"/>
                <w:b w:val="0"/>
                <w:sz w:val="21"/>
                <w:lang w:val="en-US" w:eastAsia="zh-CN"/>
              </w:rPr>
              <w:t>则</w:t>
            </w:r>
            <w:r>
              <w:rPr>
                <w:rFonts w:ascii="Times New Roman" w:hAnsi="Times New Roman" w:eastAsia="宋体"/>
                <w:b w:val="0"/>
                <w:sz w:val="21"/>
              </w:rPr>
              <w:t>为一只无线模块、一只3.3V逻辑USB-TTL转换器和计算机；台架侧为A、B双支路PVC-U水路与独立收集装置。</w:t>
            </w:r>
          </w:p>
          <w:p w14:paraId="2806BDF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34000" cy="2853690"/>
                  <wp:effectExtent l="0" t="0" r="0" b="3810"/>
                  <wp:docPr id="4" name="图片 1" descr="图1 系统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1 系统总体结构"/>
                          <pic:cNvPicPr>
                            <a:picLocks noChangeAspect="1"/>
                          </pic:cNvPicPr>
                        </pic:nvPicPr>
                        <pic:blipFill>
                          <a:blip r:embed="rId6"/>
                          <a:stretch>
                            <a:fillRect/>
                          </a:stretch>
                        </pic:blipFill>
                        <pic:spPr>
                          <a:xfrm>
                            <a:off x="0" y="0"/>
                            <a:ext cx="5334000" cy="2853690"/>
                          </a:xfrm>
                          <a:prstGeom prst="rect">
                            <a:avLst/>
                          </a:prstGeom>
                          <a:noFill/>
                          <a:ln>
                            <a:noFill/>
                          </a:ln>
                        </pic:spPr>
                      </pic:pic>
                    </a:graphicData>
                  </a:graphic>
                </wp:inline>
              </w:drawing>
            </w:r>
          </w:p>
          <w:p w14:paraId="7D6A1C4F">
            <w:pPr>
              <w:spacing w:after="120"/>
              <w:ind w:firstLine="0"/>
              <w:jc w:val="center"/>
            </w:pPr>
            <w:r>
              <w:rPr>
                <w:rFonts w:ascii="Times New Roman" w:hAnsi="Times New Roman" w:eastAsia="宋体"/>
                <w:b w:val="0"/>
                <w:sz w:val="21"/>
              </w:rPr>
              <w:t>图3-1 系统总体结构</w:t>
            </w:r>
          </w:p>
          <w:p w14:paraId="763D9496">
            <w:pPr>
              <w:spacing w:after="80"/>
              <w:ind w:firstLine="0"/>
              <w:jc w:val="left"/>
              <w:outlineLvl w:val="2"/>
            </w:pPr>
            <w:r>
              <w:rPr>
                <w:rFonts w:ascii="Times New Roman" w:hAnsi="Times New Roman" w:eastAsia="宋体"/>
                <w:b/>
                <w:sz w:val="21"/>
              </w:rPr>
              <w:t>3.3.2. 硬件模块设计</w:t>
            </w:r>
          </w:p>
          <w:p w14:paraId="6F98EC82">
            <w:pPr>
              <w:pStyle w:val="3"/>
              <w:bidi w:val="0"/>
            </w:pPr>
            <w:r>
              <w:t>（1）主控模块（STM32F103C8T6）</w:t>
            </w:r>
          </w:p>
          <w:p w14:paraId="0737CCE3">
            <w:pPr>
              <w:spacing w:after="80"/>
              <w:ind w:firstLine="420"/>
              <w:jc w:val="both"/>
            </w:pPr>
            <w:r>
              <w:rPr>
                <w:rFonts w:ascii="Times New Roman" w:hAnsi="Times New Roman" w:eastAsia="宋体"/>
                <w:b w:val="0"/>
                <w:sz w:val="21"/>
              </w:rPr>
              <w:t>节点的采集、本地判断与缓存功能</w:t>
            </w:r>
            <w:r>
              <w:rPr>
                <w:rFonts w:hint="eastAsia"/>
                <w:b w:val="0"/>
                <w:sz w:val="21"/>
                <w:lang w:val="en-US" w:eastAsia="zh-CN"/>
              </w:rPr>
              <w:t>都</w:t>
            </w:r>
            <w:r>
              <w:rPr>
                <w:rFonts w:ascii="Times New Roman" w:hAnsi="Times New Roman" w:eastAsia="宋体"/>
                <w:b w:val="0"/>
                <w:sz w:val="21"/>
              </w:rPr>
              <w:t>由主控承担。本</w:t>
            </w:r>
            <w:r>
              <w:rPr>
                <w:rFonts w:hint="eastAsia"/>
                <w:b w:val="0"/>
                <w:sz w:val="21"/>
                <w:lang w:val="en-US" w:eastAsia="zh-CN"/>
              </w:rPr>
              <w:t>项目</w:t>
            </w:r>
            <w:r>
              <w:rPr>
                <w:rFonts w:ascii="Times New Roman" w:hAnsi="Times New Roman" w:eastAsia="宋体"/>
                <w:b w:val="0"/>
                <w:sz w:val="21"/>
              </w:rPr>
              <w:t>设计选用STM32F103C8T6最小系统板，片上</w:t>
            </w:r>
            <w:r>
              <w:rPr>
                <w:rFonts w:hint="eastAsia"/>
                <w:b w:val="0"/>
                <w:sz w:val="21"/>
                <w:lang w:val="en-US" w:eastAsia="zh-CN"/>
              </w:rPr>
              <w:t>包含</w:t>
            </w:r>
            <w:r>
              <w:rPr>
                <w:rFonts w:ascii="Times New Roman" w:hAnsi="Times New Roman" w:eastAsia="宋体"/>
                <w:b w:val="0"/>
                <w:sz w:val="21"/>
              </w:rPr>
              <w:t>64KB Flash、20KB SRAM，可容纳采集程序、诊断内核与日志缓存。</w:t>
            </w:r>
            <w:r>
              <w:rPr>
                <w:rFonts w:hint="eastAsia"/>
                <w:b w:val="0"/>
                <w:sz w:val="21"/>
                <w:lang w:val="en-US" w:eastAsia="zh-CN"/>
              </w:rPr>
              <w:t>而</w:t>
            </w:r>
            <w:r>
              <w:rPr>
                <w:rFonts w:ascii="Times New Roman" w:hAnsi="Times New Roman" w:eastAsia="宋体"/>
                <w:b w:val="0"/>
                <w:sz w:val="21"/>
              </w:rPr>
              <w:t>主控的片内资源</w:t>
            </w:r>
            <w:r>
              <w:rPr>
                <w:rFonts w:hint="eastAsia"/>
                <w:b w:val="0"/>
                <w:sz w:val="21"/>
                <w:lang w:val="en-US" w:eastAsia="zh-CN"/>
              </w:rPr>
              <w:t>正对应</w:t>
            </w:r>
            <w:r>
              <w:rPr>
                <w:rFonts w:ascii="Times New Roman" w:hAnsi="Times New Roman" w:eastAsia="宋体"/>
                <w:b w:val="0"/>
                <w:sz w:val="21"/>
              </w:rPr>
              <w:t>本项目</w:t>
            </w:r>
            <w:r>
              <w:rPr>
                <w:rFonts w:hint="eastAsia"/>
                <w:b w:val="0"/>
                <w:sz w:val="21"/>
                <w:lang w:val="en-US" w:eastAsia="zh-CN"/>
              </w:rPr>
              <w:t>所用</w:t>
            </w:r>
            <w:r>
              <w:rPr>
                <w:rFonts w:ascii="Times New Roman" w:hAnsi="Times New Roman" w:eastAsia="宋体"/>
                <w:b w:val="0"/>
                <w:sz w:val="21"/>
              </w:rPr>
              <w:t>的四类外设：I²C1用于模数转换，TIM2用于脉冲计数，USART1用于无线通信，SPI1用于存储，</w:t>
            </w:r>
            <w:r>
              <w:rPr>
                <w:rFonts w:hint="eastAsia"/>
                <w:b w:val="0"/>
                <w:sz w:val="21"/>
                <w:lang w:val="en-US" w:eastAsia="zh-CN"/>
              </w:rPr>
              <w:t>同时还预</w:t>
            </w:r>
            <w:r>
              <w:rPr>
                <w:rFonts w:ascii="Times New Roman" w:hAnsi="Times New Roman" w:eastAsia="宋体"/>
                <w:b w:val="0"/>
                <w:sz w:val="21"/>
              </w:rPr>
              <w:t>留</w:t>
            </w:r>
            <w:r>
              <w:rPr>
                <w:rFonts w:hint="eastAsia"/>
                <w:b w:val="0"/>
                <w:sz w:val="21"/>
                <w:lang w:val="en-US" w:eastAsia="zh-CN"/>
              </w:rPr>
              <w:t>有</w:t>
            </w:r>
            <w:r>
              <w:rPr>
                <w:rFonts w:ascii="Times New Roman" w:hAnsi="Times New Roman" w:eastAsia="宋体"/>
                <w:b w:val="0"/>
                <w:sz w:val="21"/>
              </w:rPr>
              <w:t>调试与下载接口。</w:t>
            </w:r>
          </w:p>
          <w:p w14:paraId="7D296781">
            <w:pPr>
              <w:spacing w:after="80"/>
              <w:ind w:firstLine="420"/>
              <w:jc w:val="both"/>
              <w:rPr>
                <w:rFonts w:ascii="Times New Roman" w:hAnsi="Times New Roman" w:eastAsia="宋体"/>
                <w:b w:val="0"/>
                <w:sz w:val="21"/>
              </w:rPr>
            </w:pPr>
            <w:r>
              <w:rPr>
                <w:rFonts w:hint="eastAsia"/>
                <w:b w:val="0"/>
                <w:sz w:val="21"/>
                <w:lang w:val="en-US" w:eastAsia="zh-CN"/>
              </w:rPr>
              <w:t>其原理图如图3-2所示，</w:t>
            </w:r>
            <w:r>
              <w:rPr>
                <w:rFonts w:ascii="Times New Roman" w:hAnsi="Times New Roman" w:eastAsia="宋体"/>
                <w:b w:val="0"/>
                <w:sz w:val="21"/>
              </w:rPr>
              <w:t>引脚按17路分配且无重复：PB6、PB7为I²C1的SCL与SDA，接模数转换模块；PA0为TIM2_CH1，接流量缓冲器输出作脉冲计数；PA9、PA10为USART1，交叉接无线模块的RXD与TXD；PA4—PA7为SPI1，分别作microSD的片选、时钟、主入从出与主出从入，片选</w:t>
            </w:r>
            <w:r>
              <w:rPr>
                <w:rFonts w:hint="eastAsia"/>
                <w:b w:val="0"/>
                <w:sz w:val="21"/>
                <w:lang w:val="en-US" w:eastAsia="zh-CN"/>
              </w:rPr>
              <w:t>信号</w:t>
            </w:r>
            <w:r>
              <w:rPr>
                <w:rFonts w:ascii="Times New Roman" w:hAnsi="Times New Roman" w:eastAsia="宋体"/>
                <w:b w:val="0"/>
                <w:sz w:val="21"/>
              </w:rPr>
              <w:t>按普通GPIO</w:t>
            </w:r>
            <w:r>
              <w:rPr>
                <w:rFonts w:hint="eastAsia"/>
                <w:b w:val="0"/>
                <w:sz w:val="21"/>
                <w:lang w:val="en-US" w:eastAsia="zh-CN"/>
              </w:rPr>
              <w:t>方式进行</w:t>
            </w:r>
            <w:r>
              <w:rPr>
                <w:rFonts w:ascii="Times New Roman" w:hAnsi="Times New Roman" w:eastAsia="宋体"/>
                <w:b w:val="0"/>
                <w:sz w:val="21"/>
              </w:rPr>
              <w:t>控制；PB10、PB11接无线模块的M0、M1并候选10kΩ下拉，使模块上电即进入透明传输；PB0接模块AUX，仅作本地缓冲状态指示；PA2、PA3</w:t>
            </w:r>
            <w:r>
              <w:rPr>
                <w:rFonts w:hint="eastAsia"/>
                <w:b w:val="0"/>
                <w:sz w:val="21"/>
                <w:lang w:val="en-US" w:eastAsia="zh-CN"/>
              </w:rPr>
              <w:t>预</w:t>
            </w:r>
            <w:r>
              <w:rPr>
                <w:rFonts w:ascii="Times New Roman" w:hAnsi="Times New Roman" w:eastAsia="宋体"/>
                <w:b w:val="0"/>
                <w:sz w:val="21"/>
              </w:rPr>
              <w:t>留作临时调试串口；PA13、PA14</w:t>
            </w:r>
            <w:r>
              <w:rPr>
                <w:rFonts w:hint="eastAsia"/>
                <w:b w:val="0"/>
                <w:sz w:val="21"/>
                <w:lang w:val="en-US" w:eastAsia="zh-CN"/>
              </w:rPr>
              <w:t>则用作</w:t>
            </w:r>
            <w:r>
              <w:rPr>
                <w:rFonts w:ascii="Times New Roman" w:hAnsi="Times New Roman" w:eastAsia="宋体"/>
                <w:b w:val="0"/>
                <w:sz w:val="21"/>
              </w:rPr>
              <w:t>保留SWD下载与诊断；</w:t>
            </w:r>
            <w:r>
              <w:rPr>
                <w:rFonts w:hint="eastAsia"/>
                <w:b w:val="0"/>
                <w:sz w:val="21"/>
                <w:lang w:val="en-US" w:eastAsia="zh-CN"/>
              </w:rPr>
              <w:t>最后</w:t>
            </w:r>
            <w:r>
              <w:rPr>
                <w:rFonts w:ascii="Times New Roman" w:hAnsi="Times New Roman" w:eastAsia="宋体"/>
                <w:b w:val="0"/>
                <w:sz w:val="21"/>
              </w:rPr>
              <w:t>PB1作</w:t>
            </w:r>
            <w:r>
              <w:rPr>
                <w:rFonts w:hint="eastAsia"/>
                <w:b w:val="0"/>
                <w:sz w:val="21"/>
                <w:lang w:val="en-US" w:eastAsia="zh-CN"/>
              </w:rPr>
              <w:t>为</w:t>
            </w:r>
            <w:r>
              <w:rPr>
                <w:rFonts w:ascii="Times New Roman" w:hAnsi="Times New Roman" w:eastAsia="宋体"/>
                <w:b w:val="0"/>
                <w:sz w:val="21"/>
              </w:rPr>
              <w:t>人工B支路操作标记输入。</w:t>
            </w:r>
          </w:p>
          <w:p w14:paraId="064473C8">
            <w:pPr>
              <w:spacing w:after="80"/>
              <w:ind w:firstLine="420"/>
              <w:jc w:val="center"/>
              <w:rPr>
                <w:rFonts w:hint="default" w:ascii="Times New Roman" w:hAnsi="Times New Roman" w:eastAsia="宋体"/>
                <w:b w:val="0"/>
                <w:sz w:val="21"/>
                <w:lang w:val="en-US" w:eastAsia="zh-CN"/>
              </w:rPr>
            </w:pPr>
            <w:r>
              <w:rPr>
                <w:rFonts w:hint="default" w:ascii="Times New Roman" w:hAnsi="Times New Roman" w:eastAsia="宋体"/>
                <w:b w:val="0"/>
                <w:sz w:val="21"/>
                <w:lang w:val="en-US" w:eastAsia="zh-CN"/>
              </w:rPr>
              <w:drawing>
                <wp:inline distT="0" distB="0" distL="114300" distR="114300">
                  <wp:extent cx="2397760" cy="2188845"/>
                  <wp:effectExtent l="0" t="0" r="9525" b="2540"/>
                  <wp:docPr id="14" name="图片 14"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 1"/>
                          <pic:cNvPicPr>
                            <a:picLocks noChangeAspect="1"/>
                          </pic:cNvPicPr>
                        </pic:nvPicPr>
                        <pic:blipFill>
                          <a:blip r:embed="rId7"/>
                          <a:srcRect l="30679" t="24835" r="23893" b="13535"/>
                          <a:stretch>
                            <a:fillRect/>
                          </a:stretch>
                        </pic:blipFill>
                        <pic:spPr>
                          <a:xfrm>
                            <a:off x="0" y="0"/>
                            <a:ext cx="2397760" cy="2188845"/>
                          </a:xfrm>
                          <a:prstGeom prst="rect">
                            <a:avLst/>
                          </a:prstGeom>
                        </pic:spPr>
                      </pic:pic>
                    </a:graphicData>
                  </a:graphic>
                </wp:inline>
              </w:drawing>
            </w:r>
          </w:p>
          <w:p w14:paraId="4379CED7">
            <w:pPr>
              <w:spacing w:before="80" w:after="120"/>
              <w:ind w:firstLine="0"/>
              <w:jc w:val="center"/>
              <w:rPr>
                <w:rFonts w:hint="eastAsia" w:ascii="宋体" w:hAnsi="宋体" w:eastAsia="宋体" w:cs="宋体"/>
                <w:b w:val="0"/>
                <w:bCs/>
              </w:rPr>
            </w:pPr>
            <w:r>
              <w:rPr>
                <w:rFonts w:hint="eastAsia" w:ascii="宋体" w:hAnsi="宋体" w:eastAsia="宋体" w:cs="宋体"/>
                <w:b w:val="0"/>
                <w:bCs/>
                <w:sz w:val="21"/>
                <w:lang w:val="en-US" w:eastAsia="zh-CN"/>
              </w:rPr>
              <w:t xml:space="preserve">图3-2 </w:t>
            </w:r>
            <w:r>
              <w:rPr>
                <w:rFonts w:hint="eastAsia" w:ascii="宋体" w:hAnsi="宋体" w:eastAsia="宋体" w:cs="宋体"/>
                <w:b w:val="0"/>
                <w:bCs/>
                <w:sz w:val="21"/>
              </w:rPr>
              <w:t>STM32F103C8T6最小系统板</w:t>
            </w:r>
            <w:r>
              <w:rPr>
                <w:rFonts w:hint="eastAsia" w:ascii="宋体" w:hAnsi="宋体" w:cs="宋体"/>
                <w:b w:val="0"/>
                <w:bCs/>
                <w:sz w:val="21"/>
                <w:lang w:val="en-US" w:eastAsia="zh-CN"/>
              </w:rPr>
              <w:t>原理</w:t>
            </w:r>
            <w:r>
              <w:rPr>
                <w:rFonts w:hint="eastAsia" w:ascii="宋体" w:hAnsi="宋体" w:eastAsia="宋体" w:cs="宋体"/>
                <w:b w:val="0"/>
                <w:bCs/>
                <w:sz w:val="21"/>
              </w:rPr>
              <w:t>图</w:t>
            </w:r>
          </w:p>
          <w:p w14:paraId="7EE86CA0">
            <w:pPr>
              <w:pStyle w:val="3"/>
              <w:bidi w:val="0"/>
            </w:pPr>
            <w:r>
              <w:t>（2）压力变送器与采样回路（MPM489＋150Ω）</w:t>
            </w:r>
          </w:p>
          <w:p w14:paraId="6D5B8572">
            <w:pPr>
              <w:spacing w:after="80"/>
              <w:ind w:firstLine="420"/>
              <w:jc w:val="both"/>
              <w:rPr>
                <w:rFonts w:hint="eastAsia" w:eastAsia="宋体"/>
                <w:lang w:eastAsia="zh-CN"/>
              </w:rPr>
            </w:pPr>
            <w:r>
              <w:rPr>
                <w:rFonts w:ascii="Times New Roman" w:hAnsi="Times New Roman" w:eastAsia="宋体"/>
                <w:b w:val="0"/>
                <w:sz w:val="21"/>
              </w:rPr>
              <w:t>判据的第一路输入是压力，其测量链由压力变送器、24V供电回路与取样电阻构成。本</w:t>
            </w:r>
            <w:r>
              <w:rPr>
                <w:rFonts w:hint="eastAsia"/>
                <w:b w:val="0"/>
                <w:sz w:val="21"/>
                <w:lang w:val="en-US" w:eastAsia="zh-CN"/>
              </w:rPr>
              <w:t>项目</w:t>
            </w:r>
            <w:r>
              <w:rPr>
                <w:rFonts w:ascii="Times New Roman" w:hAnsi="Times New Roman" w:eastAsia="宋体"/>
                <w:b w:val="0"/>
                <w:sz w:val="21"/>
              </w:rPr>
              <w:t>设计选用K200、G表压、0—200kPa、两线制4—20mA、A1级或供方书面确认的±0.25%FS等级</w:t>
            </w:r>
            <w:r>
              <w:rPr>
                <w:rFonts w:hint="eastAsia" w:ascii="Times New Roman" w:hAnsi="Times New Roman"/>
                <w:b w:val="0"/>
                <w:sz w:val="21"/>
                <w:lang w:val="en-US" w:eastAsia="zh-CN"/>
              </w:rPr>
              <w:t>的</w:t>
            </w:r>
            <w:r>
              <w:rPr>
                <w:rFonts w:ascii="Times New Roman" w:hAnsi="Times New Roman" w:eastAsia="宋体"/>
                <w:b w:val="0"/>
                <w:sz w:val="21"/>
              </w:rPr>
              <w:t>MPM489系列压力变送器（</w:t>
            </w:r>
            <w:r>
              <w:rPr>
                <w:rFonts w:hint="eastAsia"/>
                <w:b w:val="0"/>
                <w:sz w:val="21"/>
                <w:lang w:val="en-US" w:eastAsia="zh-CN"/>
              </w:rPr>
              <w:t>即</w:t>
            </w:r>
            <w:r>
              <w:rPr>
                <w:rFonts w:ascii="Times New Roman" w:hAnsi="Times New Roman" w:eastAsia="宋体"/>
                <w:b w:val="0"/>
                <w:sz w:val="21"/>
              </w:rPr>
              <w:t>麦克传感器）</w:t>
            </w:r>
            <w:r>
              <w:rPr>
                <w:rFonts w:hint="eastAsia"/>
                <w:b w:val="0"/>
                <w:sz w:val="21"/>
                <w:lang w:eastAsia="zh-CN"/>
              </w:rPr>
              <w:t>，</w:t>
            </w:r>
            <w:r>
              <w:rPr>
                <w:rFonts w:hint="eastAsia"/>
                <w:b w:val="0"/>
                <w:sz w:val="21"/>
                <w:lang w:val="en-US" w:eastAsia="zh-CN"/>
              </w:rPr>
              <w:t>实物图如图3-3所示</w:t>
            </w:r>
            <w:r>
              <w:rPr>
                <w:rFonts w:hint="eastAsia"/>
                <w:b/>
                <w:sz w:val="21"/>
                <w:lang w:eastAsia="zh-CN"/>
              </w:rPr>
              <w:t>。</w:t>
            </w:r>
          </w:p>
          <w:p w14:paraId="61D7CAA6">
            <w:pPr>
              <w:spacing w:after="80"/>
              <w:ind w:firstLine="420"/>
              <w:jc w:val="both"/>
              <w:rPr>
                <w:rFonts w:ascii="Times New Roman" w:hAnsi="Times New Roman" w:eastAsia="宋体"/>
                <w:b w:val="0"/>
                <w:sz w:val="21"/>
              </w:rPr>
            </w:pPr>
            <w:r>
              <w:rPr>
                <w:rFonts w:ascii="Times New Roman" w:hAnsi="Times New Roman" w:eastAsia="宋体"/>
                <w:b w:val="0"/>
                <w:sz w:val="21"/>
              </w:rPr>
              <w:t>两路变送器共用一组24V直流回路，正常电流</w:t>
            </w:r>
            <w:r>
              <w:rPr>
                <w:rFonts w:hint="eastAsia"/>
                <w:b w:val="0"/>
                <w:sz w:val="21"/>
                <w:lang w:val="en-US" w:eastAsia="zh-CN"/>
              </w:rPr>
              <w:t>均</w:t>
            </w:r>
            <w:r>
              <w:rPr>
                <w:rFonts w:ascii="Times New Roman" w:hAnsi="Times New Roman" w:eastAsia="宋体"/>
                <w:b w:val="0"/>
                <w:sz w:val="21"/>
              </w:rPr>
              <w:t>不超过20mA、合计不超过40mA。回路电流经150Ω、0.1%、不低于0.25W的低温漂精密电阻取样，4—20mA对应0.6—3.0V，20mA时电阻耗散0.06W。取样电压经保护与滤波后送入模数转换模块的两个输入通道；</w:t>
            </w:r>
            <w:r>
              <w:rPr>
                <w:rFonts w:hint="eastAsia"/>
                <w:b w:val="0"/>
                <w:sz w:val="21"/>
                <w:lang w:val="en-US" w:eastAsia="zh-CN"/>
              </w:rPr>
              <w:t>而</w:t>
            </w:r>
            <w:r>
              <w:rPr>
                <w:rFonts w:ascii="Times New Roman" w:hAnsi="Times New Roman" w:eastAsia="宋体"/>
                <w:b w:val="0"/>
                <w:sz w:val="21"/>
              </w:rPr>
              <w:t>两个测点</w:t>
            </w:r>
            <w:r>
              <w:rPr>
                <w:rFonts w:hint="eastAsia"/>
                <w:b w:val="0"/>
                <w:sz w:val="21"/>
                <w:lang w:val="en-US" w:eastAsia="zh-CN"/>
              </w:rPr>
              <w:t>则</w:t>
            </w:r>
            <w:r>
              <w:rPr>
                <w:rFonts w:ascii="Times New Roman" w:hAnsi="Times New Roman" w:eastAsia="宋体"/>
                <w:b w:val="0"/>
                <w:sz w:val="21"/>
              </w:rPr>
              <w:t>分别布置在受限元件R的上游（P0）与下游（P1），</w:t>
            </w:r>
            <w:r>
              <w:rPr>
                <w:rFonts w:hint="eastAsia"/>
                <w:b w:val="0"/>
                <w:sz w:val="21"/>
                <w:lang w:val="en-US" w:eastAsia="zh-CN"/>
              </w:rPr>
              <w:t>同时，</w:t>
            </w:r>
            <w:r>
              <w:rPr>
                <w:rFonts w:ascii="Times New Roman" w:hAnsi="Times New Roman" w:eastAsia="宋体"/>
                <w:b w:val="0"/>
                <w:sz w:val="21"/>
              </w:rPr>
              <w:t>取压采用侧向接口，</w:t>
            </w:r>
            <w:r>
              <w:rPr>
                <w:rFonts w:hint="eastAsia"/>
                <w:b w:val="0"/>
                <w:sz w:val="21"/>
                <w:lang w:val="en-US" w:eastAsia="zh-CN"/>
              </w:rPr>
              <w:t>以避免</w:t>
            </w:r>
            <w:r>
              <w:rPr>
                <w:rFonts w:ascii="Times New Roman" w:hAnsi="Times New Roman" w:eastAsia="宋体"/>
                <w:b w:val="0"/>
                <w:sz w:val="21"/>
              </w:rPr>
              <w:t>压力件不串联成为节流件。</w:t>
            </w:r>
          </w:p>
          <w:p w14:paraId="230BB13D">
            <w:pPr>
              <w:spacing w:after="80"/>
              <w:ind w:firstLine="420"/>
              <w:jc w:val="center"/>
              <w:rPr>
                <w:rFonts w:ascii="Times New Roman" w:hAnsi="Times New Roman" w:eastAsia="宋体"/>
                <w:b w:val="0"/>
                <w:sz w:val="21"/>
              </w:rPr>
            </w:pPr>
            <w:r>
              <w:drawing>
                <wp:inline distT="0" distB="0" distL="114300" distR="114300">
                  <wp:extent cx="2046605" cy="1939290"/>
                  <wp:effectExtent l="0" t="0" r="4445" b="38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8"/>
                          <a:stretch>
                            <a:fillRect/>
                          </a:stretch>
                        </pic:blipFill>
                        <pic:spPr>
                          <a:xfrm>
                            <a:off x="0" y="0"/>
                            <a:ext cx="2046605" cy="1939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48180" cy="1951355"/>
                  <wp:effectExtent l="0" t="0" r="5715" b="254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9"/>
                          <a:stretch>
                            <a:fillRect/>
                          </a:stretch>
                        </pic:blipFill>
                        <pic:spPr>
                          <a:xfrm>
                            <a:off x="0" y="0"/>
                            <a:ext cx="1948180" cy="1951355"/>
                          </a:xfrm>
                          <a:prstGeom prst="rect">
                            <a:avLst/>
                          </a:prstGeom>
                          <a:noFill/>
                          <a:ln>
                            <a:noFill/>
                          </a:ln>
                        </pic:spPr>
                      </pic:pic>
                    </a:graphicData>
                  </a:graphic>
                </wp:inline>
              </w:drawing>
            </w:r>
          </w:p>
          <w:p w14:paraId="68DAC9A3">
            <w:pPr>
              <w:spacing w:before="80" w:after="120"/>
              <w:ind w:firstLine="0"/>
              <w:jc w:val="center"/>
              <w:rPr>
                <w:rFonts w:hint="eastAsia" w:ascii="宋体" w:hAnsi="宋体" w:eastAsia="宋体" w:cs="宋体"/>
                <w:b w:val="0"/>
                <w:bCs/>
              </w:rPr>
            </w:pP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图3-3</w:t>
            </w:r>
            <w:r>
              <w:rPr>
                <w:rFonts w:hint="eastAsia" w:ascii="宋体" w:hAnsi="宋体" w:cs="宋体"/>
                <w:b w:val="0"/>
                <w:bCs/>
                <w:sz w:val="21"/>
                <w:lang w:val="en-US" w:eastAsia="zh-CN"/>
              </w:rPr>
              <w:t xml:space="preserve"> </w:t>
            </w:r>
            <w:r>
              <w:rPr>
                <w:rFonts w:hint="eastAsia" w:ascii="宋体" w:hAnsi="宋体" w:eastAsia="宋体" w:cs="宋体"/>
                <w:b w:val="0"/>
                <w:bCs/>
                <w:sz w:val="21"/>
              </w:rPr>
              <w:t>MPM489压力变送器实物图</w:t>
            </w: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图3-4</w:t>
            </w:r>
            <w:r>
              <w:rPr>
                <w:rFonts w:hint="eastAsia" w:ascii="宋体" w:hAnsi="宋体" w:cs="宋体"/>
                <w:b w:val="0"/>
                <w:bCs/>
                <w:sz w:val="21"/>
                <w:lang w:val="en-US" w:eastAsia="zh-CN"/>
              </w:rPr>
              <w:t xml:space="preserve"> </w:t>
            </w:r>
            <w:r>
              <w:rPr>
                <w:rFonts w:hint="eastAsia" w:ascii="宋体" w:hAnsi="宋体" w:eastAsia="宋体" w:cs="宋体"/>
                <w:b w:val="0"/>
                <w:bCs/>
                <w:sz w:val="21"/>
              </w:rPr>
              <w:t>ADS1115（DFR0553）模块实物图</w:t>
            </w:r>
          </w:p>
          <w:p w14:paraId="658B19E4">
            <w:pPr>
              <w:pStyle w:val="3"/>
              <w:bidi w:val="0"/>
            </w:pPr>
            <w:r>
              <w:t>（3）模数转换模块（ADS1115）</w:t>
            </w:r>
          </w:p>
          <w:p w14:paraId="2C1029A0">
            <w:pPr>
              <w:spacing w:after="80"/>
              <w:ind w:firstLine="420"/>
              <w:jc w:val="both"/>
              <w:rPr>
                <w:rFonts w:hint="default" w:eastAsia="宋体"/>
                <w:lang w:val="en-US" w:eastAsia="zh-CN"/>
              </w:rPr>
            </w:pPr>
            <w:r>
              <w:rPr>
                <w:rFonts w:ascii="Times New Roman" w:hAnsi="Times New Roman" w:eastAsia="宋体"/>
                <w:b w:val="0"/>
                <w:sz w:val="21"/>
              </w:rPr>
              <w:t>取样后的压力信号是模拟量，</w:t>
            </w:r>
            <w:r>
              <w:rPr>
                <w:rFonts w:hint="eastAsia"/>
                <w:b w:val="0"/>
                <w:sz w:val="21"/>
                <w:lang w:val="en-US" w:eastAsia="zh-CN"/>
              </w:rPr>
              <w:t>需要</w:t>
            </w:r>
            <w:r>
              <w:rPr>
                <w:rFonts w:ascii="Times New Roman" w:hAnsi="Times New Roman" w:eastAsia="宋体"/>
                <w:b w:val="0"/>
                <w:sz w:val="21"/>
              </w:rPr>
              <w:t>转换</w:t>
            </w:r>
            <w:r>
              <w:rPr>
                <w:rFonts w:hint="eastAsia"/>
                <w:b w:val="0"/>
                <w:sz w:val="21"/>
                <w:lang w:val="en-US" w:eastAsia="zh-CN"/>
              </w:rPr>
              <w:t>成</w:t>
            </w:r>
            <w:r>
              <w:rPr>
                <w:rFonts w:ascii="Times New Roman" w:hAnsi="Times New Roman" w:eastAsia="宋体"/>
                <w:b w:val="0"/>
                <w:sz w:val="21"/>
              </w:rPr>
              <w:t>数字量后由主控读取，因此压力链路的第二级是模数转换。本</w:t>
            </w:r>
            <w:r>
              <w:rPr>
                <w:rFonts w:hint="eastAsia"/>
                <w:b w:val="0"/>
                <w:sz w:val="21"/>
                <w:lang w:val="en-US" w:eastAsia="zh-CN"/>
              </w:rPr>
              <w:t>项目</w:t>
            </w:r>
            <w:r>
              <w:rPr>
                <w:rFonts w:ascii="Times New Roman" w:hAnsi="Times New Roman" w:eastAsia="宋体"/>
                <w:b w:val="0"/>
                <w:sz w:val="21"/>
              </w:rPr>
              <w:t>设计选用ADS1115（DFR0553模块），</w:t>
            </w:r>
            <w:r>
              <w:rPr>
                <w:rFonts w:hint="eastAsia"/>
                <w:b w:val="0"/>
                <w:sz w:val="21"/>
                <w:lang w:val="en-US" w:eastAsia="zh-CN"/>
              </w:rPr>
              <w:t>其</w:t>
            </w:r>
            <w:r>
              <w:rPr>
                <w:rFonts w:ascii="Times New Roman" w:hAnsi="Times New Roman" w:eastAsia="宋体"/>
                <w:b w:val="0"/>
                <w:sz w:val="21"/>
              </w:rPr>
              <w:t>为16位、I²C接口、可编程增益的转换模块。</w:t>
            </w:r>
            <w:r>
              <w:rPr>
                <w:rFonts w:hint="eastAsia"/>
                <w:b w:val="0"/>
                <w:sz w:val="21"/>
                <w:lang w:val="en-US" w:eastAsia="zh-CN"/>
              </w:rPr>
              <w:t>同时，我们</w:t>
            </w:r>
            <w:r>
              <w:rPr>
                <w:rFonts w:ascii="Times New Roman" w:hAnsi="Times New Roman" w:eastAsia="宋体"/>
                <w:b w:val="0"/>
                <w:sz w:val="21"/>
              </w:rPr>
              <w:t>采用</w:t>
            </w:r>
            <w:r>
              <w:rPr>
                <w:rFonts w:hint="eastAsia"/>
                <w:b w:val="0"/>
                <w:sz w:val="21"/>
                <w:lang w:val="en-US" w:eastAsia="zh-CN"/>
              </w:rPr>
              <w:t>的是</w:t>
            </w:r>
            <w:r>
              <w:rPr>
                <w:rFonts w:ascii="Times New Roman" w:hAnsi="Times New Roman" w:eastAsia="宋体"/>
                <w:b w:val="0"/>
                <w:sz w:val="21"/>
              </w:rPr>
              <w:t>3.3V供电与±4.096V增益档</w:t>
            </w:r>
            <w:r>
              <w:rPr>
                <w:rFonts w:hint="eastAsia"/>
                <w:b w:val="0"/>
                <w:sz w:val="21"/>
                <w:lang w:eastAsia="zh-CN"/>
              </w:rPr>
              <w:t>，</w:t>
            </w:r>
            <w:r>
              <w:rPr>
                <w:rFonts w:hint="eastAsia" w:ascii="Times New Roman" w:hAnsi="Times New Roman" w:eastAsia="宋体"/>
                <w:b w:val="0"/>
                <w:sz w:val="21"/>
              </w:rPr>
              <w:t>码宽125µV≈0.01042kPa</w:t>
            </w:r>
            <w:r>
              <w:rPr>
                <w:rFonts w:hint="eastAsia"/>
                <w:b w:val="0"/>
                <w:sz w:val="21"/>
                <w:lang w:eastAsia="zh-CN"/>
              </w:rPr>
              <w:t>。</w:t>
            </w:r>
            <w:r>
              <w:rPr>
                <w:rFonts w:ascii="Times New Roman" w:hAnsi="Times New Roman" w:eastAsia="宋体"/>
                <w:b w:val="0"/>
                <w:sz w:val="21"/>
              </w:rPr>
              <w:t>两路压力分时转换，并各自记录转换完成时刻；流量</w:t>
            </w:r>
            <w:r>
              <w:rPr>
                <w:rFonts w:hint="eastAsia"/>
                <w:b w:val="0"/>
                <w:sz w:val="21"/>
                <w:lang w:val="en-US" w:eastAsia="zh-CN"/>
              </w:rPr>
              <w:t>则</w:t>
            </w:r>
            <w:r>
              <w:rPr>
                <w:rFonts w:ascii="Times New Roman" w:hAnsi="Times New Roman" w:eastAsia="宋体"/>
                <w:b w:val="0"/>
                <w:sz w:val="21"/>
              </w:rPr>
              <w:t>按</w:t>
            </w:r>
            <w:r>
              <w:rPr>
                <w:rFonts w:hint="eastAsia"/>
                <w:b w:val="0"/>
                <w:sz w:val="21"/>
                <w:lang w:val="en-US" w:eastAsia="zh-CN"/>
              </w:rPr>
              <w:t>照</w:t>
            </w:r>
            <w:r>
              <w:rPr>
                <w:rFonts w:ascii="Times New Roman" w:hAnsi="Times New Roman" w:eastAsia="宋体"/>
                <w:b w:val="0"/>
                <w:sz w:val="21"/>
              </w:rPr>
              <w:t>独立计数窗口</w:t>
            </w:r>
            <w:r>
              <w:rPr>
                <w:rFonts w:hint="eastAsia"/>
                <w:b w:val="0"/>
                <w:sz w:val="21"/>
                <w:lang w:val="en-US" w:eastAsia="zh-CN"/>
              </w:rPr>
              <w:t>进行时间</w:t>
            </w:r>
            <w:r>
              <w:rPr>
                <w:rFonts w:ascii="Times New Roman" w:hAnsi="Times New Roman" w:eastAsia="宋体"/>
                <w:b w:val="0"/>
                <w:sz w:val="21"/>
              </w:rPr>
              <w:t>对齐。这样</w:t>
            </w:r>
            <w:r>
              <w:rPr>
                <w:rFonts w:hint="eastAsia"/>
                <w:b w:val="0"/>
                <w:sz w:val="21"/>
                <w:lang w:val="en-US" w:eastAsia="zh-CN"/>
              </w:rPr>
              <w:t>有效</w:t>
            </w:r>
            <w:r>
              <w:rPr>
                <w:rFonts w:ascii="Times New Roman" w:hAnsi="Times New Roman" w:eastAsia="宋体"/>
                <w:b w:val="0"/>
                <w:sz w:val="21"/>
              </w:rPr>
              <w:t>避免用同一时刻代表三种测量，</w:t>
            </w:r>
            <w:r>
              <w:rPr>
                <w:rFonts w:hint="eastAsia"/>
                <w:b w:val="0"/>
                <w:sz w:val="21"/>
                <w:lang w:val="en-US" w:eastAsia="zh-CN"/>
              </w:rPr>
              <w:t>同时</w:t>
            </w:r>
            <w:r>
              <w:rPr>
                <w:rFonts w:ascii="Times New Roman" w:hAnsi="Times New Roman" w:eastAsia="宋体"/>
                <w:b w:val="0"/>
                <w:sz w:val="21"/>
              </w:rPr>
              <w:t>防止</w:t>
            </w:r>
            <w:r>
              <w:rPr>
                <w:rFonts w:hint="eastAsia"/>
                <w:b w:val="0"/>
                <w:sz w:val="21"/>
                <w:lang w:val="en-US" w:eastAsia="zh-CN"/>
              </w:rPr>
              <w:t>将</w:t>
            </w:r>
            <w:r>
              <w:rPr>
                <w:rFonts w:ascii="Times New Roman" w:hAnsi="Times New Roman" w:eastAsia="宋体"/>
                <w:b w:val="0"/>
                <w:sz w:val="21"/>
              </w:rPr>
              <w:t>异步采样误当作同步观测。</w:t>
            </w:r>
            <w:r>
              <w:rPr>
                <w:rFonts w:hint="eastAsia" w:ascii="宋体" w:hAnsi="宋体" w:eastAsia="宋体" w:cs="宋体"/>
                <w:b w:val="0"/>
                <w:bCs/>
                <w:sz w:val="21"/>
              </w:rPr>
              <w:t>模块实物图</w:t>
            </w:r>
            <w:r>
              <w:rPr>
                <w:rFonts w:hint="eastAsia" w:ascii="宋体" w:hAnsi="宋体" w:cs="宋体"/>
                <w:b w:val="0"/>
                <w:bCs/>
                <w:sz w:val="21"/>
                <w:lang w:val="en-US" w:eastAsia="zh-CN"/>
              </w:rPr>
              <w:t>如图3-4所示。</w:t>
            </w:r>
          </w:p>
          <w:p w14:paraId="567F10EA">
            <w:pPr>
              <w:pStyle w:val="3"/>
              <w:bidi w:val="0"/>
            </w:pPr>
            <w:r>
              <w:t>（4）流量传感器与电平转换（SEN0549＋SN74LVC1G17）</w:t>
            </w:r>
          </w:p>
          <w:p w14:paraId="1A0D6B5A">
            <w:pPr>
              <w:spacing w:after="80"/>
              <w:ind w:firstLine="420"/>
              <w:jc w:val="both"/>
            </w:pPr>
            <w:r>
              <w:rPr>
                <w:rFonts w:ascii="Times New Roman" w:hAnsi="Times New Roman" w:eastAsia="宋体"/>
                <w:b w:val="0"/>
                <w:sz w:val="21"/>
              </w:rPr>
              <w:t>判据的第二路输入是流量。本</w:t>
            </w:r>
            <w:r>
              <w:rPr>
                <w:rFonts w:hint="eastAsia"/>
                <w:b w:val="0"/>
                <w:sz w:val="21"/>
                <w:lang w:val="en-US" w:eastAsia="zh-CN"/>
              </w:rPr>
              <w:t>项目</w:t>
            </w:r>
            <w:r>
              <w:rPr>
                <w:rFonts w:ascii="Times New Roman" w:hAnsi="Times New Roman" w:eastAsia="宋体"/>
                <w:b w:val="0"/>
                <w:sz w:val="21"/>
              </w:rPr>
              <w:t>设计选用脉冲式流量计SEN0549，</w:t>
            </w:r>
            <w:r>
              <w:rPr>
                <w:rFonts w:hint="eastAsia"/>
                <w:b w:val="0"/>
                <w:sz w:val="21"/>
                <w:lang w:val="en-US" w:eastAsia="zh-CN"/>
              </w:rPr>
              <w:t>其</w:t>
            </w:r>
            <w:r>
              <w:rPr>
                <w:rFonts w:ascii="Times New Roman" w:hAnsi="Times New Roman" w:eastAsia="宋体"/>
                <w:b w:val="0"/>
                <w:sz w:val="21"/>
              </w:rPr>
              <w:t>为G1/4接口、量程0.3—5L/min、标称540脉冲/L、误差±1%、5V供电</w:t>
            </w:r>
            <w:r>
              <w:rPr>
                <w:rFonts w:hint="eastAsia"/>
                <w:b w:val="0"/>
                <w:sz w:val="21"/>
                <w:lang w:eastAsia="zh-CN"/>
              </w:rPr>
              <w:t>。</w:t>
            </w:r>
            <w:r>
              <w:rPr>
                <w:rFonts w:hint="eastAsia"/>
                <w:b w:val="0"/>
                <w:sz w:val="21"/>
                <w:lang w:val="en-US" w:eastAsia="zh-CN"/>
              </w:rPr>
              <w:t>其将被</w:t>
            </w:r>
            <w:r>
              <w:rPr>
                <w:rFonts w:ascii="Times New Roman" w:hAnsi="Times New Roman" w:eastAsia="宋体"/>
                <w:b w:val="0"/>
                <w:sz w:val="21"/>
              </w:rPr>
              <w:t>安装</w:t>
            </w:r>
            <w:r>
              <w:rPr>
                <w:rFonts w:hint="eastAsia"/>
                <w:b w:val="0"/>
                <w:sz w:val="21"/>
                <w:lang w:val="en-US" w:eastAsia="zh-CN"/>
              </w:rPr>
              <w:t>于</w:t>
            </w:r>
            <w:r>
              <w:rPr>
                <w:rFonts w:ascii="Times New Roman" w:hAnsi="Times New Roman" w:eastAsia="宋体"/>
                <w:b w:val="0"/>
                <w:sz w:val="21"/>
              </w:rPr>
              <w:t>测点P1下游、分流点之前，用于计量A支路正常出流与泄漏出流的总量。</w:t>
            </w:r>
          </w:p>
          <w:p w14:paraId="1D10DB40">
            <w:pPr>
              <w:spacing w:after="80"/>
              <w:ind w:firstLine="420"/>
              <w:jc w:val="both"/>
              <w:rPr>
                <w:rFonts w:hint="default" w:eastAsia="宋体"/>
                <w:highlight w:val="yellow"/>
                <w:lang w:val="en-US" w:eastAsia="zh-CN"/>
              </w:rPr>
            </w:pPr>
            <w:r>
              <w:rPr>
                <w:rFonts w:hint="eastAsia"/>
                <w:b w:val="0"/>
                <w:sz w:val="21"/>
                <w:lang w:val="en-US" w:eastAsia="zh-CN"/>
              </w:rPr>
              <w:t>同时，因为</w:t>
            </w:r>
            <w:r>
              <w:rPr>
                <w:rFonts w:ascii="Times New Roman" w:hAnsi="Times New Roman" w:eastAsia="宋体"/>
                <w:b w:val="0"/>
                <w:sz w:val="21"/>
              </w:rPr>
              <w:t>该表在5V供电时脉冲高电平超过4.7V，超出主控3.3V输入范围，</w:t>
            </w:r>
            <w:r>
              <w:rPr>
                <w:rFonts w:hint="eastAsia"/>
                <w:b w:val="0"/>
                <w:sz w:val="21"/>
                <w:lang w:val="en-US" w:eastAsia="zh-CN"/>
              </w:rPr>
              <w:t>所以</w:t>
            </w:r>
            <w:r>
              <w:rPr>
                <w:rFonts w:ascii="Times New Roman" w:hAnsi="Times New Roman" w:eastAsia="宋体"/>
                <w:b w:val="0"/>
                <w:sz w:val="21"/>
              </w:rPr>
              <w:t>其输出</w:t>
            </w:r>
            <w:r>
              <w:rPr>
                <w:rFonts w:hint="eastAsia"/>
                <w:b w:val="0"/>
                <w:sz w:val="21"/>
                <w:lang w:val="en-US" w:eastAsia="zh-CN"/>
              </w:rPr>
              <w:t>需要</w:t>
            </w:r>
            <w:r>
              <w:rPr>
                <w:rFonts w:ascii="Times New Roman" w:hAnsi="Times New Roman" w:eastAsia="宋体"/>
                <w:b w:val="0"/>
                <w:sz w:val="21"/>
              </w:rPr>
              <w:t>经SN74LVC1G17施密特缓冲器整形后</w:t>
            </w:r>
            <w:r>
              <w:rPr>
                <w:rFonts w:hint="eastAsia"/>
                <w:b w:val="0"/>
                <w:sz w:val="21"/>
                <w:lang w:val="en-US" w:eastAsia="zh-CN"/>
              </w:rPr>
              <w:t>才能</w:t>
            </w:r>
            <w:r>
              <w:rPr>
                <w:rFonts w:ascii="Times New Roman" w:hAnsi="Times New Roman" w:eastAsia="宋体"/>
                <w:b w:val="0"/>
                <w:sz w:val="21"/>
              </w:rPr>
              <w:t>接入PA0计数；缓冲器为3.3V供电、输入推荐范围至5.5V。按540脉冲/L计算，1秒窗口单脉冲对应0.11111L/min，10秒滚动窗口对应0.01111L/min。</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b w:val="0"/>
                <w:bCs/>
                <w:sz w:val="21"/>
                <w:lang w:val="en-US" w:eastAsia="zh-CN"/>
              </w:rPr>
              <w:t>如图3-5所示</w:t>
            </w:r>
          </w:p>
          <w:p w14:paraId="31C0D9AE">
            <w:pPr>
              <w:spacing w:after="80"/>
              <w:ind w:firstLine="420"/>
              <w:jc w:val="both"/>
              <w:rPr>
                <w:rFonts w:hint="default" w:ascii="Times New Roman" w:hAnsi="Times New Roman" w:eastAsia="宋体"/>
                <w:b w:val="0"/>
                <w:sz w:val="21"/>
                <w:lang w:val="en-US" w:eastAsia="zh-CN"/>
              </w:rPr>
            </w:pPr>
            <w:r>
              <w:rPr>
                <w:rFonts w:ascii="Times New Roman" w:hAnsi="Times New Roman" w:eastAsia="宋体"/>
                <w:b w:val="0"/>
                <w:sz w:val="21"/>
              </w:rPr>
              <w:t>计数由TIM2完成，16位计数器在45Hz连续累加下约24.3分钟回绕一次，差分取模与长时间未读的溢出</w:t>
            </w:r>
            <w:r>
              <w:rPr>
                <w:rFonts w:hint="eastAsia"/>
                <w:b w:val="0"/>
                <w:sz w:val="21"/>
                <w:lang w:val="en-US" w:eastAsia="zh-CN"/>
              </w:rPr>
              <w:t>则</w:t>
            </w:r>
            <w:r>
              <w:rPr>
                <w:rFonts w:ascii="Times New Roman" w:hAnsi="Times New Roman" w:eastAsia="宋体"/>
                <w:b w:val="0"/>
                <w:sz w:val="21"/>
              </w:rPr>
              <w:t>在固件中处理。此外</w:t>
            </w:r>
            <w:r>
              <w:rPr>
                <w:rFonts w:hint="eastAsia"/>
                <w:b w:val="0"/>
                <w:sz w:val="21"/>
                <w:lang w:val="en-US" w:eastAsia="zh-CN"/>
              </w:rPr>
              <w:t>需指明的是</w:t>
            </w:r>
            <w:r>
              <w:rPr>
                <w:rFonts w:ascii="Times New Roman" w:hAnsi="Times New Roman" w:eastAsia="宋体"/>
                <w:b w:val="0"/>
                <w:sz w:val="21"/>
              </w:rPr>
              <w:t>，450脉冲/秒只是540脉冲/L下50L/min的算术保护上界，</w:t>
            </w:r>
            <w:r>
              <w:rPr>
                <w:rFonts w:hint="eastAsia"/>
                <w:b w:val="0"/>
                <w:sz w:val="21"/>
                <w:lang w:val="en-US" w:eastAsia="zh-CN"/>
              </w:rPr>
              <w:t>并</w:t>
            </w:r>
            <w:r>
              <w:rPr>
                <w:rFonts w:ascii="Times New Roman" w:hAnsi="Times New Roman" w:eastAsia="宋体"/>
                <w:b w:val="0"/>
                <w:bCs/>
                <w:sz w:val="21"/>
              </w:rPr>
              <w:t>不</w:t>
            </w:r>
            <w:r>
              <w:rPr>
                <w:rFonts w:hint="eastAsia"/>
                <w:b w:val="0"/>
                <w:bCs/>
                <w:sz w:val="21"/>
                <w:lang w:val="en-US" w:eastAsia="zh-CN"/>
              </w:rPr>
              <w:t>会</w:t>
            </w:r>
            <w:r>
              <w:rPr>
                <w:rFonts w:ascii="Times New Roman" w:hAnsi="Times New Roman" w:eastAsia="宋体"/>
                <w:b w:val="0"/>
                <w:bCs/>
                <w:sz w:val="21"/>
              </w:rPr>
              <w:t>扩展该表已知的0.3—5L/min精度域</w:t>
            </w:r>
            <w:r>
              <w:rPr>
                <w:rFonts w:ascii="Times New Roman" w:hAnsi="Times New Roman" w:eastAsia="宋体"/>
                <w:b w:val="0"/>
                <w:sz w:val="21"/>
              </w:rPr>
              <w:t>。</w:t>
            </w:r>
            <w:r>
              <w:rPr>
                <w:rFonts w:hint="eastAsia"/>
                <w:b w:val="0"/>
                <w:sz w:val="21"/>
                <w:lang w:val="en-US" w:eastAsia="zh-CN"/>
              </w:rPr>
              <w:t>流量计实物图如图3-6所示。</w:t>
            </w:r>
          </w:p>
          <w:p w14:paraId="1511003A">
            <w:pPr>
              <w:spacing w:after="80"/>
              <w:ind w:firstLine="420"/>
              <w:jc w:val="center"/>
              <w:rPr>
                <w:rFonts w:ascii="Times New Roman" w:hAnsi="Times New Roman" w:eastAsia="宋体"/>
                <w:b w:val="0"/>
                <w:sz w:val="21"/>
              </w:rPr>
            </w:pPr>
            <w:r>
              <w:rPr>
                <w:rFonts w:ascii="宋体" w:hAnsi="宋体" w:eastAsia="宋体" w:cs="宋体"/>
                <w:sz w:val="24"/>
                <w:szCs w:val="24"/>
              </w:rPr>
              <w:drawing>
                <wp:inline distT="0" distB="0" distL="114300" distR="114300">
                  <wp:extent cx="1611630" cy="2073275"/>
                  <wp:effectExtent l="0" t="0" r="7620" b="1016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0"/>
                          <a:stretch>
                            <a:fillRect/>
                          </a:stretch>
                        </pic:blipFill>
                        <pic:spPr>
                          <a:xfrm>
                            <a:off x="0" y="0"/>
                            <a:ext cx="1611630" cy="2073275"/>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172970" cy="2046605"/>
                  <wp:effectExtent l="0" t="0" r="7620" b="444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2172970" cy="2046605"/>
                          </a:xfrm>
                          <a:prstGeom prst="rect">
                            <a:avLst/>
                          </a:prstGeom>
                          <a:noFill/>
                          <a:ln>
                            <a:noFill/>
                          </a:ln>
                        </pic:spPr>
                      </pic:pic>
                    </a:graphicData>
                  </a:graphic>
                </wp:inline>
              </w:drawing>
            </w:r>
          </w:p>
          <w:p w14:paraId="1B981ACF">
            <w:pPr>
              <w:spacing w:before="80" w:after="120"/>
              <w:ind w:firstLine="0"/>
              <w:jc w:val="center"/>
              <w:rPr>
                <w:rFonts w:hint="eastAsia" w:eastAsia="宋体"/>
                <w:color w:val="0000FF"/>
                <w:lang w:val="en-US" w:eastAsia="zh-CN"/>
              </w:rPr>
            </w:pPr>
            <w:r>
              <w:rPr>
                <w:rFonts w:hint="eastAsia" w:ascii="宋体" w:hAnsi="宋体" w:eastAsia="宋体" w:cs="宋体"/>
                <w:b w:val="0"/>
                <w:bCs/>
                <w:sz w:val="21"/>
                <w:lang w:val="en-US" w:eastAsia="zh-CN"/>
              </w:rPr>
              <w:t xml:space="preserve">图3-5 </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ascii="宋体" w:hAnsi="宋体" w:cs="宋体"/>
                <w:b w:val="0"/>
                <w:bCs/>
                <w:sz w:val="21"/>
                <w:lang w:val="en-US" w:eastAsia="zh-CN"/>
              </w:rPr>
              <w:t xml:space="preserve">         图3-6 </w:t>
            </w:r>
            <w:r>
              <w:rPr>
                <w:rFonts w:hint="eastAsia" w:ascii="宋体" w:hAnsi="宋体" w:eastAsia="宋体" w:cs="宋体"/>
                <w:b w:val="0"/>
                <w:bCs/>
                <w:sz w:val="21"/>
              </w:rPr>
              <w:t>SEN0549流量计实物图</w:t>
            </w:r>
          </w:p>
          <w:p w14:paraId="11D842A6">
            <w:pPr>
              <w:pStyle w:val="3"/>
              <w:bidi w:val="0"/>
            </w:pPr>
            <w:r>
              <w:t>（5）无线通信模块（E220-400T22D）</w:t>
            </w:r>
          </w:p>
          <w:p w14:paraId="66479AB2">
            <w:pPr>
              <w:spacing w:after="80"/>
              <w:ind w:firstLine="420"/>
              <w:jc w:val="both"/>
              <w:rPr>
                <w:rFonts w:hint="eastAsia" w:ascii="Times New Roman" w:hAnsi="Times New Roman" w:eastAsia="宋体"/>
                <w:b w:val="0"/>
                <w:sz w:val="21"/>
                <w:lang w:eastAsia="zh-CN"/>
              </w:rPr>
            </w:pPr>
            <w:r>
              <w:rPr>
                <w:rFonts w:ascii="Times New Roman" w:hAnsi="Times New Roman" w:eastAsia="宋体"/>
                <w:b w:val="0"/>
                <w:sz w:val="21"/>
              </w:rPr>
              <w:t>本</w:t>
            </w:r>
            <w:r>
              <w:rPr>
                <w:rFonts w:hint="eastAsia"/>
                <w:b w:val="0"/>
                <w:sz w:val="21"/>
                <w:lang w:val="en-US" w:eastAsia="zh-CN"/>
              </w:rPr>
              <w:t>项目</w:t>
            </w:r>
            <w:r>
              <w:rPr>
                <w:rFonts w:ascii="Times New Roman" w:hAnsi="Times New Roman" w:eastAsia="宋体"/>
                <w:b w:val="0"/>
                <w:sz w:val="21"/>
              </w:rPr>
              <w:t>通信链路设计选用</w:t>
            </w:r>
            <w:r>
              <w:rPr>
                <w:rFonts w:hint="eastAsia"/>
                <w:b w:val="0"/>
                <w:sz w:val="21"/>
                <w:lang w:val="en-US" w:eastAsia="zh-CN"/>
              </w:rPr>
              <w:t>两</w:t>
            </w:r>
            <w:r>
              <w:rPr>
                <w:rFonts w:ascii="Times New Roman" w:hAnsi="Times New Roman" w:eastAsia="宋体"/>
                <w:b w:val="0"/>
                <w:sz w:val="21"/>
              </w:rPr>
              <w:t>只亿佰特E220-400T22D模块，一只装节点、一只装接收端。该模块为透明传输、UART接口，工作频段410—493MHz、最大发射功率22dBm、SMA天线座、分包长度64B、空中速率2.4kbps</w:t>
            </w:r>
            <w:r>
              <w:rPr>
                <w:rFonts w:hint="eastAsia"/>
                <w:b w:val="0"/>
                <w:sz w:val="21"/>
                <w:lang w:eastAsia="zh-CN"/>
              </w:rPr>
              <w:t>、</w:t>
            </w:r>
            <w:r>
              <w:rPr>
                <w:rFonts w:hint="eastAsia" w:ascii="宋体" w:hAnsi="宋体" w:eastAsia="宋体" w:cs="宋体"/>
                <w:b w:val="0"/>
                <w:bCs/>
                <w:sz w:val="21"/>
              </w:rPr>
              <w:t>接收灵敏度</w:t>
            </w:r>
            <w:r>
              <w:rPr>
                <w:rFonts w:hint="eastAsia" w:ascii="宋体" w:hAnsi="宋体" w:eastAsia="宋体" w:cs="宋体"/>
                <w:b w:val="0"/>
                <w:bCs/>
                <w:i w:val="0"/>
                <w:iCs w:val="0"/>
                <w:caps w:val="0"/>
                <w:color w:val="444444"/>
                <w:spacing w:val="0"/>
                <w:sz w:val="21"/>
                <w:szCs w:val="21"/>
              </w:rPr>
              <w:t>-129dBm</w:t>
            </w:r>
            <w:r>
              <w:rPr>
                <w:rFonts w:ascii="Times New Roman" w:hAnsi="Times New Roman" w:eastAsia="宋体"/>
                <w:b w:val="0"/>
                <w:sz w:val="21"/>
              </w:rPr>
              <w:t>。设计取UART 9600/8N1、M0/M1固定为00的透明传输模式，两端各配一根433MHz天线</w:t>
            </w:r>
            <w:r>
              <w:rPr>
                <w:rFonts w:hint="eastAsia"/>
                <w:b w:val="0"/>
                <w:sz w:val="21"/>
                <w:lang w:eastAsia="zh-CN"/>
              </w:rPr>
              <w:t>。</w:t>
            </w:r>
          </w:p>
          <w:p w14:paraId="13E6C587">
            <w:pPr>
              <w:spacing w:after="80"/>
              <w:ind w:firstLine="420"/>
              <w:jc w:val="both"/>
            </w:pPr>
            <w:r>
              <w:rPr>
                <w:rFonts w:ascii="Times New Roman" w:hAnsi="Times New Roman" w:eastAsia="宋体"/>
                <w:b w:val="0"/>
                <w:sz w:val="21"/>
              </w:rPr>
              <w:t>模块由5V供电，但其UART与控制IO仍是3.3V</w:t>
            </w:r>
            <w:r>
              <w:rPr>
                <w:rFonts w:hint="eastAsia"/>
                <w:b w:val="0"/>
                <w:sz w:val="21"/>
                <w:lang w:eastAsia="zh-CN"/>
              </w:rPr>
              <w:t>。</w:t>
            </w:r>
            <w:r>
              <w:rPr>
                <w:rFonts w:ascii="Times New Roman" w:hAnsi="Times New Roman" w:eastAsia="宋体"/>
                <w:b w:val="0"/>
                <w:sz w:val="21"/>
              </w:rPr>
              <w:t>应用层帧</w:t>
            </w:r>
            <w:r>
              <w:rPr>
                <w:rFonts w:hint="eastAsia"/>
                <w:b w:val="0"/>
                <w:sz w:val="21"/>
                <w:lang w:val="en-US" w:eastAsia="zh-CN"/>
              </w:rPr>
              <w:t>则</w:t>
            </w:r>
            <w:r>
              <w:rPr>
                <w:rFonts w:ascii="Times New Roman" w:hAnsi="Times New Roman" w:eastAsia="宋体"/>
                <w:b w:val="0"/>
                <w:sz w:val="21"/>
              </w:rPr>
              <w:t>采用COBS定界（固定头16B＋载荷＋CRC16/CCITT-FALSE，初值0xffff），整数小端；事件身份由设备、会话与序号三元组确定，确认载荷4B为原事件头与载荷的CRC32指纹，用于识别内容是否被意外改动。</w:t>
            </w:r>
          </w:p>
          <w:p w14:paraId="1CCCB835">
            <w:pPr>
              <w:spacing w:after="80"/>
              <w:ind w:firstLine="420"/>
              <w:jc w:val="both"/>
              <w:rPr>
                <w:rFonts w:hint="eastAsia" w:eastAsia="宋体"/>
                <w:b w:val="0"/>
                <w:sz w:val="21"/>
                <w:highlight w:val="yellow"/>
                <w:lang w:val="en-US" w:eastAsia="zh-CN"/>
              </w:rPr>
            </w:pPr>
            <w:r>
              <w:rPr>
                <w:rFonts w:ascii="Times New Roman" w:hAnsi="Times New Roman" w:eastAsia="宋体"/>
                <w:b w:val="0"/>
                <w:sz w:val="21"/>
              </w:rPr>
              <w:t>报文长度：精简帧口径为事件57B、遥测55B、确认24B，对应9600/8N1下约59.4、57.3与25ms的串口时间。</w:t>
            </w:r>
          </w:p>
          <w:p w14:paraId="1EBA36F1">
            <w:pPr>
              <w:pStyle w:val="3"/>
              <w:bidi w:val="0"/>
            </w:pPr>
            <w:r>
              <w:t>（6）日志存储模块（microSD）</w:t>
            </w:r>
          </w:p>
          <w:p w14:paraId="0A172812">
            <w:pPr>
              <w:spacing w:after="80"/>
              <w:ind w:firstLine="420"/>
              <w:jc w:val="both"/>
              <w:rPr>
                <w:rFonts w:hint="default" w:ascii="Times New Roman" w:hAnsi="Times New Roman" w:eastAsia="宋体"/>
                <w:b w:val="0"/>
                <w:sz w:val="21"/>
                <w:lang w:val="en-US"/>
              </w:rPr>
            </w:pPr>
            <w:r>
              <w:rPr>
                <w:rFonts w:ascii="Times New Roman" w:hAnsi="Times New Roman" w:eastAsia="宋体"/>
                <w:b w:val="0"/>
                <w:sz w:val="21"/>
              </w:rPr>
              <w:t>在链路中断或掉电情况下，节点仍须保留异常发生时的原始记录，因此</w:t>
            </w:r>
            <w:r>
              <w:rPr>
                <w:rFonts w:hint="eastAsia"/>
                <w:b w:val="0"/>
                <w:sz w:val="21"/>
                <w:lang w:val="en-US" w:eastAsia="zh-CN"/>
              </w:rPr>
              <w:t>需要</w:t>
            </w:r>
            <w:r>
              <w:rPr>
                <w:rFonts w:ascii="Times New Roman" w:hAnsi="Times New Roman" w:eastAsia="宋体"/>
                <w:b w:val="0"/>
                <w:sz w:val="21"/>
              </w:rPr>
              <w:t>配置本地日志存储。本</w:t>
            </w:r>
            <w:r>
              <w:rPr>
                <w:rFonts w:hint="eastAsia"/>
                <w:b w:val="0"/>
                <w:sz w:val="21"/>
                <w:lang w:val="en-US" w:eastAsia="zh-CN"/>
              </w:rPr>
              <w:t>项目</w:t>
            </w:r>
            <w:r>
              <w:rPr>
                <w:rFonts w:ascii="Times New Roman" w:hAnsi="Times New Roman" w:eastAsia="宋体"/>
                <w:b w:val="0"/>
                <w:sz w:val="21"/>
              </w:rPr>
              <w:t>设计选用microSD模块（SPI、3.3V）一套，经SPI1占用PA4—PA7，分别作片选、时钟、MISO与MOSI，片选按普通GPIO</w:t>
            </w:r>
            <w:r>
              <w:rPr>
                <w:rFonts w:hint="eastAsia"/>
                <w:b w:val="0"/>
                <w:sz w:val="21"/>
                <w:lang w:val="en-US" w:eastAsia="zh-CN"/>
              </w:rPr>
              <w:t>方式进行</w:t>
            </w:r>
            <w:r>
              <w:rPr>
                <w:rFonts w:ascii="Times New Roman" w:hAnsi="Times New Roman" w:eastAsia="宋体"/>
                <w:b w:val="0"/>
                <w:sz w:val="21"/>
              </w:rPr>
              <w:t>控制。写入策略上，存储写入不</w:t>
            </w:r>
            <w:r>
              <w:rPr>
                <w:rFonts w:hint="eastAsia"/>
                <w:b w:val="0"/>
                <w:sz w:val="21"/>
                <w:lang w:val="en-US" w:eastAsia="zh-CN"/>
              </w:rPr>
              <w:t>可以</w:t>
            </w:r>
            <w:r>
              <w:rPr>
                <w:rFonts w:ascii="Times New Roman" w:hAnsi="Times New Roman" w:eastAsia="宋体"/>
                <w:b w:val="0"/>
                <w:sz w:val="21"/>
              </w:rPr>
              <w:t>阻塞流量计数与压力采集，单槽按64B原帧预留</w:t>
            </w:r>
            <w:r>
              <w:rPr>
                <w:rFonts w:hint="eastAsia"/>
                <w:b w:val="0"/>
                <w:sz w:val="21"/>
                <w:lang w:eastAsia="zh-CN"/>
              </w:rPr>
              <w:t>。</w:t>
            </w:r>
            <w:r>
              <w:rPr>
                <w:rFonts w:hint="eastAsia" w:ascii="宋体" w:hAnsi="宋体" w:cs="宋体"/>
                <w:b w:val="0"/>
                <w:bCs/>
                <w:sz w:val="21"/>
                <w:lang w:val="en-US" w:eastAsia="zh-CN"/>
              </w:rPr>
              <w:t>原理图如图3-7所示。</w:t>
            </w:r>
          </w:p>
          <w:p w14:paraId="3C7DBFE4">
            <w:pPr>
              <w:spacing w:after="80"/>
              <w:ind w:firstLine="420"/>
              <w:jc w:val="center"/>
              <w:rPr>
                <w:rFonts w:ascii="Times New Roman" w:hAnsi="Times New Roman" w:eastAsia="宋体"/>
                <w:b w:val="0"/>
                <w:sz w:val="21"/>
              </w:rPr>
            </w:pPr>
            <w:r>
              <w:drawing>
                <wp:inline distT="0" distB="0" distL="114300" distR="114300">
                  <wp:extent cx="2254885" cy="1544320"/>
                  <wp:effectExtent l="0" t="0" r="1270"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2"/>
                          <a:stretch>
                            <a:fillRect/>
                          </a:stretch>
                        </pic:blipFill>
                        <pic:spPr>
                          <a:xfrm>
                            <a:off x="0" y="0"/>
                            <a:ext cx="2254885" cy="1544320"/>
                          </a:xfrm>
                          <a:prstGeom prst="rect">
                            <a:avLst/>
                          </a:prstGeom>
                          <a:noFill/>
                          <a:ln>
                            <a:noFill/>
                          </a:ln>
                        </pic:spPr>
                      </pic:pic>
                    </a:graphicData>
                  </a:graphic>
                </wp:inline>
              </w:drawing>
            </w:r>
          </w:p>
          <w:p w14:paraId="696F8659">
            <w:pPr>
              <w:spacing w:before="80" w:after="120"/>
              <w:ind w:firstLine="0"/>
              <w:jc w:val="center"/>
              <w:rPr>
                <w:rFonts w:hint="default" w:ascii="宋体" w:hAnsi="宋体" w:eastAsia="宋体" w:cs="宋体"/>
                <w:b w:val="0"/>
                <w:bCs/>
                <w:lang w:val="en-US" w:eastAsia="zh-CN"/>
              </w:rPr>
            </w:pPr>
            <w:r>
              <w:rPr>
                <w:rFonts w:hint="eastAsia" w:ascii="宋体" w:hAnsi="宋体" w:eastAsia="宋体" w:cs="宋体"/>
                <w:b w:val="0"/>
                <w:bCs/>
                <w:sz w:val="21"/>
                <w:lang w:val="en-US" w:eastAsia="zh-CN"/>
              </w:rPr>
              <w:t xml:space="preserve">图3-7 </w:t>
            </w:r>
            <w:r>
              <w:rPr>
                <w:rFonts w:hint="eastAsia" w:ascii="宋体" w:hAnsi="宋体" w:eastAsia="宋体" w:cs="宋体"/>
                <w:b w:val="0"/>
                <w:bCs/>
                <w:sz w:val="21"/>
              </w:rPr>
              <w:t>3.3VmicroSD模块</w:t>
            </w:r>
            <w:r>
              <w:rPr>
                <w:rFonts w:hint="eastAsia" w:ascii="宋体" w:hAnsi="宋体" w:cs="宋体"/>
                <w:b w:val="0"/>
                <w:bCs/>
                <w:sz w:val="21"/>
                <w:lang w:val="en-US" w:eastAsia="zh-CN"/>
              </w:rPr>
              <w:t>原理图</w:t>
            </w:r>
          </w:p>
          <w:p w14:paraId="24E83AE2">
            <w:pPr>
              <w:pStyle w:val="3"/>
              <w:bidi w:val="0"/>
              <w:rPr>
                <w:rFonts w:hint="default"/>
                <w:lang w:val="en-US" w:eastAsia="zh-CN"/>
              </w:rPr>
            </w:pPr>
            <w:r>
              <w:t>（7）供电与电气防护</w:t>
            </w:r>
          </w:p>
          <w:p w14:paraId="538AE94E">
            <w:pPr>
              <w:spacing w:after="80"/>
              <w:ind w:firstLine="420"/>
              <w:jc w:val="both"/>
            </w:pPr>
            <w:r>
              <w:rPr>
                <w:rFonts w:ascii="Times New Roman" w:hAnsi="Times New Roman" w:eastAsia="宋体"/>
                <w:b w:val="0"/>
                <w:sz w:val="21"/>
              </w:rPr>
              <w:t>上述模块分属24V、5V与3.3V三个电压域，供电按三级链路组织：220V交流市电经24V/1A适配器进入台架，再经MP1584EN或XL4015降至5V/2A，最后经AMS1117-3.3或MP2359降至3.3V/1A。24V单独供两路压力回路（正常各≤20mA、合计≤40mA）；5V供无线模块与流量计，其UART与控制IO</w:t>
            </w:r>
            <w:r>
              <w:rPr>
                <w:rFonts w:hint="eastAsia"/>
                <w:b w:val="0"/>
                <w:sz w:val="21"/>
                <w:lang w:val="en-US" w:eastAsia="zh-CN"/>
              </w:rPr>
              <w:t>则由</w:t>
            </w:r>
            <w:r>
              <w:rPr>
                <w:rFonts w:ascii="Times New Roman" w:hAnsi="Times New Roman" w:eastAsia="宋体"/>
                <w:b w:val="0"/>
                <w:sz w:val="21"/>
              </w:rPr>
              <w:t>3.3V</w:t>
            </w:r>
            <w:r>
              <w:rPr>
                <w:rFonts w:hint="eastAsia"/>
                <w:b w:val="0"/>
                <w:sz w:val="21"/>
                <w:lang w:val="en-US" w:eastAsia="zh-CN"/>
              </w:rPr>
              <w:t>供给</w:t>
            </w:r>
            <w:r>
              <w:rPr>
                <w:rFonts w:ascii="Times New Roman" w:hAnsi="Times New Roman" w:eastAsia="宋体"/>
                <w:b w:val="0"/>
                <w:sz w:val="21"/>
              </w:rPr>
              <w:t>；3.3V供主控、模数转换、缓冲器与存储。</w:t>
            </w:r>
            <w:r>
              <w:rPr>
                <w:rFonts w:hint="eastAsia"/>
                <w:b w:val="0"/>
                <w:sz w:val="21"/>
                <w:lang w:val="en-US" w:eastAsia="zh-CN"/>
              </w:rPr>
              <w:t>根据</w:t>
            </w:r>
            <w:r>
              <w:rPr>
                <w:rFonts w:ascii="Times New Roman" w:hAnsi="Times New Roman" w:eastAsia="宋体"/>
                <w:b w:val="0"/>
                <w:sz w:val="21"/>
              </w:rPr>
              <w:t>设计预留，5V与3.3V两路</w:t>
            </w:r>
            <w:r>
              <w:rPr>
                <w:rFonts w:hint="eastAsia"/>
                <w:b w:val="0"/>
                <w:sz w:val="21"/>
                <w:lang w:val="en-US" w:eastAsia="zh-CN"/>
              </w:rPr>
              <w:t>均</w:t>
            </w:r>
            <w:r>
              <w:rPr>
                <w:rFonts w:ascii="Times New Roman" w:hAnsi="Times New Roman" w:eastAsia="宋体"/>
                <w:b w:val="0"/>
                <w:sz w:val="21"/>
              </w:rPr>
              <w:t>不低于1A，接收端另配5V不低于0.5A。</w:t>
            </w:r>
          </w:p>
          <w:p w14:paraId="2CC00C14">
            <w:pPr>
              <w:spacing w:after="80"/>
              <w:ind w:firstLine="0"/>
              <w:jc w:val="left"/>
              <w:outlineLvl w:val="2"/>
            </w:pPr>
            <w:r>
              <w:rPr>
                <w:rFonts w:ascii="Times New Roman" w:hAnsi="Times New Roman" w:eastAsia="宋体"/>
                <w:b/>
                <w:sz w:val="21"/>
              </w:rPr>
              <w:t>3.3.3. 测量平台与水力模型</w:t>
            </w:r>
          </w:p>
          <w:p w14:paraId="511E11EA">
            <w:pPr>
              <w:spacing w:after="80"/>
              <w:ind w:firstLine="420"/>
              <w:jc w:val="both"/>
            </w:pPr>
            <w:r>
              <w:rPr>
                <w:rFonts w:hint="eastAsia"/>
                <w:b w:val="0"/>
                <w:sz w:val="21"/>
                <w:lang w:val="en-US" w:eastAsia="zh-CN"/>
              </w:rPr>
              <w:t>本处主要说明</w:t>
            </w:r>
            <w:r>
              <w:rPr>
                <w:rFonts w:ascii="Times New Roman" w:hAnsi="Times New Roman" w:eastAsia="宋体"/>
                <w:b w:val="0"/>
                <w:sz w:val="21"/>
              </w:rPr>
              <w:t>测点在水路中的位置与可用的水力关系，前者决定三个测点能否把“入口—区段—下游”分开，后者</w:t>
            </w:r>
            <w:r>
              <w:rPr>
                <w:rFonts w:hint="eastAsia"/>
                <w:b w:val="0"/>
                <w:sz w:val="21"/>
                <w:lang w:val="en-US" w:eastAsia="zh-CN"/>
              </w:rPr>
              <w:t>则</w:t>
            </w:r>
            <w:r>
              <w:rPr>
                <w:rFonts w:ascii="Times New Roman" w:hAnsi="Times New Roman" w:eastAsia="宋体"/>
                <w:b w:val="0"/>
                <w:sz w:val="21"/>
              </w:rPr>
              <w:t>决定观测值如何折算成可解释的特征。</w:t>
            </w:r>
          </w:p>
          <w:p w14:paraId="686DEF6E">
            <w:pPr>
              <w:pStyle w:val="3"/>
              <w:bidi w:val="0"/>
            </w:pPr>
            <w:r>
              <w:t>（1）清水台架与水力件</w:t>
            </w:r>
          </w:p>
          <w:p w14:paraId="3DF93DF1">
            <w:pPr>
              <w:spacing w:after="80"/>
              <w:ind w:firstLine="420"/>
              <w:jc w:val="both"/>
              <w:rPr>
                <w:rFonts w:hint="default" w:eastAsia="宋体"/>
                <w:highlight w:val="yellow"/>
                <w:lang w:val="en-US" w:eastAsia="zh-CN"/>
              </w:rPr>
            </w:pPr>
            <w:r>
              <w:rPr>
                <w:rFonts w:ascii="Times New Roman" w:hAnsi="Times New Roman" w:eastAsia="宋体"/>
                <w:b w:val="0"/>
                <w:sz w:val="21"/>
              </w:rPr>
              <w:t>上述节点需要在可控水力条件下验证，因此</w:t>
            </w:r>
            <w:r>
              <w:rPr>
                <w:rFonts w:hint="eastAsia"/>
                <w:b w:val="0"/>
                <w:sz w:val="21"/>
                <w:lang w:val="en-US" w:eastAsia="zh-CN"/>
              </w:rPr>
              <w:t>实验采用</w:t>
            </w:r>
            <w:r>
              <w:rPr>
                <w:rFonts w:ascii="Times New Roman" w:hAnsi="Times New Roman" w:eastAsia="宋体"/>
                <w:b w:val="0"/>
                <w:sz w:val="21"/>
              </w:rPr>
              <w:t>共用水源的可调清水台架。台架分A、B两支路：A支路为被测支管，水流依次经过P0侧向取压接口、受限元件R、P1侧向取压接口与流量计Q，随后分为正常出流与泄漏旁路，其中受限元件R为可调阻力件，泄漏旁路为调节阀；B支路以切换阀与可调负载</w:t>
            </w:r>
            <w:r>
              <w:rPr>
                <w:rFonts w:hint="eastAsia"/>
                <w:b w:val="0"/>
                <w:sz w:val="21"/>
                <w:lang w:val="en-US" w:eastAsia="zh-CN"/>
              </w:rPr>
              <w:t>用以</w:t>
            </w:r>
            <w:r>
              <w:rPr>
                <w:rFonts w:ascii="Times New Roman" w:hAnsi="Times New Roman" w:eastAsia="宋体"/>
                <w:b w:val="0"/>
                <w:sz w:val="21"/>
              </w:rPr>
              <w:t>模拟另一支管。</w:t>
            </w:r>
            <w:r>
              <w:rPr>
                <w:rFonts w:hint="eastAsia" w:ascii="Times New Roman" w:hAnsi="Times New Roman" w:cs="Times New Roman"/>
                <w:b w:val="0"/>
                <w:bCs/>
                <w:sz w:val="21"/>
                <w:szCs w:val="28"/>
                <w:lang w:val="en-US" w:eastAsia="zh-CN"/>
              </w:rPr>
              <w:t>双支路验证台架三维布局如图3-</w:t>
            </w:r>
            <w:r>
              <w:rPr>
                <w:rFonts w:hint="eastAsia" w:cs="Times New Roman"/>
                <w:b w:val="0"/>
                <w:bCs/>
                <w:sz w:val="21"/>
                <w:szCs w:val="28"/>
                <w:lang w:val="en-US" w:eastAsia="zh-CN"/>
              </w:rPr>
              <w:t>8</w:t>
            </w:r>
            <w:r>
              <w:rPr>
                <w:rFonts w:hint="eastAsia" w:ascii="Times New Roman" w:hAnsi="Times New Roman" w:cs="Times New Roman"/>
                <w:b w:val="0"/>
                <w:bCs/>
                <w:sz w:val="21"/>
                <w:szCs w:val="28"/>
                <w:lang w:val="en-US" w:eastAsia="zh-CN"/>
              </w:rPr>
              <w:t>所示。</w:t>
            </w:r>
          </w:p>
          <w:p w14:paraId="7B36A1D8">
            <w:pPr>
              <w:spacing w:after="80"/>
              <w:ind w:firstLine="420"/>
              <w:jc w:val="both"/>
              <w:rPr>
                <w:rFonts w:ascii="Times New Roman" w:hAnsi="Times New Roman" w:eastAsia="宋体"/>
                <w:b w:val="0"/>
                <w:sz w:val="21"/>
              </w:rPr>
            </w:pPr>
            <w:r>
              <w:rPr>
                <w:rFonts w:ascii="Times New Roman" w:hAnsi="Times New Roman" w:eastAsia="宋体"/>
                <w:b w:val="0"/>
                <w:sz w:val="21"/>
              </w:rPr>
              <w:t>管路</w:t>
            </w:r>
            <w:r>
              <w:rPr>
                <w:rFonts w:hint="eastAsia"/>
                <w:b w:val="0"/>
                <w:sz w:val="21"/>
                <w:lang w:val="en-US" w:eastAsia="zh-CN"/>
              </w:rPr>
              <w:t>为</w:t>
            </w:r>
            <w:r>
              <w:rPr>
                <w:rFonts w:ascii="Times New Roman" w:hAnsi="Times New Roman" w:eastAsia="宋体"/>
                <w:b w:val="0"/>
                <w:sz w:val="21"/>
              </w:rPr>
              <w:t>De25PVC-U</w:t>
            </w:r>
            <w:r>
              <w:rPr>
                <w:rFonts w:hint="eastAsia"/>
                <w:b w:val="0"/>
                <w:sz w:val="21"/>
                <w:lang w:eastAsia="zh-CN"/>
              </w:rPr>
              <w:t>，</w:t>
            </w:r>
            <w:r>
              <w:rPr>
                <w:rFonts w:hint="eastAsia"/>
                <w:b w:val="0"/>
                <w:sz w:val="21"/>
                <w:lang w:val="en-US" w:eastAsia="zh-CN"/>
              </w:rPr>
              <w:t>其</w:t>
            </w:r>
            <w:r>
              <w:rPr>
                <w:rFonts w:ascii="Times New Roman" w:hAnsi="Times New Roman" w:eastAsia="宋体"/>
                <w:b w:val="0"/>
                <w:sz w:val="21"/>
              </w:rPr>
              <w:t>外径20mm、内径16mm，中心高140mm</w:t>
            </w:r>
            <w:r>
              <w:rPr>
                <w:rFonts w:hint="eastAsia"/>
                <w:b w:val="0"/>
                <w:sz w:val="21"/>
                <w:lang w:eastAsia="zh-CN"/>
              </w:rPr>
              <w:t>，</w:t>
            </w:r>
            <w:r>
              <w:rPr>
                <w:rFonts w:ascii="Times New Roman" w:hAnsi="Times New Roman" w:eastAsia="宋体"/>
                <w:b w:val="0"/>
                <w:sz w:val="21"/>
              </w:rPr>
              <w:t>框架为900×520mm铝型材。独立泄漏计量用开口收集容器，内腔半径60mm、高60mm，几何容量678.6mL。双支路清水台架水路与测点布置如图3-</w:t>
            </w:r>
            <w:r>
              <w:rPr>
                <w:rFonts w:hint="eastAsia"/>
                <w:b w:val="0"/>
                <w:sz w:val="21"/>
                <w:lang w:val="en-US" w:eastAsia="zh-CN"/>
              </w:rPr>
              <w:t>9</w:t>
            </w:r>
            <w:r>
              <w:rPr>
                <w:rFonts w:ascii="Times New Roman" w:hAnsi="Times New Roman" w:eastAsia="宋体"/>
                <w:b w:val="0"/>
                <w:sz w:val="21"/>
              </w:rPr>
              <w:t>所示。</w:t>
            </w:r>
          </w:p>
          <w:p w14:paraId="18214B5B">
            <w:pPr>
              <w:spacing w:after="80"/>
              <w:ind w:firstLine="42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drawing>
                <wp:inline distT="0" distB="0" distL="114300" distR="114300">
                  <wp:extent cx="5397500" cy="3530600"/>
                  <wp:effectExtent l="0" t="0" r="0" b="10160"/>
                  <wp:docPr id="16" name="图片 5" descr="图3 验证台架三维布局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图3 验证台架三维布局设计"/>
                          <pic:cNvPicPr>
                            <a:picLocks noChangeAspect="1"/>
                          </pic:cNvPicPr>
                        </pic:nvPicPr>
                        <pic:blipFill>
                          <a:blip r:embed="rId13"/>
                          <a:stretch>
                            <a:fillRect/>
                          </a:stretch>
                        </pic:blipFill>
                        <pic:spPr>
                          <a:xfrm>
                            <a:off x="0" y="0"/>
                            <a:ext cx="5397500" cy="3530600"/>
                          </a:xfrm>
                          <a:prstGeom prst="rect">
                            <a:avLst/>
                          </a:prstGeom>
                          <a:noFill/>
                          <a:ln>
                            <a:noFill/>
                          </a:ln>
                        </pic:spPr>
                      </pic:pic>
                    </a:graphicData>
                  </a:graphic>
                </wp:inline>
              </w:drawing>
            </w:r>
          </w:p>
          <w:p w14:paraId="1BACB289">
            <w:pPr>
              <w:pStyle w:val="2"/>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图3-8双支路验证台架三维布局</w:t>
            </w:r>
          </w:p>
          <w:p w14:paraId="51E3BF48">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045970"/>
                  <wp:effectExtent l="0" t="0" r="0" b="5080"/>
                  <wp:docPr id="17" name="图片 4" descr="图2 双支路台架水路与测点布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图2 双支路台架水路与测点布置"/>
                          <pic:cNvPicPr>
                            <a:picLocks noChangeAspect="1"/>
                          </pic:cNvPicPr>
                        </pic:nvPicPr>
                        <pic:blipFill>
                          <a:blip r:embed="rId14"/>
                          <a:stretch>
                            <a:fillRect/>
                          </a:stretch>
                        </pic:blipFill>
                        <pic:spPr>
                          <a:xfrm>
                            <a:off x="0" y="0"/>
                            <a:ext cx="5397500" cy="2045970"/>
                          </a:xfrm>
                          <a:prstGeom prst="rect">
                            <a:avLst/>
                          </a:prstGeom>
                          <a:noFill/>
                          <a:ln>
                            <a:noFill/>
                          </a:ln>
                        </pic:spPr>
                      </pic:pic>
                    </a:graphicData>
                  </a:graphic>
                </wp:inline>
              </w:drawing>
            </w:r>
          </w:p>
          <w:p w14:paraId="3275D6CC">
            <w:pPr>
              <w:spacing w:after="120"/>
              <w:ind w:firstLine="0"/>
              <w:jc w:val="center"/>
              <w:rPr>
                <w:rFonts w:ascii="Times New Roman" w:hAnsi="Times New Roman" w:eastAsia="宋体"/>
                <w:b w:val="0"/>
                <w:sz w:val="21"/>
              </w:rPr>
            </w:pPr>
            <w:r>
              <w:rPr>
                <w:rFonts w:ascii="Times New Roman" w:hAnsi="Times New Roman" w:eastAsia="宋体"/>
                <w:b w:val="0"/>
                <w:sz w:val="21"/>
              </w:rPr>
              <w:t>图3-</w:t>
            </w:r>
            <w:r>
              <w:rPr>
                <w:rFonts w:hint="eastAsia"/>
                <w:b w:val="0"/>
                <w:sz w:val="21"/>
                <w:lang w:val="en-US" w:eastAsia="zh-CN"/>
              </w:rPr>
              <w:t>9</w:t>
            </w:r>
            <w:r>
              <w:rPr>
                <w:rFonts w:ascii="Times New Roman" w:hAnsi="Times New Roman" w:eastAsia="宋体"/>
                <w:b w:val="0"/>
                <w:sz w:val="21"/>
              </w:rPr>
              <w:t xml:space="preserve"> 双支路清水台架水路</w:t>
            </w:r>
            <w:r>
              <w:rPr>
                <w:rFonts w:hint="eastAsia" w:ascii="Times New Roman" w:hAnsi="Times New Roman" w:cs="Times New Roman"/>
                <w:sz w:val="21"/>
                <w:szCs w:val="28"/>
                <w:lang w:val="en-US" w:eastAsia="zh-CN"/>
              </w:rPr>
              <w:t>与测点布置</w:t>
            </w:r>
          </w:p>
          <w:p w14:paraId="7A2B8472">
            <w:pPr>
              <w:pStyle w:val="3"/>
              <w:bidi w:val="0"/>
            </w:pPr>
            <w:r>
              <w:t>（2）水力模型与可解释特征</w:t>
            </w:r>
          </w:p>
          <w:p w14:paraId="24DE266C">
            <w:pPr>
              <w:spacing w:after="80"/>
              <w:ind w:firstLine="420"/>
              <w:jc w:val="both"/>
            </w:pPr>
            <w:r>
              <w:rPr>
                <w:rFonts w:ascii="Times New Roman" w:hAnsi="Times New Roman" w:eastAsia="宋体"/>
                <w:b w:val="0"/>
                <w:sz w:val="21"/>
              </w:rPr>
              <w:t>为</w:t>
            </w:r>
            <w:r>
              <w:rPr>
                <w:rFonts w:hint="eastAsia"/>
                <w:b w:val="0"/>
                <w:sz w:val="21"/>
                <w:lang w:val="en-US" w:eastAsia="zh-CN"/>
              </w:rPr>
              <w:t>方便</w:t>
            </w:r>
            <w:r>
              <w:rPr>
                <w:rFonts w:ascii="Times New Roman" w:hAnsi="Times New Roman" w:eastAsia="宋体"/>
                <w:b w:val="0"/>
                <w:sz w:val="21"/>
              </w:rPr>
              <w:t>台架工况与观测联系起来，水力关系采用集中参数模型，</w:t>
            </w:r>
            <w:r>
              <w:rPr>
                <w:rFonts w:hint="eastAsia"/>
                <w:b w:val="0"/>
                <w:sz w:val="21"/>
                <w:lang w:val="en-US" w:eastAsia="zh-CN"/>
              </w:rPr>
              <w:t>将</w:t>
            </w:r>
            <w:r>
              <w:rPr>
                <w:rFonts w:ascii="Times New Roman" w:hAnsi="Times New Roman" w:eastAsia="宋体"/>
                <w:b w:val="0"/>
                <w:sz w:val="21"/>
              </w:rPr>
              <w:t>监测区段与下游负载分别等效为阻力与导纳：</w:t>
            </w:r>
          </w:p>
          <w:p w14:paraId="7C013DAF">
            <w:pPr>
              <w:tabs>
                <w:tab w:val="center" w:pos="4156"/>
                <w:tab w:val="right" w:pos="8312"/>
              </w:tabs>
              <w:spacing w:after="80"/>
              <w:ind w:firstLine="0"/>
              <w:jc w:val="left"/>
            </w:pPr>
            <w:r>
              <w:rPr>
                <w:rFonts w:ascii="Times New Roman" w:hAnsi="Times New Roman" w:eastAsia="宋体"/>
                <w:b w:val="0"/>
                <w:sz w:val="21"/>
              </w:rPr>
              <w:tab/>
            </w:r>
            <m:oMath>
              <m:r>
                <m:rPr>
                  <m:sty m:val="p"/>
                </m:rPr>
                <w:rPr>
                  <w:rFonts w:ascii="Times New Roman" w:hAnsi="Times New Roman" w:eastAsia="宋体"/>
                  <w:sz w:val="21"/>
                </w:rPr>
                <m:t>P0−P1=R</m:t>
              </m:r>
              <m:r>
                <m:rPr>
                  <m:sty m:val="p"/>
                </m:rPr>
                <w:rPr>
                  <w:rFonts w:hint="eastAsia" w:ascii="Cambria Math" w:hAnsi="Cambria Math" w:eastAsia="微软雅黑" w:cs="微软雅黑"/>
                  <w:sz w:val="21"/>
                </w:rPr>
                <m:t>∙</m:t>
              </m:r>
              <m:r>
                <m:rPr>
                  <m:sty m:val="p"/>
                </m:rPr>
                <w:rPr>
                  <w:rFonts w:ascii="Times New Roman" w:hAnsi="Times New Roman" w:eastAsia="宋体"/>
                  <w:sz w:val="21"/>
                </w:rPr>
                <m:t>Q²</m:t>
              </m:r>
            </m:oMath>
            <w:r>
              <w:rPr>
                <w:rFonts w:ascii="Times New Roman" w:hAnsi="Times New Roman" w:eastAsia="宋体"/>
                <w:b w:val="0"/>
                <w:sz w:val="21"/>
              </w:rPr>
              <w:tab/>
            </w:r>
            <w:r>
              <w:rPr>
                <w:rFonts w:ascii="Times New Roman" w:hAnsi="Times New Roman" w:eastAsia="宋体"/>
                <w:b w:val="0"/>
                <w:sz w:val="21"/>
              </w:rPr>
              <w:t>（3-1）</w:t>
            </w:r>
          </w:p>
          <w:p w14:paraId="6D8C99F1">
            <w:pPr>
              <w:tabs>
                <w:tab w:val="center" w:pos="4156"/>
                <w:tab w:val="right" w:pos="8312"/>
              </w:tabs>
              <w:spacing w:after="80"/>
              <w:ind w:firstLine="0"/>
              <w:jc w:val="left"/>
            </w:pPr>
            <w:r>
              <w:rPr>
                <w:rFonts w:ascii="Times New Roman" w:hAnsi="Times New Roman" w:eastAsia="宋体"/>
                <w:b w:val="0"/>
                <w:sz w:val="21"/>
              </w:rPr>
              <w:tab/>
            </w:r>
            <m:oMath>
              <m:r>
                <m:rPr>
                  <m:sty m:val="p"/>
                </m:rPr>
                <w:rPr>
                  <w:rFonts w:ascii="Cambria Math" w:hAnsi="Cambria Math" w:eastAsia="宋体" w:cstheme="minorBidi"/>
                  <w:sz w:val="21"/>
                  <w:szCs w:val="22"/>
                  <w:lang w:val="en-US" w:bidi="ar-SA"/>
                </w:rPr>
                <m:t>Q=(Cn+Cl)</m:t>
              </m:r>
              <m:rad>
                <m:radPr>
                  <m:degHide m:val="1"/>
                  <m:ctrlPr>
                    <w:rPr>
                      <w:rFonts w:ascii="Cambria Math" w:hAnsi="Cambria Math" w:eastAsia="宋体" w:cstheme="minorBidi"/>
                      <w:b w:val="0"/>
                      <w:sz w:val="21"/>
                      <w:szCs w:val="22"/>
                      <w:lang w:val="en-US" w:bidi="ar-SA"/>
                    </w:rPr>
                  </m:ctrlPr>
                </m:radPr>
                <m:deg>
                  <m:ctrlPr>
                    <w:rPr>
                      <w:rFonts w:ascii="Cambria Math" w:hAnsi="Cambria Math" w:eastAsia="宋体" w:cstheme="minorBidi"/>
                      <w:b w:val="0"/>
                      <w:sz w:val="21"/>
                      <w:szCs w:val="22"/>
                      <w:lang w:val="en-US" w:bidi="ar-SA"/>
                    </w:rPr>
                  </m:ctrlPr>
                </m:deg>
                <m:e>
                  <m:r>
                    <m:rPr>
                      <m:sty m:val="p"/>
                    </m:rPr>
                    <w:rPr>
                      <w:rFonts w:ascii="Cambria Math" w:hAnsi="Cambria Math" w:eastAsia="宋体" w:cstheme="minorBidi"/>
                      <w:sz w:val="21"/>
                      <w:szCs w:val="22"/>
                      <w:lang w:val="en-US" w:bidi="ar-SA"/>
                    </w:rPr>
                    <m:t>P1</m:t>
                  </m:r>
                  <m:ctrlPr>
                    <w:rPr>
                      <w:rFonts w:ascii="Cambria Math" w:hAnsi="Cambria Math" w:eastAsia="宋体" w:cstheme="minorBidi"/>
                      <w:b w:val="0"/>
                      <w:sz w:val="21"/>
                      <w:szCs w:val="22"/>
                      <w:lang w:val="en-US" w:bidi="ar-SA"/>
                    </w:rPr>
                  </m:ctrlPr>
                </m:e>
              </m:rad>
            </m:oMath>
            <w:r>
              <w:rPr>
                <w:rFonts w:ascii="Times New Roman" w:hAnsi="Times New Roman" w:eastAsia="宋体"/>
                <w:b w:val="0"/>
                <w:sz w:val="21"/>
              </w:rPr>
              <w:tab/>
            </w:r>
            <w:r>
              <w:rPr>
                <w:rFonts w:ascii="Times New Roman" w:hAnsi="Times New Roman" w:eastAsia="宋体"/>
                <w:b w:val="0"/>
                <w:sz w:val="21"/>
              </w:rPr>
              <w:t>（3-2）</w:t>
            </w:r>
          </w:p>
          <w:p w14:paraId="7635792D">
            <w:pPr>
              <w:spacing w:after="80"/>
              <w:ind w:firstLine="420"/>
              <w:jc w:val="both"/>
            </w:pPr>
            <w:r>
              <w:rPr>
                <w:rFonts w:ascii="Times New Roman" w:hAnsi="Times New Roman" w:eastAsia="宋体"/>
                <w:b w:val="0"/>
                <w:sz w:val="21"/>
              </w:rPr>
              <w:t>式中，P0、P1为两测点压力（kPa），Q为测点总流量（L/min），R为监测区段等效阻力（kPa/(L/min)²），C</w:t>
            </w:r>
            <w:r>
              <w:rPr>
                <w:rFonts w:ascii="Times New Roman" w:hAnsi="Times New Roman" w:eastAsia="宋体"/>
                <w:b w:val="0"/>
                <w:sz w:val="21"/>
                <w:vertAlign w:val="subscript"/>
              </w:rPr>
              <w:t>n</w:t>
            </w:r>
            <w:r>
              <w:rPr>
                <w:rFonts w:ascii="Times New Roman" w:hAnsi="Times New Roman" w:eastAsia="宋体"/>
                <w:b w:val="0"/>
                <w:sz w:val="21"/>
              </w:rPr>
              <w:t>为正常负载系数、C</w:t>
            </w:r>
            <w:r>
              <w:rPr>
                <w:rFonts w:ascii="Times New Roman" w:hAnsi="Times New Roman" w:eastAsia="宋体"/>
                <w:b w:val="0"/>
                <w:sz w:val="21"/>
                <w:vertAlign w:val="subscript"/>
              </w:rPr>
              <w:t>l</w:t>
            </w:r>
            <w:r>
              <w:rPr>
                <w:rFonts w:ascii="Times New Roman" w:hAnsi="Times New Roman" w:eastAsia="宋体"/>
                <w:b w:val="0"/>
                <w:sz w:val="21"/>
              </w:rPr>
              <w:t>为附加泄漏系数（(L/min)/√kPa）。式3-1来自节流件流量与压差的平方根关系，对两测点之间的局部节流（受限元件R）成立；若该段损失以管壁沿程摩擦为主，经验指数应在1.75—1.85之间。式3-2即灌水器流量式取流态指数0.5，适用于紊流或孔口型灌水器</w:t>
            </w:r>
            <w:r>
              <w:rPr>
                <w:rFonts w:hint="eastAsia"/>
                <w:b w:val="0"/>
                <w:sz w:val="21"/>
                <w:lang w:eastAsia="zh-CN"/>
              </w:rPr>
              <w:t>。</w:t>
            </w:r>
            <w:r>
              <w:rPr>
                <w:rFonts w:hint="eastAsia"/>
                <w:b w:val="0"/>
                <w:sz w:val="21"/>
                <w:lang w:val="en-US" w:eastAsia="zh-CN"/>
              </w:rPr>
              <w:t>目</w:t>
            </w:r>
            <w:r>
              <w:rPr>
                <w:rFonts w:ascii="Times New Roman" w:hAnsi="Times New Roman" w:eastAsia="宋体"/>
                <w:b w:val="0"/>
                <w:sz w:val="21"/>
              </w:rPr>
              <w:t>前设计取健康状态C</w:t>
            </w:r>
            <w:r>
              <w:rPr>
                <w:rFonts w:ascii="Times New Roman" w:hAnsi="Times New Roman" w:eastAsia="宋体"/>
                <w:b w:val="0"/>
                <w:sz w:val="21"/>
                <w:vertAlign w:val="subscript"/>
              </w:rPr>
              <w:t>n</w:t>
            </w:r>
            <w:r>
              <w:rPr>
                <w:rFonts w:ascii="Times New Roman" w:hAnsi="Times New Roman" w:eastAsia="宋体"/>
                <w:b w:val="0"/>
                <w:sz w:val="21"/>
              </w:rPr>
              <w:t>=0.28、R=0.8，泄漏时总负载系数由0.28逐渐增至0.37，受限时R由0.8逐渐增至8。</w:t>
            </w:r>
          </w:p>
          <w:p w14:paraId="1385009A">
            <w:pPr>
              <w:spacing w:after="80"/>
              <w:ind w:firstLine="0"/>
              <w:jc w:val="left"/>
              <w:outlineLvl w:val="2"/>
            </w:pPr>
            <w:r>
              <w:rPr>
                <w:rFonts w:ascii="Times New Roman" w:hAnsi="Times New Roman" w:eastAsia="宋体"/>
                <w:b/>
                <w:sz w:val="21"/>
              </w:rPr>
              <w:t>3.3.4. 软件模块设计</w:t>
            </w:r>
          </w:p>
          <w:p w14:paraId="7070FB44">
            <w:pPr>
              <w:spacing w:after="80"/>
              <w:ind w:firstLine="420"/>
              <w:jc w:val="both"/>
              <w:rPr>
                <w:rFonts w:hint="eastAsia" w:eastAsia="宋体"/>
                <w:lang w:eastAsia="zh-CN"/>
              </w:rPr>
            </w:pPr>
            <w:r>
              <w:rPr>
                <w:rFonts w:ascii="Times New Roman" w:hAnsi="Times New Roman" w:eastAsia="宋体"/>
                <w:b w:val="0"/>
                <w:sz w:val="21"/>
              </w:rPr>
              <w:t>判断、上报与核查在这一组内闭环。节点侧只做有限判断并留存证据，计算机侧负责持久化与人工核查，两侧通过事件与确认衔接</w:t>
            </w:r>
            <w:r>
              <w:rPr>
                <w:rFonts w:hint="eastAsia"/>
                <w:b w:val="0"/>
                <w:sz w:val="21"/>
                <w:lang w:eastAsia="zh-CN"/>
              </w:rPr>
              <w:t>。</w:t>
            </w:r>
          </w:p>
          <w:p w14:paraId="2C7E04D0">
            <w:pPr>
              <w:pStyle w:val="3"/>
              <w:bidi w:val="0"/>
            </w:pPr>
            <w:r>
              <w:t>（1）诊断算法</w:t>
            </w:r>
          </w:p>
          <w:p w14:paraId="62E60EA9">
            <w:pPr>
              <w:spacing w:after="80"/>
              <w:ind w:firstLine="420"/>
              <w:jc w:val="both"/>
              <w:rPr>
                <w:rFonts w:hint="default" w:eastAsia="宋体"/>
                <w:lang w:val="en-US" w:eastAsia="zh-CN"/>
              </w:rPr>
            </w:pPr>
            <w:r>
              <w:rPr>
                <w:rFonts w:ascii="Times New Roman" w:hAnsi="Times New Roman" w:eastAsia="宋体"/>
                <w:b w:val="0"/>
                <w:sz w:val="21"/>
              </w:rPr>
              <w:t>节点在本地对P0、P1与Q作有限判断，算法采用上述模型的两项可解释特征：表征下游等效负载</w:t>
            </w:r>
            <w:r>
              <w:rPr>
                <w:rFonts w:hint="eastAsia"/>
                <w:b w:val="0"/>
                <w:sz w:val="21"/>
                <w:lang w:val="en-US" w:eastAsia="zh-CN"/>
              </w:rPr>
              <w:t>与表征</w:t>
            </w:r>
            <w:r>
              <w:rPr>
                <w:rFonts w:ascii="Times New Roman" w:hAnsi="Times New Roman" w:eastAsia="宋体"/>
                <w:b w:val="0"/>
                <w:sz w:val="21"/>
              </w:rPr>
              <w:t>监测区段阻力</w:t>
            </w:r>
            <w:r>
              <w:rPr>
                <w:rFonts w:hint="eastAsia"/>
                <w:b w:val="0"/>
                <w:sz w:val="21"/>
                <w:lang w:val="en-US" w:eastAsia="zh-CN"/>
              </w:rPr>
              <w:t>分别如下所示：</w:t>
            </w:r>
          </w:p>
          <w:p w14:paraId="2ED651B3">
            <w:pPr>
              <w:tabs>
                <w:tab w:val="center" w:pos="4156"/>
                <w:tab w:val="right" w:pos="8312"/>
              </w:tabs>
              <w:spacing w:after="80"/>
              <w:ind w:firstLine="0"/>
              <w:jc w:val="left"/>
            </w:pPr>
            <w:r>
              <w:rPr>
                <w:rFonts w:ascii="Times New Roman" w:hAnsi="Times New Roman" w:eastAsia="宋体"/>
                <w:b w:val="0"/>
                <w:sz w:val="21"/>
              </w:rPr>
              <w:tab/>
            </w:r>
            <m:oMath>
              <m:r>
                <m:rPr>
                  <m:sty m:val="p"/>
                </m:rPr>
                <w:rPr>
                  <w:rFonts w:ascii="Cambria Math" w:hAnsi="Cambria Math" w:eastAsia="宋体" w:cstheme="minorBidi"/>
                  <w:sz w:val="21"/>
                  <w:szCs w:val="22"/>
                  <w:lang w:val="en-US" w:bidi="ar-SA"/>
                </w:rPr>
                <m:t>K = Q/</m:t>
              </m:r>
              <m:rad>
                <m:radPr>
                  <m:degHide m:val="1"/>
                  <m:ctrlPr>
                    <w:rPr>
                      <w:rFonts w:ascii="Cambria Math" w:hAnsi="Cambria Math" w:eastAsia="宋体" w:cstheme="minorBidi"/>
                      <w:b w:val="0"/>
                      <w:sz w:val="21"/>
                      <w:szCs w:val="22"/>
                      <w:lang w:val="en-US" w:bidi="ar-SA"/>
                    </w:rPr>
                  </m:ctrlPr>
                </m:radPr>
                <m:deg>
                  <m:ctrlPr>
                    <w:rPr>
                      <w:rFonts w:ascii="Cambria Math" w:hAnsi="Cambria Math" w:eastAsia="宋体" w:cstheme="minorBidi"/>
                      <w:b w:val="0"/>
                      <w:sz w:val="21"/>
                      <w:szCs w:val="22"/>
                      <w:lang w:val="en-US" w:bidi="ar-SA"/>
                    </w:rPr>
                  </m:ctrlPr>
                </m:deg>
                <m:e>
                  <m:r>
                    <m:rPr>
                      <m:sty m:val="p"/>
                    </m:rPr>
                    <w:rPr>
                      <w:rFonts w:ascii="Cambria Math" w:hAnsi="Cambria Math" w:eastAsia="宋体" w:cstheme="minorBidi"/>
                      <w:sz w:val="21"/>
                      <w:szCs w:val="22"/>
                      <w:lang w:val="en-US" w:bidi="ar-SA"/>
                    </w:rPr>
                    <m:t>P1</m:t>
                  </m:r>
                  <m:ctrlPr>
                    <w:rPr>
                      <w:rFonts w:ascii="Cambria Math" w:hAnsi="Cambria Math" w:eastAsia="宋体" w:cstheme="minorBidi"/>
                      <w:b w:val="0"/>
                      <w:sz w:val="21"/>
                      <w:szCs w:val="22"/>
                      <w:lang w:val="en-US" w:bidi="ar-SA"/>
                    </w:rPr>
                  </m:ctrlPr>
                </m:e>
              </m:rad>
            </m:oMath>
            <w:r>
              <w:rPr>
                <w:rFonts w:ascii="Times New Roman" w:hAnsi="Times New Roman" w:eastAsia="宋体"/>
                <w:b w:val="0"/>
                <w:sz w:val="21"/>
              </w:rPr>
              <w:tab/>
            </w:r>
            <w:r>
              <w:rPr>
                <w:rFonts w:ascii="Times New Roman" w:hAnsi="Times New Roman" w:eastAsia="宋体"/>
                <w:b w:val="0"/>
                <w:sz w:val="21"/>
              </w:rPr>
              <w:t>（3-3）</w:t>
            </w:r>
          </w:p>
          <w:p w14:paraId="3B93B74C">
            <w:pPr>
              <w:tabs>
                <w:tab w:val="center" w:pos="4156"/>
                <w:tab w:val="right" w:pos="8312"/>
              </w:tabs>
              <w:spacing w:after="80"/>
              <w:ind w:firstLine="0"/>
              <w:jc w:val="left"/>
            </w:pPr>
            <w:r>
              <w:rPr>
                <w:rFonts w:ascii="Times New Roman" w:hAnsi="Times New Roman" w:eastAsia="宋体"/>
                <w:b w:val="0"/>
                <w:sz w:val="21"/>
              </w:rPr>
              <w:tab/>
            </w:r>
            <m:oMath>
              <m:r>
                <m:rPr>
                  <m:sty m:val="p"/>
                </m:rPr>
                <w:rPr>
                  <w:rFonts w:ascii="Cambria Math" w:hAnsi="Cambria Math" w:eastAsia="宋体" w:cstheme="minorBidi"/>
                  <w:sz w:val="21"/>
                  <w:szCs w:val="22"/>
                  <w:lang w:val="en-US" w:bidi="ar-SA"/>
                </w:rPr>
                <m:t>R̂ = (P0 − P1)/Q²</m:t>
              </m:r>
            </m:oMath>
            <w:r>
              <w:rPr>
                <w:rFonts w:ascii="Times New Roman" w:hAnsi="Times New Roman" w:eastAsia="宋体"/>
                <w:b w:val="0"/>
                <w:sz w:val="21"/>
              </w:rPr>
              <w:tab/>
            </w:r>
            <w:r>
              <w:rPr>
                <w:rFonts w:ascii="Times New Roman" w:hAnsi="Times New Roman" w:eastAsia="宋体"/>
                <w:b w:val="0"/>
                <w:sz w:val="21"/>
              </w:rPr>
              <w:t>（3-4）</w:t>
            </w:r>
          </w:p>
          <w:p w14:paraId="407C687A">
            <w:pPr>
              <w:spacing w:after="80"/>
              <w:ind w:firstLine="420"/>
              <w:jc w:val="both"/>
              <w:rPr>
                <w:rFonts w:hint="default" w:eastAsia="宋体"/>
                <w:lang w:val="en-US" w:eastAsia="zh-CN"/>
              </w:rPr>
            </w:pPr>
            <w:r>
              <w:rPr>
                <w:rFonts w:ascii="Times New Roman" w:hAnsi="Times New Roman" w:eastAsia="宋体"/>
                <w:b w:val="0"/>
                <w:sz w:val="21"/>
              </w:rPr>
              <w:t>判断在固定1Hz基线上采用</w:t>
            </w:r>
            <w:r>
              <w:rPr>
                <w:rFonts w:hint="eastAsia"/>
                <w:b w:val="0"/>
                <w:sz w:val="21"/>
                <w:lang w:val="en-US" w:eastAsia="zh-CN"/>
              </w:rPr>
              <w:t>了</w:t>
            </w:r>
            <w:r>
              <w:rPr>
                <w:rFonts w:ascii="Times New Roman" w:hAnsi="Times New Roman" w:eastAsia="宋体"/>
                <w:b w:val="0"/>
                <w:sz w:val="21"/>
              </w:rPr>
              <w:t>双时间窗：特征先作因果均值，K相对健康参照上升或R̂绝对上升超过门限时，短窗连续成立形成关注提示，主窗连续成立形成持续候选，两窗分别建立并记录健康参照。工况门控用于过滤上游供压变化与邻支路开关造成的相似观测</w:t>
            </w:r>
            <w:r>
              <w:rPr>
                <w:rFonts w:hint="eastAsia"/>
                <w:b w:val="0"/>
                <w:sz w:val="21"/>
                <w:lang w:eastAsia="zh-CN"/>
              </w:rPr>
              <w:t>。</w:t>
            </w:r>
            <w:r>
              <w:rPr>
                <w:rFonts w:ascii="Times New Roman" w:hAnsi="Times New Roman" w:eastAsia="宋体"/>
                <w:b w:val="0"/>
                <w:sz w:val="21"/>
              </w:rPr>
              <w:t>质量与工况辅助诊断流程</w:t>
            </w:r>
            <w:r>
              <w:rPr>
                <w:rFonts w:hint="eastAsia" w:ascii="Times New Roman" w:hAnsi="Times New Roman"/>
                <w:b w:val="0"/>
                <w:sz w:val="21"/>
                <w:lang w:val="en-US" w:eastAsia="zh-CN"/>
              </w:rPr>
              <w:t>如图3-10所示。</w:t>
            </w:r>
          </w:p>
          <w:p w14:paraId="1501A84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990850"/>
                  <wp:effectExtent l="0" t="0" r="0" b="10160"/>
                  <wp:docPr id="18" name="图片 7" descr="图6 支管异常诊断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图6 支管异常诊断流程"/>
                          <pic:cNvPicPr>
                            <a:picLocks noChangeAspect="1"/>
                          </pic:cNvPicPr>
                        </pic:nvPicPr>
                        <pic:blipFill>
                          <a:blip r:embed="rId15"/>
                          <a:stretch>
                            <a:fillRect/>
                          </a:stretch>
                        </pic:blipFill>
                        <pic:spPr>
                          <a:xfrm>
                            <a:off x="0" y="0"/>
                            <a:ext cx="5397500" cy="2990850"/>
                          </a:xfrm>
                          <a:prstGeom prst="rect">
                            <a:avLst/>
                          </a:prstGeom>
                          <a:noFill/>
                          <a:ln>
                            <a:noFill/>
                          </a:ln>
                        </pic:spPr>
                      </pic:pic>
                    </a:graphicData>
                  </a:graphic>
                </wp:inline>
              </w:drawing>
            </w:r>
          </w:p>
          <w:p w14:paraId="2DDB52A9">
            <w:pPr>
              <w:spacing w:after="120"/>
              <w:ind w:firstLine="0"/>
              <w:jc w:val="center"/>
            </w:pPr>
            <w:r>
              <w:rPr>
                <w:rFonts w:ascii="Times New Roman" w:hAnsi="Times New Roman" w:eastAsia="宋体"/>
                <w:b w:val="0"/>
                <w:sz w:val="21"/>
              </w:rPr>
              <w:t>图3-</w:t>
            </w:r>
            <w:r>
              <w:rPr>
                <w:rFonts w:hint="eastAsia"/>
                <w:b w:val="0"/>
                <w:sz w:val="21"/>
                <w:lang w:val="en-US" w:eastAsia="zh-CN"/>
              </w:rPr>
              <w:t>10</w:t>
            </w:r>
            <w:r>
              <w:rPr>
                <w:rFonts w:ascii="Times New Roman" w:hAnsi="Times New Roman" w:eastAsia="宋体"/>
                <w:b w:val="0"/>
                <w:sz w:val="21"/>
              </w:rPr>
              <w:t xml:space="preserve"> 质量与工况辅助诊断流程</w:t>
            </w:r>
          </w:p>
          <w:p w14:paraId="69A0AED5">
            <w:pPr>
              <w:pStyle w:val="3"/>
              <w:bidi w:val="0"/>
            </w:pPr>
            <w:r>
              <w:t>（2）接收服务与巡检平台</w:t>
            </w:r>
          </w:p>
          <w:p w14:paraId="2AE8FAB3">
            <w:pPr>
              <w:spacing w:after="80"/>
              <w:ind w:firstLine="420"/>
              <w:jc w:val="both"/>
            </w:pPr>
            <w:r>
              <w:rPr>
                <w:rFonts w:ascii="Times New Roman" w:hAnsi="Times New Roman" w:eastAsia="宋体"/>
                <w:b w:val="0"/>
                <w:sz w:val="21"/>
              </w:rPr>
              <w:t>计算机侧承担持久化与人工核查，由接收服务与巡检平台两部分构成。接收服务的处理顺序固定为：串口或USB-TTL收到字节流后先做帧校验与COBS解界定，校验通过再提交数据库，提交成功后才构造并回复确认；数据库采用DELETE回滚日志与synchronous=EXTRA，以保证提交的原子性。事件队列按16个业务槽、1个探测槽与64条完整历史槽组织，初始最多派发8次、业务保留300s；队列满时按异常优先原则处置普通遥测，并保留拒绝原因与现场快照，以保证告警类事件优先获得槽位。</w:t>
            </w:r>
          </w:p>
          <w:p w14:paraId="21B4EC34">
            <w:pPr>
              <w:spacing w:after="80"/>
              <w:ind w:firstLine="420"/>
              <w:jc w:val="both"/>
            </w:pPr>
            <w:r>
              <w:rPr>
                <w:rFonts w:ascii="Times New Roman" w:hAnsi="Times New Roman" w:eastAsia="宋体"/>
                <w:b w:val="0"/>
                <w:sz w:val="21"/>
              </w:rPr>
              <w:t>巡检平台为本地服务加桌面窗口，八个页面分别承担总览、支管监测、异常事件、设备与链路、历史记录、实验记录、试验台架与系统设置；平台保存原始候选快照，人工核查另行追加，核查与复测记录同支管编号、测点区段关联，断连时显示无当前有效判断，不用旧值显示正常。控制请求只记录请求、软件接收、模拟输出与人工复位四类状态。</w:t>
            </w:r>
            <w:r>
              <w:rPr>
                <w:rFonts w:hint="eastAsia" w:ascii="Times New Roman" w:hAnsi="Times New Roman" w:cs="Times New Roman"/>
                <w:sz w:val="21"/>
                <w:szCs w:val="28"/>
                <w:lang w:val="en-US" w:eastAsia="zh-CN"/>
              </w:rPr>
              <w:t>事件接收确认与重传时序</w:t>
            </w:r>
            <w:r>
              <w:rPr>
                <w:rFonts w:ascii="Times New Roman" w:hAnsi="Times New Roman" w:eastAsia="宋体"/>
                <w:b w:val="0"/>
                <w:sz w:val="21"/>
              </w:rPr>
              <w:t>如图3-</w:t>
            </w:r>
            <w:r>
              <w:rPr>
                <w:rFonts w:hint="eastAsia"/>
                <w:b w:val="0"/>
                <w:sz w:val="21"/>
                <w:lang w:val="en-US" w:eastAsia="zh-CN"/>
              </w:rPr>
              <w:t>11</w:t>
            </w:r>
            <w:r>
              <w:rPr>
                <w:rFonts w:ascii="Times New Roman" w:hAnsi="Times New Roman" w:eastAsia="宋体"/>
                <w:b w:val="0"/>
                <w:sz w:val="21"/>
              </w:rPr>
              <w:t>所示。</w:t>
            </w:r>
          </w:p>
          <w:p w14:paraId="345A6BEE">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743200"/>
                  <wp:effectExtent l="0" t="0" r="0" b="9525"/>
                  <wp:docPr id="19" name="图片 19" descr="图7 事件接收确认与重传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7 事件接收确认与重传时序"/>
                          <pic:cNvPicPr>
                            <a:picLocks noChangeAspect="1"/>
                          </pic:cNvPicPr>
                        </pic:nvPicPr>
                        <pic:blipFill>
                          <a:blip r:embed="rId16"/>
                          <a:stretch>
                            <a:fillRect/>
                          </a:stretch>
                        </pic:blipFill>
                        <pic:spPr>
                          <a:xfrm>
                            <a:off x="0" y="0"/>
                            <a:ext cx="5397500" cy="2743200"/>
                          </a:xfrm>
                          <a:prstGeom prst="rect">
                            <a:avLst/>
                          </a:prstGeom>
                          <a:noFill/>
                          <a:ln>
                            <a:noFill/>
                          </a:ln>
                        </pic:spPr>
                      </pic:pic>
                    </a:graphicData>
                  </a:graphic>
                </wp:inline>
              </w:drawing>
            </w:r>
          </w:p>
          <w:p w14:paraId="0463BBCB">
            <w:pPr>
              <w:spacing w:after="120"/>
              <w:ind w:firstLine="0"/>
              <w:jc w:val="center"/>
            </w:pPr>
            <w:r>
              <w:rPr>
                <w:rFonts w:ascii="Times New Roman" w:hAnsi="Times New Roman" w:eastAsia="宋体"/>
                <w:b w:val="0"/>
                <w:sz w:val="21"/>
              </w:rPr>
              <w:t>图3-</w:t>
            </w:r>
            <w:r>
              <w:rPr>
                <w:rFonts w:hint="eastAsia"/>
                <w:b w:val="0"/>
                <w:sz w:val="21"/>
                <w:lang w:val="en-US" w:eastAsia="zh-CN"/>
              </w:rPr>
              <w:t>11</w:t>
            </w:r>
            <w:r>
              <w:rPr>
                <w:rFonts w:ascii="Times New Roman" w:hAnsi="Times New Roman" w:eastAsia="宋体"/>
                <w:b w:val="0"/>
                <w:sz w:val="21"/>
              </w:rPr>
              <w:t xml:space="preserve"> </w:t>
            </w:r>
            <w:r>
              <w:rPr>
                <w:rFonts w:hint="eastAsia" w:ascii="Times New Roman" w:hAnsi="Times New Roman" w:cs="Times New Roman"/>
                <w:sz w:val="21"/>
                <w:szCs w:val="28"/>
                <w:lang w:val="en-US" w:eastAsia="zh-CN"/>
              </w:rPr>
              <w:t>事件接收确认与重传时序</w:t>
            </w:r>
          </w:p>
          <w:p w14:paraId="57D7C1DE">
            <w:pPr>
              <w:spacing w:after="80"/>
              <w:ind w:firstLine="0"/>
              <w:jc w:val="left"/>
              <w:outlineLvl w:val="1"/>
            </w:pPr>
            <w:r>
              <w:rPr>
                <w:rFonts w:ascii="Times New Roman" w:hAnsi="Times New Roman" w:eastAsia="宋体"/>
                <w:b/>
                <w:sz w:val="21"/>
              </w:rPr>
              <w:t>3.4. 实验方案</w:t>
            </w:r>
          </w:p>
          <w:p w14:paraId="2B683283">
            <w:pPr>
              <w:spacing w:after="80"/>
              <w:ind w:firstLine="0"/>
              <w:jc w:val="left"/>
              <w:outlineLvl w:val="2"/>
            </w:pPr>
            <w:r>
              <w:rPr>
                <w:rFonts w:ascii="Times New Roman" w:hAnsi="Times New Roman" w:eastAsia="宋体"/>
                <w:b/>
                <w:sz w:val="21"/>
              </w:rPr>
              <w:t>3.4.1. 实验目标</w:t>
            </w:r>
          </w:p>
          <w:p w14:paraId="33D8F273">
            <w:pPr>
              <w:spacing w:after="80"/>
              <w:ind w:firstLine="420"/>
              <w:jc w:val="both"/>
            </w:pPr>
            <w:r>
              <w:rPr>
                <w:rFonts w:ascii="Times New Roman" w:hAnsi="Times New Roman" w:eastAsia="宋体"/>
                <w:b w:val="0"/>
                <w:sz w:val="21"/>
              </w:rPr>
              <w:t>本实验在A、B双支路清水台架上完成两项判定：一是确定5%—15%等效泄漏与等效受限在现有测量条件下可分辨的范围，并给出该范围内判据的漏检与误报；二是确定另一支管开关与上游供压变化对判据的影响边界，说明哪些观测能够可靠提示。实验以独立参考量与独立故障操作标签为真值，</w:t>
            </w:r>
            <w:r>
              <w:rPr>
                <w:rFonts w:ascii="Times New Roman" w:hAnsi="Times New Roman" w:eastAsia="宋体"/>
                <w:b w:val="0"/>
                <w:bCs/>
                <w:sz w:val="21"/>
              </w:rPr>
              <w:t>不用诊断输出反向定义故障</w:t>
            </w:r>
            <w:r>
              <w:rPr>
                <w:rFonts w:ascii="Times New Roman" w:hAnsi="Times New Roman" w:eastAsia="宋体"/>
                <w:b w:val="0"/>
                <w:sz w:val="21"/>
              </w:rPr>
              <w:t>。</w:t>
            </w:r>
          </w:p>
          <w:p w14:paraId="777706C0">
            <w:pPr>
              <w:spacing w:after="80"/>
              <w:ind w:firstLine="0"/>
              <w:jc w:val="left"/>
              <w:outlineLvl w:val="2"/>
            </w:pPr>
            <w:r>
              <w:rPr>
                <w:rFonts w:ascii="Times New Roman" w:hAnsi="Times New Roman" w:eastAsia="宋体"/>
                <w:b/>
                <w:sz w:val="21"/>
              </w:rPr>
              <w:t>3.4.</w:t>
            </w:r>
            <w:r>
              <w:rPr>
                <w:rFonts w:hint="eastAsia"/>
                <w:b/>
                <w:sz w:val="21"/>
                <w:lang w:val="en-US" w:eastAsia="zh-CN"/>
              </w:rPr>
              <w:t>2</w:t>
            </w:r>
            <w:r>
              <w:rPr>
                <w:rFonts w:ascii="Times New Roman" w:hAnsi="Times New Roman" w:eastAsia="宋体"/>
                <w:b/>
                <w:sz w:val="21"/>
              </w:rPr>
              <w:t>. 实验步骤</w:t>
            </w:r>
          </w:p>
          <w:p w14:paraId="138C0704">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1）参考标定与健康参照建立。实验首先在真实水路条件下完成参考标定：压力回路选取不少于5个工作点进行升压与降压双向标定，每个工作点重复读取不少于3次，并增加两个压力通道在相同压力下的共同压力对照，用于检验通道间偏差；流量采用容积或称重计时方式在不少于5个工作点上校核，同时检查取样时长与重复性。标定过程</w:t>
            </w:r>
            <w:r>
              <w:rPr>
                <w:rFonts w:hint="eastAsia" w:ascii="宋体" w:hAnsi="宋体" w:cs="宋体"/>
                <w:b w:val="0"/>
                <w:sz w:val="21"/>
                <w:lang w:val="en-US" w:eastAsia="zh-CN"/>
              </w:rPr>
              <w:t>中</w:t>
            </w:r>
            <w:r>
              <w:rPr>
                <w:rFonts w:hint="eastAsia" w:ascii="宋体" w:hAnsi="宋体" w:eastAsia="宋体" w:cs="宋体"/>
                <w:b w:val="0"/>
                <w:sz w:val="21"/>
              </w:rPr>
              <w:t>保存参考仪器信息、原始读数、拟合参数与残差，并分离标定批次与后续验证批次，</w:t>
            </w:r>
            <w:r>
              <w:rPr>
                <w:rFonts w:hint="eastAsia" w:ascii="宋体" w:hAnsi="宋体" w:cs="宋体"/>
                <w:b w:val="0"/>
                <w:sz w:val="21"/>
                <w:lang w:val="en-US" w:eastAsia="zh-CN"/>
              </w:rPr>
              <w:t>并</w:t>
            </w:r>
            <w:r>
              <w:rPr>
                <w:rFonts w:hint="eastAsia" w:ascii="宋体" w:hAnsi="宋体" w:eastAsia="宋体" w:cs="宋体"/>
                <w:b w:val="0"/>
                <w:sz w:val="21"/>
              </w:rPr>
              <w:t>据此建立健康状态下的</w:t>
            </w:r>
            <w:r>
              <w:rPr>
                <w:rFonts w:hint="eastAsia" w:ascii="宋体" w:hAnsi="宋体" w:cs="宋体"/>
                <w:b w:val="0"/>
                <w:sz w:val="21"/>
                <w:lang w:eastAsia="zh-CN"/>
              </w:rPr>
              <w:t>“</w:t>
            </w:r>
            <w:r>
              <w:rPr>
                <w:rFonts w:hint="eastAsia" w:ascii="宋体" w:hAnsi="宋体" w:eastAsia="宋体" w:cs="宋体"/>
                <w:b w:val="0"/>
                <w:sz w:val="21"/>
              </w:rPr>
              <w:t>压力—流量</w:t>
            </w:r>
            <w:r>
              <w:rPr>
                <w:rFonts w:hint="eastAsia" w:ascii="宋体" w:hAnsi="宋体" w:cs="宋体"/>
                <w:b w:val="0"/>
                <w:sz w:val="21"/>
                <w:lang w:eastAsia="zh-CN"/>
              </w:rPr>
              <w:t>”</w:t>
            </w:r>
            <w:r>
              <w:rPr>
                <w:rFonts w:hint="eastAsia" w:ascii="宋体" w:hAnsi="宋体" w:eastAsia="宋体" w:cs="宋体"/>
                <w:b w:val="0"/>
                <w:sz w:val="21"/>
              </w:rPr>
              <w:t>关系曲线与区段阻力参照，作为判据比对与门限核定的基准。</w:t>
            </w:r>
          </w:p>
          <w:p w14:paraId="223559F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（2）台架装配与密封检查。按图3-</w:t>
            </w:r>
            <w:r>
              <w:rPr>
                <w:rFonts w:hint="eastAsia" w:ascii="宋体" w:hAnsi="宋体" w:cs="宋体"/>
                <w:b w:val="0"/>
                <w:sz w:val="21"/>
                <w:lang w:val="en-US" w:eastAsia="zh-CN"/>
              </w:rPr>
              <w:t>8</w:t>
            </w:r>
            <w:r>
              <w:rPr>
                <w:rFonts w:hint="eastAsia" w:ascii="宋体" w:hAnsi="宋体" w:eastAsia="宋体" w:cs="宋体"/>
                <w:b w:val="0"/>
                <w:sz w:val="21"/>
              </w:rPr>
              <w:t>布置A、B双支路水路：A支路依次安装P0侧向取压接口、受限元件R、P1侧向取压接口与流量计Q，随后分出正常出流与泄漏旁路；B支路安装切换阀与可调负载。管路采用De25PVC-U（外径20mm、内径16mm），管中心高140mm，框架为900×520mm铝型材。装配完成后进行固定、排气与密封检查，确认无渗漏后进入下一步。</w:t>
            </w:r>
          </w:p>
          <w:p w14:paraId="3BD8D02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（3）设备接入与安全核对。通电前先以24V回路、150Ω取样电阻与万用表实测，确认取样电压范围与共地连接正确</w:t>
            </w:r>
            <w:r>
              <w:rPr>
                <w:rFonts w:hint="eastAsia" w:ascii="宋体" w:hAnsi="宋体" w:cs="宋体"/>
                <w:b w:val="0"/>
                <w:sz w:val="21"/>
                <w:lang w:val="en-US" w:eastAsia="zh-CN"/>
              </w:rPr>
              <w:t>后</w:t>
            </w:r>
            <w:r>
              <w:rPr>
                <w:rFonts w:hint="eastAsia" w:ascii="宋体" w:hAnsi="宋体" w:eastAsia="宋体" w:cs="宋体"/>
                <w:b w:val="0"/>
                <w:sz w:val="21"/>
              </w:rPr>
              <w:t>，再接入ADS1115模数转换模块，并核对I²C地址与总线上拉；随后核对microSD与无线模块的供电与接线，确认主控、模数转换、缓冲器与存储处于同一3.3V电平域，避免电平不匹配。</w:t>
            </w:r>
          </w:p>
          <w:p w14:paraId="17B818AF">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（4）独立计量标定。泄漏量采用开口收集容器独立计量</w:t>
            </w:r>
            <w:r>
              <w:rPr>
                <w:rFonts w:hint="eastAsia" w:ascii="宋体" w:hAnsi="宋体" w:cs="宋体"/>
                <w:b w:val="0"/>
                <w:sz w:val="21"/>
                <w:lang w:val="en-US" w:eastAsia="zh-CN"/>
              </w:rPr>
              <w:t>的方法</w:t>
            </w:r>
            <w:r>
              <w:rPr>
                <w:rFonts w:hint="eastAsia" w:ascii="宋体" w:hAnsi="宋体" w:eastAsia="宋体" w:cs="宋体"/>
                <w:b w:val="0"/>
                <w:sz w:val="21"/>
              </w:rPr>
              <w:t>，实验前测定其有效容积：容器内腔半径60mm、高60mm，几何容量678.6mL；按模型最大泄漏量1.055L/min计算，30秒取样并留25%余量需659.4mL，</w:t>
            </w:r>
            <w:r>
              <w:rPr>
                <w:rFonts w:hint="eastAsia" w:ascii="宋体" w:hAnsi="宋体" w:cs="宋体"/>
                <w:b w:val="0"/>
                <w:sz w:val="21"/>
                <w:lang w:val="en-US" w:eastAsia="zh-CN"/>
              </w:rPr>
              <w:t>因</w:t>
            </w:r>
            <w:r>
              <w:rPr>
                <w:rFonts w:hint="eastAsia" w:ascii="宋体" w:hAnsi="宋体" w:eastAsia="宋体" w:cs="宋体"/>
                <w:b w:val="0"/>
                <w:sz w:val="21"/>
              </w:rPr>
              <w:t>此采用20秒分次取样，并在出口与杯口之间保留20mm自由出流间隙，</w:t>
            </w:r>
            <w:r>
              <w:rPr>
                <w:rFonts w:hint="eastAsia" w:ascii="宋体" w:hAnsi="宋体" w:cs="宋体"/>
                <w:b w:val="0"/>
                <w:sz w:val="21"/>
                <w:lang w:val="en-US" w:eastAsia="zh-CN"/>
              </w:rPr>
              <w:t>然后</w:t>
            </w:r>
            <w:r>
              <w:rPr>
                <w:rFonts w:hint="eastAsia" w:ascii="宋体" w:hAnsi="宋体" w:eastAsia="宋体" w:cs="宋体"/>
                <w:b w:val="0"/>
                <w:sz w:val="21"/>
              </w:rPr>
              <w:t>确认容器满足分次取样的计量要求后再投入长时实验。</w:t>
            </w:r>
          </w:p>
          <w:p w14:paraId="74C7E90C">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5）主要故障与正常干扰对照。在A支路依次注入等效泄漏与等效受限：泄漏通过逐步开启旁路形成附加出流，并用独立收集与计时确定泄漏量；受限通过调节受限元件R改变局部阻力，记录阀门操作并以参考压力、流量核对故障程度。两类故障均按相对健康流量偏离5%、10%、15%三档设置，在80、120、160kPa三档供压与B支路开关两种状态下重复，每档至少完成3次独立操作；上游供压波动、B末端堵塞背压与首部/干管共同扰动参照三类对照，与主要故障共用相同的供压档与重复次数，在2027年5—8月实验窗口内完成。每次操作记录阀态、原始观测、独立标签与配置，以用于评价判据在不同工况下的检出与误报。</w:t>
            </w:r>
          </w:p>
          <w:p w14:paraId="1EB9C36E">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（6）切换期间与扰动检验。在正常轮灌切换与上游供压调整期间连续记录，重点记录判据暂缓判断的时间长度、该时段内实际发生的故障以及切换结束后的输出恢复情况，</w:t>
            </w:r>
            <w:r>
              <w:rPr>
                <w:rFonts w:hint="eastAsia" w:ascii="宋体" w:hAnsi="宋体" w:cs="宋体"/>
                <w:b w:val="0"/>
                <w:sz w:val="21"/>
                <w:lang w:val="en-US" w:eastAsia="zh-CN"/>
              </w:rPr>
              <w:t>依</w:t>
            </w:r>
            <w:r>
              <w:rPr>
                <w:rFonts w:hint="eastAsia" w:ascii="宋体" w:hAnsi="宋体" w:eastAsia="宋体" w:cs="宋体"/>
                <w:b w:val="0"/>
                <w:sz w:val="21"/>
              </w:rPr>
              <w:t>此统计间断期间的漏检，检验判据在工况不可比阶段的表现。</w:t>
            </w:r>
          </w:p>
          <w:p w14:paraId="2B57407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7）通信、连续运行与系统联调。在无遮挡稳定、遮挡衰减与受控阻断或确认丢失三类链路条件下重放诊断记录，按4种上报策略×3类链路条件×至少3个独立批次组织，共计36次，核查事件到达时间、期限内送达的比例、P50与P95的延迟、超期与未送达的数量以及链路恢复后的补发情况；同时计划完成一次不少于8小时的连续记录与不少于3次重启，核对停机缺失、缓存恢复与数据库写入的一致性。最后按同一事件贯穿采集、判断、发送、存储、展示与人工复测；数据无效、工况不可比或异常仍在时则不予归档，每个试次保存日期、操作者、供压、阀态、原始观测、独立标签、缺失与配置，并按整日、压力档或负载档留出部分数据作为验证集。</w:t>
            </w:r>
          </w:p>
          <w:p w14:paraId="1B75BD7A">
            <w:pPr>
              <w:spacing w:after="80"/>
              <w:ind w:firstLine="0"/>
              <w:jc w:val="left"/>
              <w:outlineLvl w:val="2"/>
              <w:rPr>
                <w:rFonts w:hint="default" w:eastAsia="宋体"/>
                <w:lang w:val="en-US" w:eastAsia="zh-CN"/>
              </w:rPr>
            </w:pPr>
            <w:r>
              <w:rPr>
                <w:rFonts w:ascii="Times New Roman" w:hAnsi="Times New Roman" w:eastAsia="宋体"/>
                <w:b/>
                <w:sz w:val="21"/>
              </w:rPr>
              <w:t>3.4.</w:t>
            </w:r>
            <w:r>
              <w:rPr>
                <w:rFonts w:hint="eastAsia"/>
                <w:b/>
                <w:sz w:val="21"/>
                <w:lang w:val="en-US" w:eastAsia="zh-CN"/>
              </w:rPr>
              <w:t>3</w:t>
            </w:r>
            <w:r>
              <w:rPr>
                <w:rFonts w:ascii="Times New Roman" w:hAnsi="Times New Roman" w:eastAsia="宋体"/>
                <w:b/>
                <w:sz w:val="21"/>
              </w:rPr>
              <w:t>. 预期实验结果与分析</w:t>
            </w:r>
          </w:p>
          <w:p w14:paraId="7CBA0D69">
            <w:pPr>
              <w:spacing w:after="80"/>
              <w:ind w:firstLine="420"/>
              <w:jc w:val="both"/>
            </w:pPr>
            <w:r>
              <w:rPr>
                <w:rFonts w:hint="eastAsia"/>
                <w:b/>
                <w:sz w:val="21"/>
                <w:lang w:eastAsia="zh-CN"/>
              </w:rPr>
              <w:t>（</w:t>
            </w:r>
            <w:r>
              <w:rPr>
                <w:rFonts w:hint="eastAsia"/>
                <w:b/>
                <w:sz w:val="21"/>
                <w:lang w:val="en-US" w:eastAsia="zh-CN"/>
              </w:rPr>
              <w:t>1）</w:t>
            </w:r>
            <w:r>
              <w:rPr>
                <w:rFonts w:ascii="Times New Roman" w:hAnsi="Times New Roman" w:eastAsia="宋体"/>
                <w:b/>
                <w:sz w:val="21"/>
              </w:rPr>
              <w:t>对照安排的参数选择</w:t>
            </w:r>
            <w:r>
              <w:rPr>
                <w:rFonts w:ascii="Times New Roman" w:hAnsi="Times New Roman" w:eastAsia="宋体"/>
                <w:b w:val="0"/>
                <w:sz w:val="21"/>
              </w:rPr>
              <w:t>：主要故障取2类型×3供压×3程度，供压取80、120、160kPa三档，覆盖台架工作窗口并留出正常与故障对照；程度以相对健康流量的偏离比例计，5%、10%、15%分别对应测量可检边界、中等变化与演示参照。重复以至少3次独立操作计，不以相邻采样点计，避免</w:t>
            </w:r>
            <w:r>
              <w:rPr>
                <w:rFonts w:hint="eastAsia"/>
                <w:b w:val="0"/>
                <w:sz w:val="21"/>
                <w:lang w:val="en-US" w:eastAsia="zh-CN"/>
              </w:rPr>
              <w:t>将</w:t>
            </w:r>
            <w:r>
              <w:rPr>
                <w:rFonts w:ascii="Times New Roman" w:hAnsi="Times New Roman" w:eastAsia="宋体"/>
                <w:b w:val="0"/>
                <w:sz w:val="21"/>
              </w:rPr>
              <w:t>同一轨迹的连续点当作独立样本。</w:t>
            </w:r>
          </w:p>
          <w:p w14:paraId="18F342C1">
            <w:pPr>
              <w:spacing w:after="80"/>
              <w:ind w:firstLine="420"/>
              <w:jc w:val="both"/>
            </w:pPr>
            <w:r>
              <w:rPr>
                <w:rFonts w:hint="eastAsia"/>
                <w:b/>
                <w:sz w:val="21"/>
                <w:lang w:eastAsia="zh-CN"/>
              </w:rPr>
              <w:t>（</w:t>
            </w:r>
            <w:r>
              <w:rPr>
                <w:rFonts w:hint="eastAsia"/>
                <w:b/>
                <w:sz w:val="21"/>
                <w:lang w:val="en-US" w:eastAsia="zh-CN"/>
              </w:rPr>
              <w:t>2）</w:t>
            </w:r>
            <w:r>
              <w:rPr>
                <w:rFonts w:ascii="Times New Roman" w:hAnsi="Times New Roman" w:eastAsia="宋体"/>
                <w:b/>
                <w:sz w:val="21"/>
              </w:rPr>
              <w:t>预期结果</w:t>
            </w:r>
            <w:r>
              <w:rPr>
                <w:rFonts w:ascii="Times New Roman" w:hAnsi="Times New Roman" w:eastAsia="宋体"/>
                <w:b w:val="0"/>
                <w:sz w:val="21"/>
              </w:rPr>
              <w:t>：依据已有未标定合成对照，预期在标定确认的工作范围内，10%与15%故障组的首次持续候选正确比例达到90%，正常干扰的确认误报不高于1次/小时；在B支路开关与供压变化下，稳健门限较固定门限保持更高的有效提示比例；事件触发策略在保持提示提前量的同时减少读取与发送次数。</w:t>
            </w:r>
          </w:p>
          <w:p w14:paraId="07459D64">
            <w:pPr>
              <w:spacing w:after="80"/>
              <w:ind w:firstLine="420"/>
              <w:jc w:val="both"/>
              <w:rPr>
                <w:rFonts w:ascii="Times New Roman" w:hAnsi="Times New Roman" w:eastAsia="宋体"/>
                <w:b w:val="0"/>
                <w:sz w:val="21"/>
              </w:rPr>
            </w:pPr>
            <w:r>
              <w:rPr>
                <w:rFonts w:hint="eastAsia"/>
                <w:b/>
                <w:sz w:val="21"/>
                <w:lang w:eastAsia="zh-CN"/>
              </w:rPr>
              <w:t>（3）曲线判读方式：</w:t>
            </w:r>
            <w:bookmarkStart w:id="0" w:name="_GoBack"/>
            <w:r>
              <w:rPr>
                <w:rFonts w:hint="eastAsia" w:ascii="Times New Roman" w:hAnsi="Times New Roman" w:eastAsia="宋体"/>
                <w:b w:val="0"/>
                <w:sz w:val="21"/>
                <w:lang w:eastAsia="zh-CN"/>
              </w:rPr>
              <w:t>在20个种子、四档噪声的合成对照中，随压力噪声由0.3kPa增至10kPa，基于差压特征的固定判据有效早期次数明显下降，而基于流量相对阈值的判据在四档下保持20/20，说明双压力特征的收益主要集中在低噪声段；另一组以12个测试种子进行的固定门限与稳健门限对照显示，两者的有效提示比例为1/12与12/12，分叉出现在噪声档升高的同一位置；读取与发送次数随巡航周期延长而下降，提示需要在响应速度与观测、通信代价之间作出取舍。两组批次种子数不同，分别报告、不作合并统计。</w:t>
            </w:r>
          </w:p>
          <w:bookmarkEnd w:id="0"/>
          <w:p w14:paraId="424A09C5">
            <w:pPr>
              <w:spacing w:after="80"/>
              <w:ind w:firstLine="420"/>
              <w:jc w:val="both"/>
            </w:pPr>
            <w:r>
              <w:rPr>
                <w:rFonts w:hint="eastAsia"/>
                <w:b/>
                <w:sz w:val="21"/>
                <w:lang w:eastAsia="zh-CN"/>
              </w:rPr>
              <w:t>（</w:t>
            </w:r>
            <w:r>
              <w:rPr>
                <w:rFonts w:hint="eastAsia"/>
                <w:b/>
                <w:sz w:val="21"/>
                <w:lang w:val="en-US" w:eastAsia="zh-CN"/>
              </w:rPr>
              <w:t>3）</w:t>
            </w:r>
            <w:r>
              <w:rPr>
                <w:rFonts w:ascii="Times New Roman" w:hAnsi="Times New Roman" w:eastAsia="宋体"/>
                <w:b/>
                <w:sz w:val="21"/>
              </w:rPr>
              <w:t>失败分支与判定标准</w:t>
            </w:r>
            <w:r>
              <w:rPr>
                <w:rFonts w:ascii="Times New Roman" w:hAnsi="Times New Roman" w:eastAsia="宋体"/>
                <w:b w:val="0"/>
                <w:sz w:val="21"/>
              </w:rPr>
              <w:t>：若目标变化不能与扩展不确定度分离，则先调整量程、布点或可检程度并重新标定；5%作为测量与辨识边界挑战，</w:t>
            </w:r>
            <w:r>
              <w:rPr>
                <w:rFonts w:hint="eastAsia"/>
                <w:b w:val="0"/>
                <w:sz w:val="21"/>
                <w:lang w:val="en-US" w:eastAsia="zh-CN"/>
              </w:rPr>
              <w:t>可能无法</w:t>
            </w:r>
            <w:r>
              <w:rPr>
                <w:rFonts w:ascii="Times New Roman" w:hAnsi="Times New Roman" w:eastAsia="宋体"/>
                <w:b w:val="0"/>
                <w:sz w:val="21"/>
              </w:rPr>
              <w:t>全部检出；</w:t>
            </w:r>
            <w:r>
              <w:rPr>
                <w:rFonts w:hint="eastAsia"/>
                <w:b w:val="0"/>
                <w:sz w:val="21"/>
                <w:lang w:val="en-US" w:eastAsia="zh-CN"/>
              </w:rPr>
              <w:t>而</w:t>
            </w:r>
            <w:r>
              <w:rPr>
                <w:rFonts w:ascii="Times New Roman" w:hAnsi="Times New Roman" w:eastAsia="宋体"/>
                <w:b w:val="0"/>
                <w:sz w:val="21"/>
              </w:rPr>
              <w:t>若故障模式持续不可区分，</w:t>
            </w:r>
            <w:r>
              <w:rPr>
                <w:rFonts w:hint="eastAsia"/>
                <w:b w:val="0"/>
                <w:sz w:val="21"/>
                <w:lang w:val="en-US" w:eastAsia="zh-CN"/>
              </w:rPr>
              <w:t>则</w:t>
            </w:r>
            <w:r>
              <w:rPr>
                <w:rFonts w:ascii="Times New Roman" w:hAnsi="Times New Roman" w:eastAsia="宋体"/>
                <w:b w:val="0"/>
                <w:sz w:val="21"/>
              </w:rPr>
              <w:t>保留结果与误差原因并调整任务，不回调阈值。</w:t>
            </w:r>
            <w:r>
              <w:rPr>
                <w:rFonts w:hint="eastAsia"/>
                <w:b w:val="0"/>
                <w:sz w:val="21"/>
                <w:lang w:val="en-US" w:eastAsia="zh-CN"/>
              </w:rPr>
              <w:t>在</w:t>
            </w:r>
            <w:r>
              <w:rPr>
                <w:rFonts w:ascii="Times New Roman" w:hAnsi="Times New Roman" w:eastAsia="宋体"/>
                <w:b w:val="0"/>
                <w:sz w:val="21"/>
              </w:rPr>
              <w:t>长时正常对照中，稳健门限在三档噪声下均无确认误报，累积组合在3kPa</w:t>
            </w:r>
            <w:r>
              <w:rPr>
                <w:rFonts w:hint="eastAsia"/>
                <w:b w:val="0"/>
                <w:sz w:val="21"/>
                <w:lang w:val="en-US" w:eastAsia="zh-CN"/>
              </w:rPr>
              <w:t>的12条报告中仅</w:t>
            </w:r>
            <w:r>
              <w:rPr>
                <w:rFonts w:ascii="Times New Roman" w:hAnsi="Times New Roman" w:eastAsia="宋体"/>
                <w:b w:val="0"/>
                <w:sz w:val="21"/>
              </w:rPr>
              <w:t>出现1条误报，固定门限存在高噪声失败，</w:t>
            </w:r>
            <w:r>
              <w:rPr>
                <w:rFonts w:hint="eastAsia"/>
                <w:b w:val="0"/>
                <w:sz w:val="21"/>
                <w:lang w:val="en-US" w:eastAsia="zh-CN"/>
              </w:rPr>
              <w:t>仍</w:t>
            </w:r>
            <w:r>
              <w:rPr>
                <w:rFonts w:ascii="Times New Roman" w:hAnsi="Times New Roman" w:eastAsia="宋体"/>
                <w:b w:val="0"/>
                <w:sz w:val="21"/>
              </w:rPr>
              <w:t>按原记录保留；实测阶段如</w:t>
            </w:r>
            <w:r>
              <w:rPr>
                <w:rFonts w:hint="eastAsia"/>
                <w:b w:val="0"/>
                <w:sz w:val="21"/>
                <w:lang w:val="en-US" w:eastAsia="zh-CN"/>
              </w:rPr>
              <w:t>若</w:t>
            </w:r>
            <w:r>
              <w:rPr>
                <w:rFonts w:ascii="Times New Roman" w:hAnsi="Times New Roman" w:eastAsia="宋体"/>
                <w:b w:val="0"/>
                <w:sz w:val="21"/>
              </w:rPr>
              <w:t>出现未知正常负载与泄漏同形，保留“异常待检查”输出。</w:t>
            </w:r>
          </w:p>
          <w:p w14:paraId="12980BC2">
            <w:pPr>
              <w:spacing w:after="80"/>
              <w:ind w:firstLine="420"/>
              <w:jc w:val="both"/>
            </w:pPr>
            <w:r>
              <w:rPr>
                <w:rFonts w:hint="eastAsia"/>
                <w:b/>
                <w:sz w:val="21"/>
                <w:lang w:eastAsia="zh-CN"/>
              </w:rPr>
              <w:t>（</w:t>
            </w:r>
            <w:r>
              <w:rPr>
                <w:rFonts w:hint="eastAsia"/>
                <w:b/>
                <w:sz w:val="21"/>
                <w:lang w:val="en-US" w:eastAsia="zh-CN"/>
              </w:rPr>
              <w:t>5）</w:t>
            </w:r>
            <w:r>
              <w:rPr>
                <w:rFonts w:ascii="Times New Roman" w:hAnsi="Times New Roman" w:eastAsia="宋体"/>
                <w:b/>
                <w:sz w:val="21"/>
              </w:rPr>
              <w:t>结论与误差说明</w:t>
            </w:r>
            <w:r>
              <w:rPr>
                <w:rFonts w:ascii="Times New Roman" w:hAnsi="Times New Roman" w:eastAsia="宋体"/>
                <w:b w:val="0"/>
                <w:sz w:val="21"/>
              </w:rPr>
              <w:t>：上述结果表明，双压力—流量联合观测在标定确认的范围内可对渐进泄漏与局部过流受限形成有效</w:t>
            </w:r>
            <w:r>
              <w:rPr>
                <w:rFonts w:hint="eastAsia"/>
                <w:b w:val="0"/>
                <w:sz w:val="21"/>
                <w:lang w:val="en-US" w:eastAsia="zh-CN"/>
              </w:rPr>
              <w:t>的</w:t>
            </w:r>
            <w:r>
              <w:rPr>
                <w:rFonts w:ascii="Times New Roman" w:hAnsi="Times New Roman" w:eastAsia="宋体"/>
                <w:b w:val="0"/>
                <w:sz w:val="21"/>
              </w:rPr>
              <w:t>早期提示，验证了方案的可行性；需要指出的是，本实验仅覆盖三档供压与两类故障程度，样本量与工况数有限，且尚未包含真实射频与整机能耗，相关误差将通过留出</w:t>
            </w:r>
            <w:r>
              <w:rPr>
                <w:rFonts w:hint="eastAsia"/>
                <w:b w:val="0"/>
                <w:sz w:val="21"/>
                <w:lang w:val="en-US" w:eastAsia="zh-CN"/>
              </w:rPr>
              <w:t>的</w:t>
            </w:r>
            <w:r>
              <w:rPr>
                <w:rFonts w:ascii="Times New Roman" w:hAnsi="Times New Roman" w:eastAsia="宋体"/>
                <w:b w:val="0"/>
                <w:sz w:val="21"/>
              </w:rPr>
              <w:t>批次与实物阶段</w:t>
            </w:r>
            <w:r>
              <w:rPr>
                <w:rFonts w:hint="eastAsia"/>
                <w:b w:val="0"/>
                <w:sz w:val="21"/>
                <w:lang w:val="en-US" w:eastAsia="zh-CN"/>
              </w:rPr>
              <w:t>的</w:t>
            </w:r>
            <w:r>
              <w:rPr>
                <w:rFonts w:ascii="Times New Roman" w:hAnsi="Times New Roman" w:eastAsia="宋体"/>
                <w:b w:val="0"/>
                <w:sz w:val="21"/>
              </w:rPr>
              <w:t>测量进一步收敛。</w:t>
            </w:r>
          </w:p>
          <w:p w14:paraId="739638EA">
            <w:pPr>
              <w:spacing w:after="80"/>
              <w:ind w:firstLine="0"/>
              <w:jc w:val="left"/>
              <w:outlineLvl w:val="1"/>
              <w:rPr>
                <w:rFonts w:hint="eastAsia" w:eastAsia="宋体"/>
                <w:lang w:eastAsia="zh-CN"/>
              </w:rPr>
            </w:pPr>
            <w:r>
              <w:rPr>
                <w:rFonts w:ascii="Times New Roman" w:hAnsi="Times New Roman" w:eastAsia="宋体"/>
                <w:b/>
                <w:sz w:val="21"/>
              </w:rPr>
              <w:t>3.5. 要解决的主要问题</w:t>
            </w:r>
          </w:p>
          <w:p w14:paraId="64EA28E6">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1）低量程差压的可辨识范围。判据以两个测点的压差与总流量为输入，核心问题是5%—15%的等效变化在现有测量条件下能否被稳定分辨：按当前选型，单路压力标称误差界限为±0.5kPa，两路最不利差压界限为1kPa；流量侧10秒滚动计数窗在量程低端（0.3L/min）约有27个脉冲，折算的相对分辨力约为读数的3.7%，与5%的目标变化量处于同一量级。本项目将在标定阶段增加两个压力通道的共同压力对照以量化通道间偏差，并将诊断窗口拟延长至30—60秒以提高流量分辨力，同时比较窗口延长带来的确认滞后；若差压成为主要限制，则改用更小量程的压力变送器或差压变送器方案重新标定。可辨识范围以“目标变化量与扩展不确定度能够分离”为判据确定，5%作为测量能力的边界情形单独评价，10%与15%为本期预期验证范围。</w:t>
            </w:r>
          </w:p>
          <w:p w14:paraId="2B0CA75A">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2）扰动工况下判据的稳健性。B支路开闭会改变两支路的等效负载之和，从而改变公共压力与A支路的工作点；正常轮灌切换、邻支路负载变化与上游供压调整都可能形成与故障相似的水力观测。本项目将供压调整、正常轮灌切换与负载变化列为对照工况，在80、120、160kPa三档供压下分别重复故障与正常对照，并以稳健门限与连续确认抑制瞬时越限造成的误触发；双支管模型实验室检验用于考察同一判据在邻支路状态变化时的检出与误报，据此给出判据的适用范围，作为后续研究的起点。</w:t>
            </w:r>
          </w:p>
          <w:p w14:paraId="76BE7B8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3）健康参照与判据门限的确定及其适用性。判据的可靠性取决于健康参照的质量：参照需由有限次健康试验建立，还要适应负载结构差异、温度变化以及长期运行引起的缓慢漂移。本项目将在标定阶段拟合健康状态的“压力—流量”关系，以残差的波动范围确定门限；验证采用未参与拟合的留出批次，通过分别去除工况信息与单路压力的消融比较，说明检出能力的来源；对参照漂移，则以维护前后配对的复测记录评价其稳定性，并明确重新标定的条件。</w:t>
            </w:r>
          </w:p>
          <w:p w14:paraId="487CA7B2">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4）上游共同扰动与本支管异常的区分。现场单节点通常不配备首部参照与多支管同步数据，仅凭本支管的三路观测难以直接判断压力变化来自上游共同扰动还是本支管故障。本项目将在双支管台架与首部/干管参照条件下开展机理验证：当参照与支管同步变化时判为工况变化，当支管单独变化而参照稳定时才形成本支管候选；并据此给出可提示的区段范围与建议检查部位。</w:t>
            </w:r>
          </w:p>
          <w:p w14:paraId="4ED3B8A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5）事件触发下提示及时性与漏检代价的平衡。降低周期上报可减少读取与通信次数，但会推迟确认时刻，可能使部分渐进故障在早期阶段被漏掉。本项目将在同一批轨迹上比较快周期、慢周期、原始事件上报与限频上报四种策略，分别统计读取次数、发送次数、首次持续候选时刻与提示提前量、漏检与误报情况，据此给出采集与通信策略在及时性与资源占用之间的取舍。通信效果以期限内送达的比例、P50与P95延迟以及超期与未送达的数量评价，不以固定时延作为最终成果。</w:t>
            </w:r>
          </w:p>
          <w:p w14:paraId="44FFAB9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6）射频与整机能耗的实测条件。现有结果覆盖协议逻辑与链路回放，真实射频性能与整机电流需要在实物阶段测量。项目将在实物联调时记录无线发射与存储写入同时工作时的电压、电流与复位情况，比较模块在不同空中速率与发射功率下的实际覆盖与误码表现，并在具备整机电流测量条件后补充能耗指标，使通信评价与能耗评价各自独立成立。</w:t>
            </w:r>
          </w:p>
          <w:p w14:paraId="72DAE9DB">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sz w:val="21"/>
              </w:rPr>
              <w:t>基于上述分析，</w:t>
            </w:r>
            <w:r>
              <w:rPr>
                <w:rFonts w:hint="eastAsia" w:ascii="宋体" w:hAnsi="宋体" w:cs="宋体"/>
                <w:b w:val="0"/>
                <w:sz w:val="21"/>
                <w:lang w:val="en-US" w:eastAsia="zh-CN"/>
              </w:rPr>
              <w:t>本</w:t>
            </w:r>
            <w:r>
              <w:rPr>
                <w:rFonts w:hint="eastAsia" w:ascii="宋体" w:hAnsi="宋体" w:eastAsia="宋体" w:cs="宋体"/>
                <w:b w:val="0"/>
                <w:sz w:val="21"/>
              </w:rPr>
              <w:t>团队已在双支路台架概念设计、集中参数水力模型、采集接口方案与离线巡检平台等方面完成前期工作，测量、判据与通信三个环节均有明确的验证路径和相应的对照设计，具备完成本期研究任务的条件与信心。</w:t>
            </w:r>
          </w:p>
        </w:tc>
      </w:tr>
      <w:tr w14:paraId="21AE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B57E35F">
            <w:pPr>
              <w:pageBreakBefore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hint="eastAsia" w:ascii="宋体" w:hAnsi="宋体" w:eastAsia="宋体"/>
                <w:b/>
                <w:color w:val="FF0000"/>
                <w:sz w:val="21"/>
                <w:szCs w:val="21"/>
              </w:rPr>
            </w:pPr>
            <w:r>
              <w:rPr>
                <w:rFonts w:ascii="宋体" w:hAnsi="宋体" w:eastAsia="宋体"/>
                <w:b/>
                <w:sz w:val="21"/>
                <w:szCs w:val="21"/>
              </w:rPr>
              <w:t>国内外研究现状与发展动态</w:t>
            </w:r>
          </w:p>
          <w:p w14:paraId="1665C1AC">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1 国内研究现状</w:t>
            </w:r>
          </w:p>
          <w:p w14:paraId="61F3F8A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国内研究对南疆滴灌的关注集中于农艺管理与管网设计，为支管级监测提供了应用对象和管网层级依据。李慧琴等针对南疆棉花“滴水出苗”提出铺管、压力均匀性及适量滴水等管理建议</w:t>
            </w:r>
            <w:r>
              <w:rPr>
                <w:rFonts w:ascii="Times New Roman" w:hAnsi="Times New Roman" w:eastAsia="宋体"/>
                <w:b w:val="0"/>
                <w:sz w:val="21"/>
                <w:vertAlign w:val="superscript"/>
              </w:rPr>
              <w:t>[1]</w:t>
            </w:r>
            <w:r>
              <w:rPr>
                <w:rFonts w:ascii="Times New Roman" w:hAnsi="Times New Roman" w:eastAsia="宋体"/>
                <w:b w:val="0"/>
                <w:sz w:val="21"/>
              </w:rPr>
              <w:t>；张晔以昌吉棉田工程为例，讨论膜下滴灌的支管、辅管和毛管布置及轮灌组织</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2</w:t>
            </w:r>
            <w:r>
              <w:rPr>
                <w:rFonts w:ascii="Times New Roman" w:hAnsi="Times New Roman" w:eastAsia="宋体"/>
                <w:b w:val="0"/>
                <w:sz w:val="21"/>
                <w:vertAlign w:val="superscript"/>
              </w:rPr>
              <w:t>]</w:t>
            </w:r>
            <w:r>
              <w:rPr>
                <w:rFonts w:ascii="Times New Roman" w:hAnsi="Times New Roman" w:eastAsia="宋体"/>
                <w:b w:val="0"/>
                <w:sz w:val="21"/>
              </w:rPr>
              <w:t>。两类研究共同说明支管承压状态是影响灌水均匀性的关键，但多停留在设计与农艺管理层面，缺少对运行中支管异常的在线辨识。</w:t>
            </w:r>
          </w:p>
          <w:p w14:paraId="6B376AE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在水力分析与泄漏机理方面，丁法龙等建立滴灌管主流道沿程压力分布模型并开展测压、测流验证</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3</w:t>
            </w:r>
            <w:r>
              <w:rPr>
                <w:rFonts w:ascii="Times New Roman" w:hAnsi="Times New Roman" w:eastAsia="宋体"/>
                <w:b w:val="0"/>
                <w:sz w:val="21"/>
                <w:vertAlign w:val="superscript"/>
              </w:rPr>
              <w:t>]</w:t>
            </w:r>
            <w:r>
              <w:rPr>
                <w:rFonts w:ascii="Times New Roman" w:hAnsi="Times New Roman" w:eastAsia="宋体"/>
                <w:b w:val="0"/>
                <w:sz w:val="21"/>
              </w:rPr>
              <w:t>，表明分布出流和管道结构显著影响压力关系；付建民等研究液相管道流量、压力与小孔泄漏速率的关系</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4</w:t>
            </w:r>
            <w:r>
              <w:rPr>
                <w:rFonts w:ascii="Times New Roman" w:hAnsi="Times New Roman" w:eastAsia="宋体"/>
                <w:b w:val="0"/>
                <w:sz w:val="21"/>
                <w:vertAlign w:val="superscript"/>
              </w:rPr>
              <w:t>]</w:t>
            </w:r>
            <w:r>
              <w:rPr>
                <w:rFonts w:ascii="Times New Roman" w:hAnsi="Times New Roman" w:eastAsia="宋体"/>
                <w:b w:val="0"/>
                <w:sz w:val="21"/>
              </w:rPr>
              <w:t>，为联合水力观测判断泄漏提供了方法参考。这些工作支撑支管异常识别，但前者偏单管水力建模、后者对象为工业管道，应用到滴灌管网需重新标定。国内近年也有面向新疆高标准农田、针对输水距离过长导致压力不稳与滴灌不均问题设计的LoRa滴灌终端系统，说明LoRa已进入国内滴灌现场，但其着眼点是灌区终端控制与组网，而非支管故障诊断。</w:t>
            </w:r>
          </w:p>
          <w:p w14:paraId="25505E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就物联网灌溉而言，孟祥等设计了基于LoRa的农田智能灌溉系统</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5</w:t>
            </w:r>
            <w:r>
              <w:rPr>
                <w:rFonts w:ascii="Times New Roman" w:hAnsi="Times New Roman" w:eastAsia="宋体"/>
                <w:b w:val="0"/>
                <w:sz w:val="21"/>
                <w:vertAlign w:val="superscript"/>
              </w:rPr>
              <w:t>]</w:t>
            </w:r>
            <w:r>
              <w:rPr>
                <w:rFonts w:ascii="Times New Roman" w:hAnsi="Times New Roman" w:eastAsia="宋体"/>
                <w:b w:val="0"/>
                <w:sz w:val="21"/>
              </w:rPr>
              <w:t>，提供了节点、通信与管理软件的组织实例。总体看，国内研究侧重管网设计与系统集成，支管级、在真实轮灌扰动条件下的故障辨识研究仍较少。</w:t>
            </w:r>
          </w:p>
          <w:p w14:paraId="7D7158E1">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2 国外研究现状</w:t>
            </w:r>
          </w:p>
          <w:p w14:paraId="78EFF3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国外在滴灌堵塞与漏损检测上积累了较多方法。Petit等对滴灌堵塞检测及分析方法进行综述</w:t>
            </w:r>
            <w:r>
              <w:rPr>
                <w:rFonts w:ascii="Times New Roman" w:hAnsi="Times New Roman" w:eastAsia="宋体"/>
                <w:b w:val="0"/>
                <w:sz w:val="21"/>
                <w:vertAlign w:val="superscript"/>
              </w:rPr>
              <w:t>[6]</w:t>
            </w:r>
            <w:r>
              <w:rPr>
                <w:rFonts w:ascii="Times New Roman" w:hAnsi="Times New Roman" w:eastAsia="宋体"/>
                <w:b w:val="0"/>
                <w:sz w:val="21"/>
              </w:rPr>
              <w:t>，归纳了压力、流量等间接观测及其局限，指出单一信号难以准确识别堵塞，需结合运行条件综合分析。近年研究进一步把低成本传感与机器学习结合，用于管网泄漏的实时监测与定位，例如采用流量、压力与电导率多参数融合、以阈值与机器学习联合判别的管网异常监测系统，以及基于实时传感器数据的机器学习泄漏定位方案；也有研究利用压力瞬态响应，对水锤等暂态过程进行在线监测并建立过压/欠压早期预警。这些工作多面向市政供水或较大管网，对滴灌支管这一小流量、高频轮灌切换场景的可移植性仍需验证。</w:t>
            </w:r>
          </w:p>
          <w:p w14:paraId="46B27125">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在LoRa农业物联网方面，Loukatos等构建了可控灌溉平台，结合压力、流量和无线采集组织田间模拟实验</w:t>
            </w:r>
            <w:r>
              <w:rPr>
                <w:rFonts w:ascii="Times New Roman" w:hAnsi="Times New Roman" w:eastAsia="宋体"/>
                <w:b w:val="0"/>
                <w:sz w:val="21"/>
                <w:vertAlign w:val="superscript"/>
              </w:rPr>
              <w:t>[7]</w:t>
            </w:r>
            <w:r>
              <w:rPr>
                <w:rFonts w:ascii="Times New Roman" w:hAnsi="Times New Roman" w:eastAsia="宋体"/>
                <w:b w:val="0"/>
                <w:sz w:val="21"/>
              </w:rPr>
              <w:t>，说明长距离低功耗采集与可控验证路径可行。此外，国外已出现多种LoRa土壤与环境监测系统，如Arduino–LoRa–Raspberry Pi的土壤参数采集可视化系统（田间实测通信距离约500m）、基于ESP32+LoRa的木本作物水分监测节点，以及LoRaWAN智能灌溉的30天田间部署（约3km网关距离下数据包交付率达96.2%、平均端到端延迟约2.1s）。这些工作验证了LoRa在农业现场的覆盖与可靠性，但其采集对象多为土壤水分与气象参数，专门面向支管压力—流量异常的事件式诊断仍较少。</w:t>
            </w:r>
          </w:p>
          <w:p w14:paraId="210846AA">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在事件与自适应采样方面，Lozoya等以过程模型预测下一次采集时刻，比较非周期采样与周期方案在通信和能量上的取舍</w:t>
            </w:r>
            <w:r>
              <w:rPr>
                <w:rFonts w:ascii="Times New Roman" w:hAnsi="Times New Roman" w:eastAsia="宋体"/>
                <w:b w:val="0"/>
                <w:sz w:val="21"/>
                <w:vertAlign w:val="superscript"/>
              </w:rPr>
              <w:t>[8]</w:t>
            </w:r>
            <w:r>
              <w:rPr>
                <w:rFonts w:ascii="Times New Roman" w:hAnsi="Times New Roman" w:eastAsia="宋体"/>
                <w:b w:val="0"/>
                <w:sz w:val="21"/>
              </w:rPr>
              <w:t>，其对象为山核桃灌溉、链路为IEEE 802.15.4/Zigbee。近年来，面向低功耗农业监测的自适应采样得到发展，如能量收集型无线传感网根据温度尖峰、降水等环境触发自动调整采样率，以及神经形态连续土壤监测等，均以降低通信与能耗为目标。但这些自适应策略多以环境参数为对象，围绕支管压力流量异常、以工况记录辅助的事件触发诊断，尚缺乏系统研究。</w:t>
            </w:r>
          </w:p>
          <w:p w14:paraId="454F9C50">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3 已有不足与本项目空间</w:t>
            </w:r>
          </w:p>
          <w:p w14:paraId="29402EF6">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综合国内外研究，支管级监测、水力异常识别、LoRa集成与事件采集在技术路径上均有可借鉴之处，但仍存在三点不足：其一，未见针对南疆棉田支管、用真实轮灌数据回答“正常切换与故障如何区分”的研究；其二，支管级诊断较少同时纳入上游水锤、供压波动等瞬态扰动，下游毛管堵塞引起的背压抬升，以及多支管同步变化与单支管局部异常的辨识；其三，事件触发的收益多以土壤水分与环境参数评价，缺少围绕支管水力异常、量化读取与通信代价的证据。</w:t>
            </w:r>
          </w:p>
          <w:p w14:paraId="6787D511">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据此，本项目把改进重点放在三个方面。其一，利用双压力—流量与工况记录提高渐进异常提示的可复核性，研究正常调节与故障之间的辨识边界。其二，将上游供压波动、水锤等瞬态扰动与下游毛管堵塞引起的背压抬升纳入扰动对照，结合首部/干管参照研究共同扰动与局部异常的辨识，为多支管分区监测积累判据。其三，在此基础上比较事件触发分级采集和可靠上报，分析减少观测与通信时的响应代价。控制请求演示和桌面平台承担系统集成任务，研究结论由独立标定、正常干扰对照与留出批次支持。</w:t>
            </w:r>
          </w:p>
          <w:p w14:paraId="5743FAA6">
            <w:pPr>
              <w:keepNext/>
              <w:keepLines w:val="0"/>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29D0803E">
            <w:pPr>
              <w:keepNext w:val="0"/>
              <w:keepLines/>
              <w:pageBreakBefore w:val="0"/>
              <w:widowControl/>
              <w:numPr>
                <w:ilvl w:val="0"/>
                <w:numId w:val="3"/>
              </w:numPr>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李慧琴, 王潭刚, 孔宪辉. 新疆南疆棉花“滴水出苗”技术问题及建议[J]. 中国棉花, 2022, 49(6): 36-38. DOI:10.11963/cc20220080.</w:t>
            </w:r>
          </w:p>
          <w:p w14:paraId="45D2AB68">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宋体" w:hAnsi="宋体" w:eastAsia="宋体"/>
                <w:sz w:val="21"/>
                <w:szCs w:val="21"/>
                <w:lang w:val="en-US" w:eastAsia="zh-CN"/>
              </w:rPr>
            </w:pPr>
            <w:r>
              <w:rPr>
                <w:rFonts w:ascii="宋体" w:hAnsi="宋体" w:eastAsia="宋体"/>
                <w:sz w:val="21"/>
                <w:szCs w:val="21"/>
              </w:rPr>
              <w:t>[</w:t>
            </w:r>
            <w:r>
              <w:rPr>
                <w:rFonts w:hint="eastAsia" w:ascii="宋体" w:hAnsi="宋体"/>
                <w:sz w:val="21"/>
                <w:szCs w:val="21"/>
                <w:lang w:val="en-US" w:eastAsia="zh-CN"/>
              </w:rPr>
              <w:t>2</w:t>
            </w:r>
            <w:r>
              <w:rPr>
                <w:rFonts w:ascii="宋体" w:hAnsi="宋体" w:eastAsia="宋体"/>
                <w:sz w:val="21"/>
                <w:szCs w:val="21"/>
              </w:rPr>
              <w:t>] 张晔. 棉花膜下“一管四行”滴灌工程设计探讨[J]. 水资源开发与管理, 2019(2): 16-19. DOI:10.16616/j.cnki.10-1326/TV.2019.02.04.</w:t>
            </w:r>
          </w:p>
          <w:p w14:paraId="79090E22">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3</w:t>
            </w:r>
            <w:r>
              <w:rPr>
                <w:rFonts w:ascii="宋体" w:hAnsi="宋体" w:eastAsia="宋体"/>
                <w:sz w:val="21"/>
                <w:szCs w:val="21"/>
              </w:rPr>
              <w:t>] 丁法龙, 茅泽育, 王文娥, 等. 滴灌管主流道沿程压力分布模型及验证[J]. 农业工程学报, 2019, 35(3): 117-124. DOI:10.11975/j.issn.1002-6819.2019.03.015.</w:t>
            </w:r>
          </w:p>
          <w:p w14:paraId="2DDC7B3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4</w:t>
            </w:r>
            <w:r>
              <w:rPr>
                <w:rFonts w:ascii="宋体" w:hAnsi="宋体" w:eastAsia="宋体"/>
                <w:sz w:val="21"/>
                <w:szCs w:val="21"/>
              </w:rPr>
              <w:t>] 付建民, 赵振洋, 陈国明, 等. 液相管道流量与压力对小孔泄漏速率的影响[J]. 石油学报, 2016, 37(2): 257-265. DOI:10.7623/syxb201602013.</w:t>
            </w:r>
          </w:p>
          <w:p w14:paraId="6421E18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5</w:t>
            </w:r>
            <w:r>
              <w:rPr>
                <w:rFonts w:ascii="宋体" w:hAnsi="宋体" w:eastAsia="宋体"/>
                <w:sz w:val="21"/>
                <w:szCs w:val="21"/>
              </w:rPr>
              <w:t>] 孟祥, 赵莹, 徐卓威, 等. 基于LoRa技术的农田智能灌溉系统设计[J]. 中国农机化学报, 2023, 44(9): 161-168. DOI:10.13733/j.jcam.issn.2095-5553.2023.09.023.</w:t>
            </w:r>
          </w:p>
          <w:p w14:paraId="6E3FCE00">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6</w:t>
            </w:r>
            <w:r>
              <w:rPr>
                <w:rFonts w:ascii="宋体" w:hAnsi="宋体" w:eastAsia="宋体"/>
                <w:sz w:val="21"/>
                <w:szCs w:val="21"/>
              </w:rPr>
              <w:t>] Petit J, García S M, Molle B, et al. Methods for drip irrigation clogging detection, analysis and understanding: State of the art and perspectives[J]. Agricultural Water Management, 2022, 272: 107873. DOI:10.1016/j.agwat.2022.107873.</w:t>
            </w:r>
          </w:p>
          <w:p w14:paraId="441B1B2F">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1DC9DCB4">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5B04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04769CD">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项目的特色与创新点</w:t>
            </w:r>
          </w:p>
          <w:p w14:paraId="5F8A32E2">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本项目属于检测类应用研究，面向南疆棉田支管巡检，把感知、提示、核查与复测组织成闭环：节点给出异常候选及变化依据，平台关联支管编号、测点区段与建议检查部位，维护人员据此下田核查并复测确认。这一“发现—定位—核查—复测”的闭环，不同于单纯的报警或数据采集，强调的是可复核、可追溯的巡检支持，使诊断结果能够被现场证据检验。</w:t>
            </w:r>
          </w:p>
          <w:p w14:paraId="7CF3664C">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1）双压力—流量联合判断，减少单一流量报警难以区分正常调节与故障的问题。仅凭流量难以分清正常轮灌切换与渐进异常，本项目在两个压力测点的基础上结合流量观测，以正常运行数据建立参照，将水力异常识别与具体故障原因核查分开；节点给出异常候选及变化依据，由测点对照验证联合观测的实际作用。相对现有单一传感报警，具有对南疆支管巡检场景的针对性，体现新颖性。</w:t>
            </w:r>
          </w:p>
          <w:p w14:paraId="336A06C3">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2）围绕健康参照开展渐进异常辨识与工况适配，并将扰动辨识纳入诊断。以双压力和流量建立正常运行关系，结合稳健门限、双时间窗和连续确认提示渐进变化；通过固定参照与重新标定对照，分析不同负载和供压下的判断变化，明确参照适用范围。进一步将上游供压波动、水锤等瞬态扰动与下游毛管堵塞引起的背压抬升纳入扰动特征库，结合首部/干管参照区分共同扰动与局部异常，减少把正常调节或上下游影响直接判为故障的情况。该辨识在台架A、B双支路与首部参照下进行机理验证，为多支管分区监测积累判据，体现先进性。</w:t>
            </w:r>
          </w:p>
          <w:p w14:paraId="50AA8ED0">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3）将事件触发采集与可靠告警结合，并量化收益与代价。正常阶段按设定周期观测，出现持续变化后加密采集，结合异常优先发送、接收确认与恢复重传保存事件；分别比较读取次数、发送次数和提示及时性，实物阶段测量整机电流，评价采集与通信优化的实际收益。通过同一事件贯穿节点、接收平台及人工复测，使采集优化与巡检功能在同一系统中得到验证，体现独特性。</w:t>
            </w:r>
          </w:p>
          <w:p w14:paraId="2BFFD751">
            <w:pPr>
              <w:keepNext w:val="0"/>
              <w:keepLines w:val="0"/>
              <w:pageBreakBefore w:val="0"/>
              <w:widowControl w:val="0"/>
              <w:kinsoku/>
              <w:wordWrap/>
              <w:overflowPunct/>
              <w:topLinePunct w:val="0"/>
              <w:autoSpaceDE/>
              <w:autoSpaceDN/>
              <w:bidi w:val="0"/>
              <w:adjustRightInd/>
              <w:snapToGrid/>
              <w:spacing w:after="80"/>
              <w:ind w:firstLine="42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三个创新点相互衔接：联合判断保证提示可复核，健康参照与扰动辨识扩展适用范围，事件触发与可靠告警在减少观测与通信的同时维持告警质量。研究结论由独立标定、正常干扰对照与留出批次支持。</w:t>
            </w:r>
          </w:p>
        </w:tc>
      </w:tr>
      <w:tr w14:paraId="5F26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02CDFA4">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项目预期成果</w:t>
            </w:r>
          </w:p>
          <w:p w14:paraId="507FB6C0">
            <w:pPr>
              <w:spacing w:after="80"/>
              <w:ind w:firstLine="420"/>
              <w:jc w:val="both"/>
            </w:pPr>
            <w:r>
              <w:rPr>
                <w:rFonts w:ascii="Times New Roman" w:hAnsi="Times New Roman" w:eastAsia="宋体"/>
                <w:b w:val="0"/>
                <w:sz w:val="21"/>
              </w:rPr>
              <w:t>（1）原型系统成果。建成可演示的支管故障诊断物联网原型：感知节点以STM32F103C8T6为主控，集成两路4—20mA压力变送器、ADS1115模数转换与脉冲式流量计，经E220LoRa与接收端连接；配套A、B双支路清水台架（A支路流量1.85—4.34L/min，含上游扰动注入、B末端堵塞与首部/干管参照三类设施），以及总览、监测、核查、设备、历史、实验、台架、设置八页面的桌面巡检软件，覆盖稳定采集、异常提示、可靠接收、核查复测与模拟控制流程。</w:t>
            </w:r>
          </w:p>
          <w:p w14:paraId="490B9B95">
            <w:pPr>
              <w:spacing w:after="80"/>
              <w:ind w:firstLine="420"/>
              <w:jc w:val="both"/>
            </w:pPr>
            <w:r>
              <w:rPr>
                <w:rFonts w:ascii="Times New Roman" w:hAnsi="Times New Roman" w:eastAsia="宋体"/>
                <w:b w:val="0"/>
                <w:sz w:val="21"/>
              </w:rPr>
              <w:t>（2）方法与判据成果。将本项目方案中确定的诊断方法落实为可复用成果：双压力—流量与健康参照的联合判断，稳健门限、双时间窗与连续确认的渐进异常提示，含上游瞬态扰动与下游堵塞背压的扰动特征库及共同扰动/局部异常辨识判据，事件触发分级采集与异常优先、接收确认、恢复重传的可靠告警流程。上述方法连同程序源码、接口设计与使用说明一并交付。</w:t>
            </w:r>
          </w:p>
          <w:p w14:paraId="52CA3E30">
            <w:pPr>
              <w:spacing w:after="80"/>
              <w:ind w:firstLine="420"/>
              <w:jc w:val="both"/>
            </w:pPr>
            <w:r>
              <w:rPr>
                <w:rFonts w:ascii="Times New Roman" w:hAnsi="Times New Roman" w:eastAsia="宋体"/>
                <w:b w:val="0"/>
                <w:sz w:val="21"/>
              </w:rPr>
              <w:t>（3）数据与实验成果。按本项目第3.4节的对照安排完整记录，涵盖标定与健康关系、主要故障、正常干扰、通信链路与连续运行恢复五类，其中主要故障按2类型×3供压×3程度×至少3次独立操作组织。在标定确认范围内评价10%与15%故障组正确率不低于90%、正常误报不高于1次/小时的指标达成情况，配套提交标定曲线、测试记录与结果分析。</w:t>
            </w:r>
          </w:p>
          <w:p w14:paraId="6079830D">
            <w:pPr>
              <w:spacing w:after="80"/>
              <w:ind w:firstLine="420"/>
              <w:jc w:val="both"/>
            </w:pPr>
            <w:r>
              <w:rPr>
                <w:rFonts w:ascii="Times New Roman" w:hAnsi="Times New Roman" w:eastAsia="宋体"/>
                <w:b w:val="0"/>
                <w:sz w:val="21"/>
              </w:rPr>
              <w:t>（4）学术成果。基于实测数据形成1篇论文稿，围绕跨工况故障辨识或事件采集策略完成对照试验、结果分析与投稿；软件成果按实际开发内容整理著作权申请材料。论文录用、发表与软著授权结果一律据真实证明登记，不提前承诺。</w:t>
            </w:r>
          </w:p>
          <w:p w14:paraId="503A0B38">
            <w:pPr>
              <w:spacing w:after="8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（5）结项。在2027年3月—2028年2月周期内完成原型、方法与数据、程序及结题报告，论文投稿与修订、成果登记按实际研究进度推进，全部成果以真实完成情况为准。</w:t>
            </w:r>
          </w:p>
        </w:tc>
      </w:tr>
      <w:tr w14:paraId="3B0F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0DA2EAF">
            <w:pPr>
              <w:numPr>
                <w:ilvl w:val="0"/>
                <w:numId w:val="2"/>
              </w:numPr>
              <w:spacing w:after="80"/>
              <w:ind w:left="0" w:leftChars="0" w:firstLine="0" w:firstLineChars="0"/>
              <w:jc w:val="both"/>
              <w:rPr>
                <w:rFonts w:ascii="宋体" w:hAnsi="宋体" w:eastAsia="宋体"/>
                <w:b/>
                <w:sz w:val="21"/>
                <w:szCs w:val="21"/>
              </w:rPr>
            </w:pPr>
            <w:r>
              <w:rPr>
                <w:rFonts w:ascii="宋体" w:hAnsi="宋体" w:eastAsia="宋体"/>
                <w:b/>
                <w:sz w:val="21"/>
                <w:szCs w:val="21"/>
              </w:rPr>
              <w:t>项目年度目标和工作内容（按年度写）</w:t>
            </w:r>
          </w:p>
          <w:p w14:paraId="79D2C6FA">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项目周期为2027年3月至2028年2月。2027年完成台架与节点、诊断及采集策略对照、无线与平台联调，形成数据和软件成果；2028年1—2月补验证并结项。阶段交付按时段核验，正式评价前固定方法和数据版本，论文以实测结果组织。各时段工作安排如下。</w:t>
            </w:r>
          </w:p>
          <w:p w14:paraId="4FCE86D0">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2027年3—4月，完成器件选型与装配、参考标定、健康关系建立及有线采集，阶段验收以原始读数完整、量程与误差明确、目标变化可测且可重复为准。</w:t>
            </w:r>
          </w:p>
          <w:p w14:paraId="2B4712FC">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5—6月，开展诊断与分级采集、独立故障及正常干扰试验，并完成参照适配对照；新增的上游瞬态扰动、下游堵塞背压与共同扰动参照三组扰动对照安排在5—8月实验窗口内完成。固定参照和阈值，保证操作标签与参考测量对应、试次评价完整。</w:t>
            </w:r>
          </w:p>
          <w:p w14:paraId="12BA2D1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2027年7—8月，完成真实无线与串口接入、本地平台、IO演示及处置复测，完整事件流程可追溯，并完成连续运行、重启与恢复测试；继续完成剩余扰动对照批次，与主要实验共用留出批次核验。</w:t>
            </w:r>
          </w:p>
          <w:p w14:paraId="6A0F6FF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2027年9—10月，开展留出批次、基线与测点对照、关键边界补实验，并根据本项目实际开发的软件成果整理软件著作权申请材料；数据和方法版本固定，统计及失败条件可复核。</w:t>
            </w:r>
          </w:p>
          <w:p w14:paraId="22FFF22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2027年11—12月，完成原型完善与研究报告，实验结论与原始数据一致，文稿与系统说明完整。</w:t>
            </w:r>
          </w:p>
          <w:p w14:paraId="65427436">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2028年1—2月，补验证、成果整理与结项，按任务要求提交原型、数据、程序及报告，成果证明据实归档。</w:t>
            </w:r>
          </w:p>
          <w:p w14:paraId="4764304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01F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AB3A308">
            <w:pPr>
              <w:spacing w:before="120" w:after="40"/>
            </w:pPr>
            <w:r>
              <w:rPr>
                <w:rFonts w:ascii="宋体" w:hAnsi="宋体" w:eastAsia="宋体"/>
                <w:b/>
                <w:bCs w:val="0"/>
                <w:sz w:val="21"/>
                <w:szCs w:val="21"/>
              </w:rPr>
              <w:t>八、已有基础</w:t>
            </w:r>
            <w:r>
              <w:br w:type="textWrapping"/>
            </w:r>
            <w:r>
              <w:rPr>
                <w:rFonts w:hint="eastAsia"/>
                <w:lang w:val="en-US" w:eastAsia="zh-CN"/>
              </w:rPr>
              <w:t>8.</w:t>
            </w:r>
            <w:r>
              <w:rPr>
                <w:rFonts w:ascii="Times New Roman" w:hAnsi="Times New Roman" w:eastAsia="黑体"/>
                <w:b w:val="0"/>
                <w:bCs/>
                <w:sz w:val="21"/>
                <w:szCs w:val="21"/>
              </w:rPr>
              <w:t>1 系统设计与前期论证</w:t>
            </w:r>
          </w:p>
          <w:p w14:paraId="4ED19288">
            <w:pPr>
              <w:spacing w:after="40"/>
              <w:ind w:firstLine="420"/>
              <w:jc w:val="both"/>
            </w:pPr>
            <w:r>
              <w:rPr>
                <w:rFonts w:ascii="Times New Roman" w:hAnsi="Times New Roman" w:eastAsia="宋体"/>
                <w:b w:val="0"/>
                <w:sz w:val="21"/>
              </w:rPr>
              <w:t>前期已完成文献梳理、双支路水路设计、参数化装配、采集接口分析和本地巡检软件。台架模型含207个有效实体，测点顺序与水路一致，支持整体、电气和泄漏计量局部查看；现有分析中A支路流量约1.85—4.34L/min，最大总供水约7.95L/min，据此确定台架水源与量程。现有成果为设计、仿真和主机软件，实物节点、无线射频及田间应用在实施阶段验证。</w:t>
            </w:r>
          </w:p>
          <w:p w14:paraId="361A2864">
            <w:pPr>
              <w:jc w:val="center"/>
            </w:pPr>
            <w:r>
              <w:drawing>
                <wp:inline distT="0" distB="0" distL="114300" distR="114300">
                  <wp:extent cx="4937760" cy="290830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4937760" cy="2908300"/>
                          </a:xfrm>
                          <a:prstGeom prst="rect">
                            <a:avLst/>
                          </a:prstGeom>
                          <a:noFill/>
                          <a:ln>
                            <a:noFill/>
                          </a:ln>
                        </pic:spPr>
                      </pic:pic>
                    </a:graphicData>
                  </a:graphic>
                </wp:inline>
              </w:drawing>
            </w:r>
          </w:p>
          <w:p w14:paraId="3C062563">
            <w:pPr>
              <w:spacing w:after="160"/>
              <w:jc w:val="center"/>
            </w:pPr>
            <w:r>
              <w:rPr>
                <w:rFonts w:ascii="Times New Roman" w:hAnsi="Times New Roman" w:eastAsia="宋体"/>
                <w:b w:val="0"/>
                <w:sz w:val="18"/>
              </w:rPr>
              <w:t>图</w:t>
            </w:r>
            <w:r>
              <w:rPr>
                <w:rFonts w:hint="eastAsia" w:ascii="Times New Roman" w:hAnsi="Times New Roman"/>
                <w:b w:val="0"/>
                <w:sz w:val="18"/>
                <w:lang w:val="en-US" w:eastAsia="zh-CN"/>
              </w:rPr>
              <w:t>8</w:t>
            </w:r>
            <w:r>
              <w:rPr>
                <w:rFonts w:hint="eastAsia"/>
                <w:b w:val="0"/>
                <w:sz w:val="18"/>
                <w:lang w:val="en-US" w:eastAsia="zh-CN"/>
              </w:rPr>
              <w:t>-1</w:t>
            </w:r>
            <w:r>
              <w:rPr>
                <w:rFonts w:ascii="Times New Roman" w:hAnsi="Times New Roman" w:eastAsia="宋体"/>
                <w:b w:val="0"/>
                <w:sz w:val="18"/>
              </w:rPr>
              <w:t xml:space="preserve"> 候选判据的有效早期与正常误报对照</w:t>
            </w:r>
          </w:p>
          <w:p w14:paraId="32A9D9DD">
            <w:pPr>
              <w:spacing w:after="40"/>
              <w:ind w:firstLine="420"/>
              <w:jc w:val="both"/>
            </w:pPr>
            <w:r>
              <w:rPr>
                <w:rFonts w:ascii="Times New Roman" w:hAnsi="Times New Roman" w:eastAsia="宋体"/>
                <w:b w:val="0"/>
                <w:sz w:val="21"/>
              </w:rPr>
              <w:t>图</w:t>
            </w:r>
            <w:r>
              <w:rPr>
                <w:rFonts w:hint="eastAsia" w:ascii="Times New Roman" w:hAnsi="Times New Roman"/>
                <w:b w:val="0"/>
                <w:sz w:val="21"/>
                <w:lang w:val="en-US" w:eastAsia="zh-CN"/>
              </w:rPr>
              <w:t>8</w:t>
            </w:r>
            <w:r>
              <w:rPr>
                <w:rFonts w:hint="eastAsia"/>
                <w:b w:val="0"/>
                <w:sz w:val="21"/>
                <w:lang w:val="en-US" w:eastAsia="zh-CN"/>
              </w:rPr>
              <w:t>-1</w:t>
            </w:r>
            <w:r>
              <w:rPr>
                <w:rFonts w:ascii="Times New Roman" w:hAnsi="Times New Roman" w:eastAsia="宋体"/>
                <w:b w:val="0"/>
                <w:sz w:val="21"/>
              </w:rPr>
              <w:t>比较固定门限、稳健门限及稳健门限与累积判据组合，三组使用相同测量前端、窗口和确认条件，对泄漏、局部受限及长时正常轨迹进行合成回放，覆盖三档压力噪声和12个测试种子。在0.3、3kPa噪声下两类故障均为12/12条有效早期；10kPa时固定门限降为1/12，稳健门限和累积组合保持12/12；长时正常对照中稳健门限三档均无确认误报，固定门限与累积组合分别出现误报。结果支持优先部署稳健门限，并在实物阶段检验其实际效果。</w:t>
            </w:r>
          </w:p>
          <w:p w14:paraId="4936EF7F">
            <w:pPr>
              <w:jc w:val="center"/>
            </w:pPr>
            <w:r>
              <w:drawing>
                <wp:inline distT="0" distB="0" distL="114300" distR="114300">
                  <wp:extent cx="4937760" cy="4009390"/>
                  <wp:effectExtent l="0" t="0" r="635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937760" cy="4009390"/>
                          </a:xfrm>
                          <a:prstGeom prst="rect">
                            <a:avLst/>
                          </a:prstGeom>
                          <a:noFill/>
                          <a:ln>
                            <a:noFill/>
                          </a:ln>
                        </pic:spPr>
                      </pic:pic>
                    </a:graphicData>
                  </a:graphic>
                </wp:inline>
              </w:drawing>
            </w:r>
          </w:p>
          <w:p w14:paraId="0238D8A5">
            <w:pPr>
              <w:spacing w:after="160"/>
              <w:jc w:val="center"/>
            </w:pPr>
            <w:r>
              <w:rPr>
                <w:rFonts w:ascii="Times New Roman" w:hAnsi="Times New Roman" w:eastAsia="宋体"/>
                <w:b w:val="0"/>
                <w:sz w:val="18"/>
              </w:rPr>
              <w:t>图</w:t>
            </w:r>
            <w:r>
              <w:rPr>
                <w:rFonts w:hint="eastAsia"/>
                <w:b w:val="0"/>
                <w:sz w:val="18"/>
                <w:lang w:val="en-US" w:eastAsia="zh-CN"/>
              </w:rPr>
              <w:t>8-2</w:t>
            </w:r>
            <w:r>
              <w:rPr>
                <w:rFonts w:ascii="Times New Roman" w:hAnsi="Times New Roman" w:eastAsia="宋体"/>
                <w:b w:val="0"/>
                <w:sz w:val="18"/>
              </w:rPr>
              <w:t xml:space="preserve"> 初始K/R判据的负载歧义与压力漂移反例（仿真）</w:t>
            </w:r>
          </w:p>
          <w:p w14:paraId="3748EB10">
            <w:pPr>
              <w:spacing w:after="40"/>
              <w:ind w:firstLine="420"/>
              <w:jc w:val="both"/>
            </w:pPr>
            <w:r>
              <w:rPr>
                <w:rFonts w:ascii="Times New Roman" w:hAnsi="Times New Roman" w:eastAsia="宋体"/>
                <w:b w:val="0"/>
                <w:sz w:val="21"/>
              </w:rPr>
              <w:t>前期还构造了未知正常负载、压力漂移及负载规律失配反例。图8-2显示，在20个种子的合成对照中，未知负载增加可与等效泄漏产生相同观测，上游压力偏移也可能形成受限候选。稳健门限能够抑制随机波动，却不能替代工况信息和独立核查，因此试验纳入操作记录、健康标定与跨负载留出评价。</w:t>
            </w:r>
          </w:p>
          <w:p w14:paraId="7C7A70E4">
            <w:pPr>
              <w:spacing w:after="40"/>
              <w:ind w:firstLine="420"/>
              <w:jc w:val="both"/>
            </w:pPr>
            <w:r>
              <w:rPr>
                <w:rFonts w:ascii="Times New Roman" w:hAnsi="Times New Roman" w:eastAsia="宋体"/>
                <w:b w:val="0"/>
                <w:sz w:val="21"/>
              </w:rPr>
              <w:t>诊断程序已完成健康参照、稳健门限和测量质量检查。便携C整数内核与主机参考程序在216条合成轨迹、130,896次更新中的九字段输出一致，边界舍入与插值差异另有记录。当前固定1Hz基线采用十秒主窗、五次确认，三秒短窗形成关注提示，为STM32移植提供程序基础。</w:t>
            </w:r>
          </w:p>
          <w:p w14:paraId="2DCD437F">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2 协议与平台软件</w:t>
            </w:r>
          </w:p>
          <w:p w14:paraId="4DAA22C9">
            <w:pPr>
              <w:spacing w:after="40"/>
              <w:ind w:firstLine="420"/>
              <w:jc w:val="both"/>
            </w:pPr>
            <w:r>
              <w:rPr>
                <w:rFonts w:ascii="Times New Roman" w:hAnsi="Times New Roman" w:eastAsia="宋体"/>
                <w:b w:val="0"/>
                <w:sz w:val="21"/>
              </w:rPr>
              <w:t>采集适配与通信状态已在主机联调，覆盖缺测、越量程、计数复位、重复报文和确认丢失。80组通信回放包括正常链路、随机丢失及受控中断三类条件，其中正常链路组收到全部生成事件，随机丢失与受控中断组按各自条件分别统计；通信协议编解码共1429条记录，456次单比特破坏均通过校验，压力解码最大误差约0.005kPa，事件、遥测与应答帧分别为57、55和24B，程序通过严格编译检查。以上均为链路回放与合成仿真结果，节点日志与真实射频恢复将在后续联调中验证。</w:t>
            </w:r>
          </w:p>
          <w:p w14:paraId="09F3C5DE">
            <w:pPr>
              <w:spacing w:after="40"/>
              <w:ind w:firstLine="420"/>
              <w:jc w:val="both"/>
            </w:pPr>
            <w:r>
              <w:rPr>
                <w:rFonts w:ascii="Times New Roman" w:hAnsi="Times New Roman" w:eastAsia="宋体"/>
                <w:b w:val="0"/>
                <w:sz w:val="21"/>
              </w:rPr>
              <w:t>巡检平台已接入C回放、Python服务和SQLite，提供24条带噪观测回放及独立核查记录。桌面封装支持八页操作、可暂停回放、压力与流量曲线、三维测点聚焦、CSV/JSON保存和重启后恢复；当前界面使用合成数据，并在本机完成启动、操作、保存与恢复检查。</w:t>
            </w:r>
          </w:p>
          <w:p w14:paraId="7EADF38C">
            <w:pPr>
              <w:spacing w:after="40"/>
              <w:ind w:firstLine="420"/>
              <w:jc w:val="both"/>
            </w:pPr>
            <w:r>
              <w:rPr>
                <w:rFonts w:ascii="Times New Roman" w:hAnsi="Times New Roman" w:eastAsia="宋体"/>
                <w:b w:val="0"/>
                <w:sz w:val="21"/>
              </w:rPr>
              <w:t>分级采集仿真共432组，与上述判据对照批次相互独立，改变种子、噪声、场景及读取相位。固定1秒组的渐进泄漏与受限均为9/9有效早期，2秒巡航组为17/18，5秒组分别为39/45和42/45；事件触发方案在高频阈值下记录471帧、低频阈值仅8帧。读取次数随周期延长减少，响应代价也随之出现，项目据此保留1Hz主线，并继续研究2秒、5秒策略。</w:t>
            </w:r>
          </w:p>
          <w:p w14:paraId="2A4227CC">
            <w:pPr>
              <w:spacing w:after="40"/>
              <w:ind w:firstLine="420"/>
              <w:jc w:val="both"/>
            </w:pPr>
            <w:r>
              <w:rPr>
                <w:rFonts w:ascii="Times New Roman" w:hAnsi="Times New Roman" w:eastAsia="宋体"/>
                <w:b w:val="0"/>
                <w:sz w:val="21"/>
              </w:rPr>
              <w:t>72组未见工况C测试显示，参照负载规律匹配时效果较稳定，失配时出现正常误报；四类上报策略在正常链路条件下均无丢失，受控中断条件下的恢复试验按72组、12组、12组、12组分别统计，各批次均无数据丢失。这说明单纯调整门限不足以解决跨工况问题。平台已提供多供压健康曲线拟合，候选参照经独立健康数据核验后启用，后续用实测批次比较固定参照与重新标定。</w:t>
            </w:r>
          </w:p>
          <w:p w14:paraId="3213E635">
            <w:pPr>
              <w:spacing w:after="40"/>
              <w:ind w:firstLine="420"/>
              <w:jc w:val="both"/>
            </w:pPr>
            <w:r>
              <w:rPr>
                <w:rFonts w:ascii="Times New Roman" w:hAnsi="Times New Roman" w:eastAsia="宋体"/>
                <w:b w:val="0"/>
                <w:sz w:val="21"/>
              </w:rPr>
              <w:t>控制请求已接入页面和数据库，能够区分请求、软件接收、模拟输出及人工复位，并保留重复命令和重启后的状态；节点IO仍待联调，现有程序为LED或蜂鸣器演示提供基础。</w:t>
            </w:r>
          </w:p>
          <w:p w14:paraId="769025D9">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3 已具备条件、尚缺少条件及解决方法</w:t>
            </w:r>
          </w:p>
          <w:p w14:paraId="34990915">
            <w:pPr>
              <w:spacing w:after="40"/>
              <w:ind w:firstLine="420"/>
              <w:jc w:val="both"/>
            </w:pPr>
            <w:r>
              <w:rPr>
                <w:rFonts w:ascii="Times New Roman" w:hAnsi="Times New Roman" w:eastAsia="宋体"/>
                <w:b w:val="0"/>
                <w:sz w:val="21"/>
              </w:rPr>
              <w:t>已具备：系统设计、合成仿真对照、主机软件与桌面封装、通信协议回放与编解码、分级采集与跨工况分析、控制请求接入。</w:t>
            </w:r>
          </w:p>
          <w:p w14:paraId="124D4C97">
            <w:pPr>
              <w:spacing w:after="40"/>
              <w:ind w:firstLine="420"/>
              <w:jc w:val="both"/>
            </w:pPr>
            <w:r>
              <w:rPr>
                <w:rFonts w:ascii="Times New Roman" w:hAnsi="Times New Roman" w:eastAsia="宋体"/>
                <w:b w:val="0"/>
                <w:sz w:val="21"/>
              </w:rPr>
              <w:t>尚缺少：硬件实物节点（尚未焊接）、真实LoRa射频与整机电流实测、田间部署许可、差压实测不确定度，以及上游瞬态扰动、下游堵塞背压与共同扰动参照的台架装置（尚未搭建）。</w:t>
            </w:r>
          </w:p>
          <w:p w14:paraId="447E1022">
            <w:pPr>
              <w:spacing w:after="4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解决途径：2027年3—4月完成器件选型与标定，独立参考仪表借调，台架优先验证；上游扰动注入、B末端堵塞与首部/干管参照装置在实施阶段按表2安排搭建与试验；田间外推受限时如实写明。</w:t>
            </w:r>
          </w:p>
        </w:tc>
      </w:tr>
      <w:tr w14:paraId="6157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5BB66376">
            <w:pPr>
              <w:keepNext w:val="0"/>
              <w:keepLines w:val="0"/>
              <w:widowControl/>
              <w:spacing w:before="0" w:after="0" w:line="240" w:lineRule="auto"/>
              <w:jc w:val="both"/>
              <w:rPr>
                <w:rFonts w:hint="default" w:ascii="Times New Roman" w:hAnsi="Times New Roman" w:eastAsia="宋体" w:cs="Times New Roman"/>
                <w:color w:val="FF0000"/>
                <w:sz w:val="21"/>
                <w:szCs w:val="28"/>
                <w:lang w:val="en-US" w:eastAsia="zh-CN"/>
              </w:rPr>
            </w:pPr>
            <w:r>
              <w:rPr>
                <w:rFonts w:ascii="宋体" w:hAnsi="宋体" w:eastAsia="宋体"/>
                <w:b/>
                <w:sz w:val="21"/>
                <w:szCs w:val="21"/>
              </w:rPr>
              <w:t>九、项目经费使用计划</w:t>
            </w:r>
          </w:p>
          <w:p w14:paraId="688C3884">
            <w:pPr>
              <w:spacing w:after="60"/>
              <w:ind w:firstLine="420"/>
              <w:jc w:val="both"/>
            </w:pPr>
            <w:r>
              <w:rPr>
                <w:rFonts w:ascii="Times New Roman" w:hAnsi="Times New Roman" w:eastAsia="宋体"/>
                <w:b w:val="0"/>
                <w:sz w:val="21"/>
              </w:rPr>
              <w:t>项目总经费以12000元规划，按材料费、印刷费、资料及知识产权事务费、其他费用四类使用，支出合计12000元。各科目用途及依据如下表所示。</w:t>
            </w:r>
          </w:p>
          <w:p w14:paraId="682EB35A">
            <w:pPr>
              <w:spacing w:before="120" w:after="40"/>
              <w:jc w:val="center"/>
            </w:pPr>
            <w:r>
              <w:rPr>
                <w:rFonts w:ascii="Times New Roman" w:hAnsi="Times New Roman" w:eastAsia="黑体"/>
                <w:b/>
                <w:sz w:val="21"/>
              </w:rPr>
              <w:t>经费预算表（总经费12000元）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28"/>
              <w:gridCol w:w="5184"/>
            </w:tblGrid>
            <w:tr w14:paraId="63BD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40B8A6C">
                  <w:pPr>
                    <w:spacing w:after="0"/>
                    <w:jc w:val="center"/>
                  </w:pPr>
                  <w:r>
                    <w:rPr>
                      <w:rFonts w:ascii="Times New Roman" w:hAnsi="Times New Roman" w:eastAsia="宋体"/>
                      <w:b/>
                      <w:sz w:val="19"/>
                    </w:rPr>
                    <w:t>科目</w:t>
                  </w:r>
                </w:p>
              </w:tc>
              <w:tc>
                <w:tcPr>
                  <w:tcW w:w="1728" w:type="dxa"/>
                </w:tcPr>
                <w:p w14:paraId="2D600616">
                  <w:pPr>
                    <w:spacing w:after="0"/>
                    <w:jc w:val="center"/>
                  </w:pPr>
                  <w:r>
                    <w:rPr>
                      <w:rFonts w:ascii="Times New Roman" w:hAnsi="Times New Roman" w:eastAsia="宋体"/>
                      <w:b/>
                      <w:sz w:val="19"/>
                    </w:rPr>
                    <w:t>金额（元）</w:t>
                  </w:r>
                </w:p>
              </w:tc>
              <w:tc>
                <w:tcPr>
                  <w:tcW w:w="5184" w:type="dxa"/>
                </w:tcPr>
                <w:p w14:paraId="11FDD596">
                  <w:pPr>
                    <w:spacing w:after="0"/>
                    <w:jc w:val="center"/>
                  </w:pPr>
                  <w:r>
                    <w:rPr>
                      <w:rFonts w:ascii="Times New Roman" w:hAnsi="Times New Roman" w:eastAsia="宋体"/>
                      <w:b/>
                      <w:sz w:val="19"/>
                    </w:rPr>
                    <w:t>用途说明</w:t>
                  </w:r>
                </w:p>
              </w:tc>
            </w:tr>
            <w:tr w14:paraId="6CD3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5B2C2B5">
                  <w:pPr>
                    <w:spacing w:after="0"/>
                    <w:jc w:val="left"/>
                  </w:pPr>
                  <w:r>
                    <w:rPr>
                      <w:rFonts w:ascii="Times New Roman" w:hAnsi="Times New Roman" w:eastAsia="宋体"/>
                      <w:b w:val="0"/>
                      <w:sz w:val="19"/>
                    </w:rPr>
                    <w:t>材料费</w:t>
                  </w:r>
                </w:p>
              </w:tc>
              <w:tc>
                <w:tcPr>
                  <w:tcW w:w="1728" w:type="dxa"/>
                </w:tcPr>
                <w:p w14:paraId="1E9DB270">
                  <w:pPr>
                    <w:spacing w:after="0"/>
                    <w:jc w:val="center"/>
                  </w:pPr>
                  <w:r>
                    <w:rPr>
                      <w:rFonts w:ascii="Times New Roman" w:hAnsi="Times New Roman" w:eastAsia="宋体"/>
                      <w:b w:val="0"/>
                      <w:sz w:val="19"/>
                    </w:rPr>
                    <w:t>6300</w:t>
                  </w:r>
                </w:p>
              </w:tc>
              <w:tc>
                <w:tcPr>
                  <w:tcW w:w="5184" w:type="dxa"/>
                </w:tcPr>
                <w:p w14:paraId="5BC45496">
                  <w:pPr>
                    <w:spacing w:after="0"/>
                    <w:jc w:val="left"/>
                  </w:pPr>
                  <w:r>
                    <w:rPr>
                      <w:rFonts w:ascii="Times New Roman" w:hAnsi="Times New Roman" w:eastAsia="宋体"/>
                      <w:b w:val="0"/>
                      <w:sz w:val="19"/>
                    </w:rPr>
                    <w:t>感知节点元器件、双支路台架水路、扰动注入与背压装置、收集计量器具</w:t>
                  </w:r>
                </w:p>
              </w:tc>
            </w:tr>
            <w:tr w14:paraId="7842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13A38ED">
                  <w:pPr>
                    <w:spacing w:after="0"/>
                    <w:jc w:val="left"/>
                  </w:pPr>
                  <w:r>
                    <w:rPr>
                      <w:rFonts w:ascii="Times New Roman" w:hAnsi="Times New Roman" w:eastAsia="宋体"/>
                      <w:b w:val="0"/>
                      <w:sz w:val="19"/>
                    </w:rPr>
                    <w:t>印刷费</w:t>
                  </w:r>
                </w:p>
              </w:tc>
              <w:tc>
                <w:tcPr>
                  <w:tcW w:w="1728" w:type="dxa"/>
                </w:tcPr>
                <w:p w14:paraId="77126DB7">
                  <w:pPr>
                    <w:spacing w:after="0"/>
                    <w:jc w:val="center"/>
                  </w:pPr>
                  <w:r>
                    <w:rPr>
                      <w:rFonts w:ascii="Times New Roman" w:hAnsi="Times New Roman" w:eastAsia="宋体"/>
                      <w:b w:val="0"/>
                      <w:sz w:val="19"/>
                    </w:rPr>
                    <w:t>2600</w:t>
                  </w:r>
                </w:p>
              </w:tc>
              <w:tc>
                <w:tcPr>
                  <w:tcW w:w="5184" w:type="dxa"/>
                </w:tcPr>
                <w:p w14:paraId="4975FF97">
                  <w:pPr>
                    <w:spacing w:after="0"/>
                    <w:jc w:val="left"/>
                  </w:pPr>
                  <w:r>
                    <w:rPr>
                      <w:rFonts w:ascii="Times New Roman" w:hAnsi="Times New Roman" w:eastAsia="宋体"/>
                      <w:b w:val="0"/>
                      <w:sz w:val="19"/>
                    </w:rPr>
                    <w:t>研究报告、图纸、使用说明书、标定与测试记录的打印装订</w:t>
                  </w:r>
                </w:p>
              </w:tc>
            </w:tr>
            <w:tr w14:paraId="4DC6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A4EE4B5">
                  <w:pPr>
                    <w:spacing w:after="0"/>
                    <w:jc w:val="left"/>
                  </w:pPr>
                  <w:r>
                    <w:rPr>
                      <w:rFonts w:ascii="Times New Roman" w:hAnsi="Times New Roman" w:eastAsia="宋体"/>
                      <w:b w:val="0"/>
                      <w:sz w:val="19"/>
                    </w:rPr>
                    <w:t>资料、知识产权事务费</w:t>
                  </w:r>
                </w:p>
              </w:tc>
              <w:tc>
                <w:tcPr>
                  <w:tcW w:w="1728" w:type="dxa"/>
                </w:tcPr>
                <w:p w14:paraId="45648FD0">
                  <w:pPr>
                    <w:spacing w:after="0"/>
                    <w:jc w:val="center"/>
                  </w:pPr>
                  <w:r>
                    <w:rPr>
                      <w:rFonts w:ascii="Times New Roman" w:hAnsi="Times New Roman" w:eastAsia="宋体"/>
                      <w:b w:val="0"/>
                      <w:sz w:val="19"/>
                    </w:rPr>
                    <w:t>2600</w:t>
                  </w:r>
                </w:p>
              </w:tc>
              <w:tc>
                <w:tcPr>
                  <w:tcW w:w="5184" w:type="dxa"/>
                </w:tcPr>
                <w:p w14:paraId="4C359589">
                  <w:pPr>
                    <w:spacing w:after="0"/>
                    <w:jc w:val="left"/>
                  </w:pPr>
                  <w:r>
                    <w:rPr>
                      <w:rFonts w:ascii="Times New Roman" w:hAnsi="Times New Roman" w:eastAsia="宋体"/>
                      <w:b w:val="0"/>
                      <w:sz w:val="19"/>
                    </w:rPr>
                    <w:t>文献资料购置、论文投稿相关费用、软件著作权申请</w:t>
                  </w:r>
                </w:p>
              </w:tc>
            </w:tr>
            <w:tr w14:paraId="0BFE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EDAB0A9">
                  <w:pPr>
                    <w:spacing w:after="0"/>
                    <w:jc w:val="left"/>
                  </w:pPr>
                  <w:r>
                    <w:rPr>
                      <w:rFonts w:ascii="Times New Roman" w:hAnsi="Times New Roman" w:eastAsia="宋体"/>
                      <w:b w:val="0"/>
                      <w:sz w:val="19"/>
                    </w:rPr>
                    <w:t>其他费用</w:t>
                  </w:r>
                </w:p>
              </w:tc>
              <w:tc>
                <w:tcPr>
                  <w:tcW w:w="1728" w:type="dxa"/>
                </w:tcPr>
                <w:p w14:paraId="06A85B68">
                  <w:pPr>
                    <w:spacing w:after="0"/>
                    <w:jc w:val="center"/>
                  </w:pPr>
                  <w:r>
                    <w:rPr>
                      <w:rFonts w:ascii="Times New Roman" w:hAnsi="Times New Roman" w:eastAsia="宋体"/>
                      <w:b w:val="0"/>
                      <w:sz w:val="19"/>
                    </w:rPr>
                    <w:t>500</w:t>
                  </w:r>
                </w:p>
              </w:tc>
              <w:tc>
                <w:tcPr>
                  <w:tcW w:w="5184" w:type="dxa"/>
                </w:tcPr>
                <w:p w14:paraId="270B664A">
                  <w:pPr>
                    <w:spacing w:after="0"/>
                    <w:jc w:val="left"/>
                  </w:pPr>
                  <w:r>
                    <w:rPr>
                      <w:rFonts w:ascii="Times New Roman" w:hAnsi="Times New Roman" w:eastAsia="宋体"/>
                      <w:b w:val="0"/>
                      <w:sz w:val="19"/>
                    </w:rPr>
                    <w:t>交通、临时测试耗材等</w:t>
                  </w:r>
                </w:p>
              </w:tc>
            </w:tr>
            <w:tr w14:paraId="626D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BEE4EF2">
                  <w:pPr>
                    <w:spacing w:after="0"/>
                    <w:jc w:val="left"/>
                  </w:pPr>
                  <w:r>
                    <w:rPr>
                      <w:rFonts w:ascii="Times New Roman" w:hAnsi="Times New Roman" w:eastAsia="宋体"/>
                      <w:b w:val="0"/>
                      <w:sz w:val="19"/>
                    </w:rPr>
                    <w:t>支出合计</w:t>
                  </w:r>
                </w:p>
              </w:tc>
              <w:tc>
                <w:tcPr>
                  <w:tcW w:w="1728" w:type="dxa"/>
                </w:tcPr>
                <w:p w14:paraId="55839438">
                  <w:pPr>
                    <w:spacing w:after="0"/>
                    <w:jc w:val="center"/>
                  </w:pPr>
                  <w:r>
                    <w:rPr>
                      <w:rFonts w:ascii="Times New Roman" w:hAnsi="Times New Roman" w:eastAsia="宋体"/>
                      <w:b w:val="0"/>
                      <w:sz w:val="19"/>
                    </w:rPr>
                    <w:t>12000</w:t>
                  </w:r>
                </w:p>
              </w:tc>
              <w:tc>
                <w:tcPr>
                  <w:tcW w:w="5184" w:type="dxa"/>
                </w:tcPr>
                <w:p w14:paraId="035836E5">
                  <w:pPr>
                    <w:spacing w:after="0"/>
                    <w:jc w:val="left"/>
                  </w:pPr>
                  <w:r>
                    <w:rPr>
                      <w:rFonts w:ascii="Times New Roman" w:hAnsi="Times New Roman" w:eastAsia="宋体"/>
                      <w:b w:val="0"/>
                      <w:sz w:val="19"/>
                    </w:rPr>
                    <w:t>—</w:t>
                  </w:r>
                </w:p>
              </w:tc>
            </w:tr>
          </w:tbl>
          <w:p w14:paraId="17179CB9">
            <w:pPr>
              <w:spacing w:after="6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材料费为支出主体，具体包含三部分：其一，感知节点元器件，包括STM32F103C8T6主控、两路0—200kPa压力变送器、ADS1115模数转换模块、脉冲式流量计、E220LoRa模块、microSD存储及电源、调理保护电路与LED/蜂鸣器演示器件，约2600元；其二，双支路台架水路耗材，包括PVC管材、阀门接头、泄漏旁路、受限元件R、正常出流与收集容器及排水防溅结构，约2200元；其三，上游扰动注入与下游背压、首部/干管参照装置，包括可调压力扰动阀、B末端可调堵塞元件、压力调节器及额外测点，约1500元。</w:t>
            </w:r>
          </w:p>
        </w:tc>
      </w:tr>
      <w:tr w14:paraId="75C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60F5022E">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11EA4AE3">
            <w:pPr>
              <w:keepNext/>
              <w:spacing w:before="156" w:beforeLines="50"/>
              <w:rPr>
                <w:rFonts w:hint="eastAsia"/>
                <w:b/>
              </w:rPr>
            </w:pPr>
          </w:p>
        </w:tc>
        <w:tc>
          <w:tcPr>
            <w:tcW w:w="3421" w:type="dxa"/>
            <w:gridSpan w:val="2"/>
            <w:noWrap w:val="0"/>
            <w:vAlign w:val="top"/>
          </w:tcPr>
          <w:p w14:paraId="0542743F">
            <w:pPr>
              <w:keepNext/>
              <w:spacing w:before="156" w:beforeLines="50"/>
              <w:rPr>
                <w:rFonts w:hint="eastAsia"/>
                <w:b/>
              </w:rPr>
            </w:pPr>
          </w:p>
        </w:tc>
      </w:tr>
      <w:tr w14:paraId="7DE8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D8B614C">
            <w:pPr>
              <w:keepNext/>
              <w:spacing w:before="156" w:beforeLines="50"/>
              <w:rPr>
                <w:rFonts w:hint="eastAsia"/>
                <w:b/>
              </w:rPr>
            </w:pPr>
          </w:p>
        </w:tc>
        <w:tc>
          <w:tcPr>
            <w:tcW w:w="3050" w:type="dxa"/>
            <w:gridSpan w:val="2"/>
            <w:noWrap w:val="0"/>
            <w:vAlign w:val="top"/>
          </w:tcPr>
          <w:p w14:paraId="0444C702">
            <w:pPr>
              <w:keepNext/>
              <w:spacing w:before="156" w:beforeLines="50"/>
              <w:rPr>
                <w:rFonts w:hint="eastAsia"/>
                <w:b/>
              </w:rPr>
            </w:pPr>
          </w:p>
        </w:tc>
        <w:tc>
          <w:tcPr>
            <w:tcW w:w="3421" w:type="dxa"/>
            <w:gridSpan w:val="2"/>
            <w:noWrap w:val="0"/>
            <w:vAlign w:val="top"/>
          </w:tcPr>
          <w:p w14:paraId="3E612CA4">
            <w:pPr>
              <w:keepNext/>
              <w:spacing w:before="156" w:beforeLines="50"/>
              <w:rPr>
                <w:rFonts w:hint="eastAsia"/>
                <w:b/>
              </w:rPr>
            </w:pPr>
          </w:p>
        </w:tc>
      </w:tr>
      <w:tr w14:paraId="743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566EF93">
            <w:pPr>
              <w:keepNext w:val="0"/>
              <w:spacing w:before="156" w:beforeLines="50"/>
              <w:rPr>
                <w:rFonts w:hint="eastAsia"/>
                <w:b/>
              </w:rPr>
            </w:pPr>
          </w:p>
        </w:tc>
        <w:tc>
          <w:tcPr>
            <w:tcW w:w="3050" w:type="dxa"/>
            <w:gridSpan w:val="2"/>
            <w:noWrap w:val="0"/>
            <w:vAlign w:val="top"/>
          </w:tcPr>
          <w:p w14:paraId="129C614B">
            <w:pPr>
              <w:keepNext w:val="0"/>
              <w:spacing w:before="156" w:beforeLines="50"/>
              <w:rPr>
                <w:rFonts w:hint="eastAsia"/>
                <w:b/>
              </w:rPr>
            </w:pPr>
          </w:p>
        </w:tc>
        <w:tc>
          <w:tcPr>
            <w:tcW w:w="3421" w:type="dxa"/>
            <w:gridSpan w:val="2"/>
            <w:noWrap w:val="0"/>
            <w:vAlign w:val="top"/>
          </w:tcPr>
          <w:p w14:paraId="054ED11C">
            <w:pPr>
              <w:keepNext w:val="0"/>
              <w:spacing w:before="156" w:beforeLines="50"/>
              <w:rPr>
                <w:rFonts w:hint="eastAsia"/>
                <w:b/>
              </w:rPr>
            </w:pPr>
          </w:p>
        </w:tc>
      </w:tr>
      <w:tr w14:paraId="7066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43F2D272">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015D02B4">
            <w:pPr>
              <w:rPr>
                <w:rFonts w:hint="eastAsia" w:ascii="宋体" w:hAnsi="宋体"/>
              </w:rPr>
            </w:pPr>
          </w:p>
          <w:p w14:paraId="17FC746C">
            <w:pPr>
              <w:rPr>
                <w:rFonts w:hint="eastAsia" w:ascii="宋体" w:hAnsi="宋体"/>
              </w:rPr>
            </w:pPr>
          </w:p>
          <w:p w14:paraId="6E3D0FF0">
            <w:pPr>
              <w:rPr>
                <w:rFonts w:hint="eastAsia" w:ascii="宋体" w:hAnsi="宋体"/>
              </w:rPr>
            </w:pPr>
          </w:p>
          <w:p w14:paraId="189548E1">
            <w:pPr>
              <w:rPr>
                <w:rFonts w:hint="eastAsia" w:ascii="宋体" w:hAnsi="宋体"/>
              </w:rPr>
            </w:pPr>
          </w:p>
          <w:p w14:paraId="6B4E39CC">
            <w:pPr>
              <w:rPr>
                <w:rFonts w:hint="eastAsia" w:ascii="宋体" w:hAnsi="宋体"/>
              </w:rPr>
            </w:pPr>
          </w:p>
          <w:p w14:paraId="50FAA0BB">
            <w:pPr>
              <w:rPr>
                <w:rFonts w:hint="eastAsia" w:ascii="宋体" w:hAnsi="宋体"/>
              </w:rPr>
            </w:pPr>
          </w:p>
          <w:p w14:paraId="24D6675E">
            <w:pPr>
              <w:rPr>
                <w:rFonts w:hint="eastAsia" w:ascii="宋体" w:hAnsi="宋体"/>
              </w:rPr>
            </w:pPr>
          </w:p>
          <w:p w14:paraId="19EAB47F">
            <w:pPr>
              <w:rPr>
                <w:rFonts w:hint="eastAsia" w:ascii="宋体" w:hAnsi="宋体"/>
              </w:rPr>
            </w:pPr>
          </w:p>
          <w:p w14:paraId="3FDDFA05">
            <w:pPr>
              <w:rPr>
                <w:rFonts w:hint="eastAsia" w:ascii="宋体" w:hAnsi="宋体"/>
              </w:rPr>
            </w:pPr>
          </w:p>
          <w:p w14:paraId="25B27C48">
            <w:pPr>
              <w:rPr>
                <w:rFonts w:hint="eastAsia" w:ascii="宋体" w:hAnsi="宋体"/>
                <w:szCs w:val="21"/>
              </w:rPr>
            </w:pPr>
          </w:p>
          <w:p w14:paraId="0E59AE6C">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2F79EE9F">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936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11636C4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0E7F69C5">
            <w:pPr>
              <w:keepNext/>
              <w:rPr>
                <w:rFonts w:hint="eastAsia" w:ascii="宋体" w:hAnsi="宋体"/>
              </w:rPr>
            </w:pPr>
          </w:p>
          <w:p w14:paraId="4175D9EF">
            <w:pPr>
              <w:keepNext/>
              <w:rPr>
                <w:rFonts w:hint="eastAsia" w:ascii="宋体" w:hAnsi="宋体"/>
              </w:rPr>
            </w:pPr>
          </w:p>
          <w:p w14:paraId="23EAAF82">
            <w:pPr>
              <w:keepNext/>
              <w:rPr>
                <w:rFonts w:hint="eastAsia" w:ascii="宋体" w:hAnsi="宋体"/>
              </w:rPr>
            </w:pPr>
          </w:p>
          <w:p w14:paraId="75C00FE2">
            <w:pPr>
              <w:keepNext/>
              <w:rPr>
                <w:rFonts w:hint="eastAsia" w:ascii="宋体" w:hAnsi="宋体"/>
              </w:rPr>
            </w:pPr>
          </w:p>
          <w:p w14:paraId="2863052C">
            <w:pPr>
              <w:keepNext/>
              <w:rPr>
                <w:rFonts w:hint="eastAsia" w:ascii="宋体" w:hAnsi="宋体"/>
              </w:rPr>
            </w:pPr>
          </w:p>
          <w:p w14:paraId="0C8779F2">
            <w:pPr>
              <w:keepNext/>
              <w:rPr>
                <w:rFonts w:hint="eastAsia" w:ascii="宋体" w:hAnsi="宋体"/>
              </w:rPr>
            </w:pPr>
          </w:p>
          <w:p w14:paraId="22AA7F7F">
            <w:pPr>
              <w:keepNext/>
              <w:rPr>
                <w:rFonts w:hint="eastAsia" w:ascii="宋体" w:hAnsi="宋体"/>
              </w:rPr>
            </w:pPr>
          </w:p>
          <w:p w14:paraId="123A9427">
            <w:pPr>
              <w:keepNext/>
              <w:rPr>
                <w:rFonts w:hint="eastAsia" w:ascii="宋体" w:hAnsi="宋体"/>
              </w:rPr>
            </w:pPr>
          </w:p>
          <w:p w14:paraId="7BF5D906">
            <w:pPr>
              <w:keepNext/>
              <w:rPr>
                <w:rFonts w:hint="eastAsia" w:ascii="宋体" w:hAnsi="宋体"/>
              </w:rPr>
            </w:pPr>
          </w:p>
          <w:p w14:paraId="5CD4D3D3">
            <w:pPr>
              <w:keepNext/>
              <w:rPr>
                <w:rFonts w:hint="eastAsia" w:ascii="宋体" w:hAnsi="宋体"/>
              </w:rPr>
            </w:pPr>
          </w:p>
          <w:p w14:paraId="2BA65CA1">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5C3AF363">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577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7E78A58B">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F7AA19F">
            <w:pPr>
              <w:spacing w:before="156" w:beforeLines="50"/>
              <w:rPr>
                <w:rFonts w:hint="eastAsia" w:ascii="黑体" w:hAnsi="黑体" w:eastAsia="黑体" w:cs="Times New Roman"/>
                <w:sz w:val="22"/>
                <w:szCs w:val="28"/>
              </w:rPr>
            </w:pPr>
          </w:p>
          <w:p w14:paraId="1AA98FD9">
            <w:pPr>
              <w:spacing w:before="156" w:beforeLines="50"/>
              <w:rPr>
                <w:rFonts w:hint="eastAsia" w:ascii="黑体" w:hAnsi="黑体" w:eastAsia="黑体" w:cs="Times New Roman"/>
                <w:sz w:val="22"/>
                <w:szCs w:val="28"/>
              </w:rPr>
            </w:pPr>
          </w:p>
          <w:p w14:paraId="5E96CD00">
            <w:pPr>
              <w:spacing w:before="156" w:beforeLines="50"/>
              <w:rPr>
                <w:rFonts w:hint="eastAsia" w:ascii="黑体" w:hAnsi="黑体" w:eastAsia="黑体" w:cs="Times New Roman"/>
                <w:sz w:val="22"/>
                <w:szCs w:val="28"/>
              </w:rPr>
            </w:pPr>
          </w:p>
          <w:p w14:paraId="107A5911">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mc:AlternateContent>
                <mc:Choice Requires="wps">
                  <w:drawing>
                    <wp:anchor distT="0" distB="0" distL="114300" distR="114300" simplePos="0" relativeHeight="251659264" behindDoc="0" locked="0" layoutInCell="1" allowOverlap="1">
                      <wp:simplePos x="0" y="0"/>
                      <wp:positionH relativeFrom="column">
                        <wp:posOffset>1571625</wp:posOffset>
                      </wp:positionH>
                      <wp:positionV relativeFrom="paragraph">
                        <wp:posOffset>78105</wp:posOffset>
                      </wp:positionV>
                      <wp:extent cx="228600" cy="198120"/>
                      <wp:effectExtent l="4445" t="4445" r="15240" b="13335"/>
                      <wp:wrapNone/>
                      <wp:docPr id="1" name="00001c"/>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9894F"/>
                              </w:txbxContent>
                            </wps:txbx>
                            <wps:bodyPr upright="1"/>
                          </wps:wsp>
                        </a:graphicData>
                      </a:graphic>
                    </wp:anchor>
                  </w:drawing>
                </mc:Choice>
                <mc:Fallback>
                  <w:pict>
                    <v:shape id="00001c" o:spid="_x0000_s1026" o:spt="202" type="#_x0000_t202" style="position:absolute;left:0pt;margin-left:123.75pt;margin-top:6.15pt;height:15.6pt;width:18pt;z-index:251659264;mso-width-relative:page;mso-height-relative:page;" fillcolor="#FFFFFF" filled="t" stroked="t" coordsize="21600,21600" o:gfxdata="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6WK+nYAAAACQEAAA8AAAAAAAAAAQAgAAAAIgAAAGRycy9kb3ducmV2Lnht&#10;bFBLAQIUABQAAAAIAIdO4kDNACgZ+QEAADAEAAAOAAAAAAAAAAEAIAAAACcBAABkcnMvZTJvRG9j&#10;LnhtbFBLBQYAAAAABgAGAFkBAACSBQAAAAA=&#10;">
                      <v:fill on="t" focussize="0,0"/>
                      <v:stroke color="#000000" joinstyle="miter"/>
                      <v:imagedata o:title=""/>
                      <o:lock v:ext="edit" aspectratio="f"/>
                      <v:textbox>
                        <w:txbxContent>
                          <w:p w14:paraId="3069894F"/>
                        </w:txbxContent>
                      </v:textbox>
                    </v:shape>
                  </w:pict>
                </mc:Fallback>
              </mc:AlternateContent>
            </w:r>
            <w:r>
              <w:rPr>
                <w:rFonts w:hint="eastAsia" w:ascii="黑体" w:hAnsi="黑体" w:eastAsia="黑体" w:cs="Times New Roman"/>
                <w:sz w:val="22"/>
                <w:szCs w:val="28"/>
              </w:rPr>
              <mc:AlternateContent>
                <mc:Choice Requires="wps">
                  <w:drawing>
                    <wp:anchor distT="0" distB="0" distL="114300" distR="114300" simplePos="0" relativeHeight="251660288" behindDoc="0" locked="0" layoutInCell="1" allowOverlap="1">
                      <wp:simplePos x="0" y="0"/>
                      <wp:positionH relativeFrom="column">
                        <wp:posOffset>3182620</wp:posOffset>
                      </wp:positionH>
                      <wp:positionV relativeFrom="paragraph">
                        <wp:posOffset>71120</wp:posOffset>
                      </wp:positionV>
                      <wp:extent cx="228600" cy="198120"/>
                      <wp:effectExtent l="4445" t="4445" r="15240" b="13335"/>
                      <wp:wrapNone/>
                      <wp:docPr id="2" name="00001d"/>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A4222"/>
                              </w:txbxContent>
                            </wps:txbx>
                            <wps:bodyPr upright="1"/>
                          </wps:wsp>
                        </a:graphicData>
                      </a:graphic>
                    </wp:anchor>
                  </w:drawing>
                </mc:Choice>
                <mc:Fallback>
                  <w:pict>
                    <v:shape id="00001d" o:spid="_x0000_s1026" o:spt="202" type="#_x0000_t202" style="position:absolute;left:0pt;margin-left:250.6pt;margin-top:5.6pt;height:15.6pt;width:18pt;z-index:251660288;mso-width-relative:page;mso-height-relative:page;" fillcolor="#FFFFFF" filled="t" stroked="t" coordsize="21600,21600" o:gfxdata="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J5TLbYAAAACQEAAA8AAAAAAAAAAQAgAAAAIgAAAGRycy9kb3ducmV2Lnht&#10;bFBLAQIUABQAAAAIAIdO4kDq/CMC+QEAADAEAAAOAAAAAAAAAAEAIAAAACcBAABkcnMvZTJvRG9j&#10;LnhtbFBLBQYAAAAABgAGAFkBAACSBQAAAAA=&#10;">
                      <v:fill on="t" focussize="0,0"/>
                      <v:stroke color="#000000" joinstyle="miter"/>
                      <v:imagedata o:title=""/>
                      <o:lock v:ext="edit" aspectratio="f"/>
                      <v:textbox>
                        <w:txbxContent>
                          <w:p w14:paraId="750A4222"/>
                        </w:txbxContent>
                      </v:textbox>
                    </v:shape>
                  </w:pict>
                </mc:Fallback>
              </mc:AlternateContent>
            </w:r>
            <w:r>
              <w:rPr>
                <w:rFonts w:hint="eastAsia" w:ascii="黑体" w:hAnsi="黑体" w:eastAsia="黑体" w:cs="Times New Roman"/>
                <w:sz w:val="22"/>
                <w:szCs w:val="28"/>
              </w:rPr>
              <w:t>同意立项级别：   校级                  国家级</w:t>
            </w:r>
          </w:p>
          <w:p w14:paraId="5F98D701">
            <w:pPr>
              <w:rPr>
                <w:rFonts w:hint="eastAsia"/>
                <w:b/>
              </w:rPr>
            </w:pPr>
          </w:p>
          <w:p w14:paraId="39462C15">
            <w:pPr>
              <w:spacing w:before="156" w:beforeLines="50"/>
              <w:rPr>
                <w:rFonts w:hint="eastAsia" w:ascii="黑体" w:hAnsi="黑体" w:eastAsia="黑体" w:cs="Times New Roman"/>
                <w:sz w:val="22"/>
                <w:szCs w:val="28"/>
              </w:rPr>
            </w:pPr>
          </w:p>
          <w:p w14:paraId="22FD2D10">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28EBCD1">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7023A84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EAB8255-50D0-4375-8D17-80047C13EF6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embedRegular r:id="rId2" w:fontKey="{7A2AD9F5-4B73-4D02-93D2-AA95A880D260}"/>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3" w:fontKey="{6B6547F4-B132-462B-829E-015FBB8C92F9}"/>
  </w:font>
  <w:font w:name="微软雅黑">
    <w:panose1 w:val="020B0503020204020204"/>
    <w:charset w:val="86"/>
    <w:family w:val="auto"/>
    <w:pitch w:val="default"/>
    <w:sig w:usb0="80000287" w:usb1="2ACF3C50" w:usb2="00000016" w:usb3="00000000" w:csb0="0004001F" w:csb1="00000000"/>
    <w:embedRegular r:id="rId4" w:fontKey="{AB44E4AE-5995-4125-9E10-E8BA3AFFCD46}"/>
  </w:font>
  <w:font w:name="仿宋_GB2312">
    <w:altName w:val="仿宋"/>
    <w:panose1 w:val="02010609030101010101"/>
    <w:charset w:val="86"/>
    <w:family w:val="modern"/>
    <w:pitch w:val="default"/>
    <w:sig w:usb0="00000000" w:usb1="00000000" w:usb2="00000000" w:usb3="00000000" w:csb0="00040000" w:csb1="00000000"/>
    <w:embedRegular r:id="rId5" w:fontKey="{1EFD12BA-0102-40FF-95AE-A9B6E2463A7F}"/>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B5CF5A7C-91C3-459A-A161-A6EA1D191094}"/>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A77F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0000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wps:txbx>
                    <wps:bodyPr wrap="none" lIns="0" tIns="0" rIns="0" bIns="0" upright="1">
                      <a:spAutoFit/>
                    </wps:bodyPr>
                  </wps:wsp>
                </a:graphicData>
              </a:graphic>
            </wp:anchor>
          </w:drawing>
        </mc:Choice>
        <mc:Fallback>
          <w:pict>
            <v:shape id="000008"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6pebnP&#10;AAAABQEAAA8AAAAAAAAAAQAgAAAAIgAAAGRycy9kb3ducmV2LnhtbFBLAQIUABQAAAAIAIdO4kBd&#10;LbuZtwEAAJUDAAAOAAAAAAAAAAEAIAAAAB4BAABkcnMvZTJvRG9jLnhtbFBLBQYAAAAABgAGAFkB&#10;AABHBQAAAAA=&#10;">
              <v:fill on="f" focussize="0,0"/>
              <v:stroke on="f"/>
              <v:imagedata o:title=""/>
              <o:lock v:ext="edit" aspectratio="f"/>
              <v:textbox inset="0mm,0mm,0mm,0mm" style="mso-fit-shape-to-text:t;">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0C67B"/>
    <w:multiLevelType w:val="singleLevel"/>
    <w:tmpl w:val="CDD0C67B"/>
    <w:lvl w:ilvl="0" w:tentative="0">
      <w:start w:val="1"/>
      <w:numFmt w:val="chineseCounting"/>
      <w:suff w:val="nothing"/>
      <w:lvlText w:val="%1、"/>
      <w:lvlJc w:val="left"/>
      <w:rPr>
        <w:rFonts w:hint="eastAsia"/>
        <w:sz w:val="21"/>
        <w:szCs w:val="21"/>
      </w:rPr>
    </w:lvl>
  </w:abstractNum>
  <w:abstractNum w:abstractNumId="1">
    <w:nsid w:val="5FB7D676"/>
    <w:multiLevelType w:val="singleLevel"/>
    <w:tmpl w:val="5FB7D676"/>
    <w:lvl w:ilvl="0" w:tentative="0">
      <w:start w:val="1"/>
      <w:numFmt w:val="decimal"/>
      <w:suff w:val="space"/>
      <w:lvlText w:val="[%1]"/>
      <w:lvlJc w:val="left"/>
    </w:lvl>
  </w:abstractNum>
  <w:abstractNum w:abstractNumId="2">
    <w:nsid w:val="7FAB3448"/>
    <w:multiLevelType w:val="singleLevel"/>
    <w:tmpl w:val="7FAB3448"/>
    <w:lvl w:ilvl="0" w:tentative="0">
      <w:start w:val="3"/>
      <w:numFmt w:val="chineseCounting"/>
      <w:suff w:val="nothing"/>
      <w:lvlText w:val="%1、"/>
      <w:lvlJc w:val="left"/>
      <w:rPr>
        <w:rFonts w:hint="eastAsia"/>
        <w:color w:val="auto"/>
        <w:sz w:val="21"/>
        <w:szCs w:val="21"/>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1282A68"/>
    <w:rsid w:val="05C375FE"/>
    <w:rsid w:val="081C745E"/>
    <w:rsid w:val="090A6A84"/>
    <w:rsid w:val="0B0419E3"/>
    <w:rsid w:val="0F8A271E"/>
    <w:rsid w:val="127D5F11"/>
    <w:rsid w:val="16730DCD"/>
    <w:rsid w:val="172D3FD8"/>
    <w:rsid w:val="18A40355"/>
    <w:rsid w:val="18C43E28"/>
    <w:rsid w:val="195972AD"/>
    <w:rsid w:val="19F92A7C"/>
    <w:rsid w:val="1E5F668D"/>
    <w:rsid w:val="24D448BC"/>
    <w:rsid w:val="256C6171"/>
    <w:rsid w:val="25CE0BC2"/>
    <w:rsid w:val="28156ACF"/>
    <w:rsid w:val="28F13DE8"/>
    <w:rsid w:val="29B552C9"/>
    <w:rsid w:val="2B7175E9"/>
    <w:rsid w:val="2CC22333"/>
    <w:rsid w:val="2DDB2E87"/>
    <w:rsid w:val="2FE9288F"/>
    <w:rsid w:val="35F25224"/>
    <w:rsid w:val="391E4B76"/>
    <w:rsid w:val="46006614"/>
    <w:rsid w:val="50BC0C37"/>
    <w:rsid w:val="532474A3"/>
    <w:rsid w:val="5BD07CFF"/>
    <w:rsid w:val="5C4F0B22"/>
    <w:rsid w:val="5DAE1817"/>
    <w:rsid w:val="5FC33C0F"/>
    <w:rsid w:val="61892ED4"/>
    <w:rsid w:val="62864897"/>
    <w:rsid w:val="62950A20"/>
    <w:rsid w:val="63F4655B"/>
    <w:rsid w:val="7A0F27A6"/>
    <w:rsid w:val="7C076ABF"/>
    <w:rsid w:val="7C3D12EA"/>
    <w:rsid w:val="7D7434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4"/>
    <w:basedOn w:val="1"/>
    <w:next w:val="1"/>
    <w:unhideWhenUsed/>
    <w:qFormat/>
    <w:uiPriority w:val="9"/>
    <w:pPr>
      <w:ind w:firstLine="422" w:firstLineChars="200"/>
      <w:outlineLvl w:val="3"/>
    </w:pPr>
    <w:rPr>
      <w:b/>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macro"/>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GI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477</Words>
  <Characters>481</Characters>
  <TotalTime>3</TotalTime>
  <ScaleCrop>false</ScaleCrop>
  <LinksUpToDate>false</LinksUpToDate>
  <CharactersWithSpaces>493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2026-10-11T01:57:00Z</dcterms:created>
  <dc:creator>catv_</dc:creator>
  <cp:lastModifiedBy>当问春风</cp:lastModifiedBy>
  <dcterms:modified xsi:type="dcterms:W3CDTF">2026-10-13T19:09:04Z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eyJoZGlkIjoiZTljYjUxYzc5MzU5N2YwMmU0NTMwZDE3MDE5YmM1MGUiLCJ1c2VySWQiOiIxNzQzMDgyNTIzIn0=</vt:lpwstr>
  </property>
  <property fmtid="{D5CDD505-2E9C-101B-9397-08002B2CF9AE}" pid="3" name="KSOProductBuildVer">
    <vt:lpwstr>2052-12.1.0.29161</vt:lpwstr>
  </property>
  <property fmtid="{D5CDD505-2E9C-101B-9397-08002B2CF9AE}" pid="4" name="ICV">
    <vt:lpwstr>B077F74D177A4784BCFAD058514CD090_13</vt:lpwstr>
  </property>
</Properties>
</file>