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  <w:jc w:val="center"/>
      </w:pPr>
      <w:r>
        <w:rPr>
          <w:rFonts w:ascii="Times New Roman" w:hAnsi="Times New Roman" w:eastAsia="黑体"/>
          <w:b/>
          <w:sz w:val="44"/>
        </w:rPr>
        <w:t>技术路线 20261017</w:t>
      </w:r>
    </w:p>
    <w:p>
      <w:pPr>
        <w:spacing w:before="0" w:after="1200"/>
        <w:jc w:val="center"/>
      </w:pPr>
      <w:r>
        <w:rPr>
          <w:rFonts w:ascii="Times New Roman" w:hAnsi="Times New Roman" w:eastAsia="黑体"/>
          <w:b/>
          <w:sz w:val="52"/>
        </w:rPr>
        <w:t>申  报  书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文档名称：技术路线 20261017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 xml:space="preserve">　　　　　物联网原型系统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 目 类 别：创新训练项目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 目 负 责 人：＿＿＿＿＿＿＿＿＿＿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指导教　　师：＿＿＿＿＿＿＿＿＿＿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所 在 学 院：＿＿＿＿＿＿＿＿＿＿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专　　　　业：通信工程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申 报 单 位：塔里木大学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编制日期：2026 年 10 月</w:t>
      </w:r>
    </w:p>
    <w:p>
      <w:r>
        <w:br w:type="page"/>
      </w:r>
    </w:p>
    <w:p>
      <w:pPr>
        <w:pStyle w:val="Heading1"/>
      </w:pPr>
      <w:r>
        <w:t>技术路线（滴智卫）</w:t>
      </w:r>
    </w:p>
    <w:p>
      <w:r>
        <w:rPr>
          <w:rFonts w:ascii="Times New Roman" w:hAnsi="Times New Roman" w:eastAsia="宋体"/>
          <w:i w:val="0"/>
          <w:sz w:val="24"/>
        </w:rPr>
        <w:t>本项目的技术路线按"风险收敛"组织：整个系统由一条信号链支撑——故障在水力上留痕、痕迹被测准、测量变成事件、事件到达人手、结论经独立实验证实。链条上每一环都对应一个"若不成立则全盘不成立"的技术风险，路线的任务就是按代价从小到大的顺序，把每个风险最早、最便宜地消除掉。数字样机阶段已经把第一个风险（可检边界是否存在）在仿真中回答完毕；剩下的五个阶段分别消除测量、建模、判据、通信、验证五个环节的风险，每一步都有量化门控，门控通过才进入下一步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93491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risk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3491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 技术路线主线：五个阶段各消除一个技术风险，底部色条为该阶段的门控验收指标</w:t>
      </w:r>
    </w:p>
    <w:p>
      <w:pPr>
        <w:pStyle w:val="Heading1"/>
      </w:pPr>
      <w:r>
        <w:t>1 起点盘点：数字样机已经确立了什么</w:t>
      </w:r>
    </w:p>
    <w:p>
      <w:r>
        <w:rPr>
          <w:rFonts w:ascii="Times New Roman" w:hAnsi="Times New Roman" w:eastAsia="宋体"/>
          <w:i w:val="0"/>
          <w:sz w:val="24"/>
        </w:rPr>
        <w:t>执行期开始前，项目已完成数字样机阶段，以下结论直接作为后续阶段的设计输入：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已确立内容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结论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对后续阶段的约束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判据结构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10 s 不重叠块 CUSUM（k = 0.5），h* = 26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实物门限须按台架实测噪声重标，结构不变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可检边界（仿真）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泄漏 +2% / 受限 +50%（80 s 注入窗）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阶段三实验矩阵的幅度分档以此为骨架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特征结构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K = Q/√P₁ 管泄漏、Rh = ΔP/Q² 管受限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测量链必须同时提供 ΔP、P₁、Q 三通道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通信协议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事件帧 57 B / 遥测帧 55 B / ACK 24 B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阶段四直接实现，不再改协议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数据通路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SD 卡 CSV → 桌面端导入链路已打通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阶段一即可用有线方式验证测量，不等无线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原理性边界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下游负载自身变化与等效泄漏在 (P₀,P₁,Q) 下不可区分</w:t>
            </w:r>
          </w:p>
        </w:tc>
        <w:tc>
          <w:tcPr>
            <w:tcW w:type="dxa" w:w="2986"/>
          </w:tcPr>
          <w:p>
            <w:r/>
            <w:r>
              <w:rPr>
                <w:rFonts w:ascii="Times New Roman" w:hAnsi="Times New Roman" w:eastAsia="宋体"/>
                <w:sz w:val="21"/>
              </w:rPr>
              <w:t>写入适用范围：对象是支管上的故障，不是负载正常变化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53572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35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2 信号链全景：从故障发生到人工处置，每个环节标注守门指标</w:t>
      </w:r>
    </w:p>
    <w:p>
      <w:r>
        <w:rPr>
          <w:rFonts w:ascii="Times New Roman" w:hAnsi="Times New Roman" w:eastAsia="宋体"/>
          <w:i w:val="0"/>
          <w:sz w:val="24"/>
        </w:rPr>
        <w:t>原理性边界值得单独说明：如果支管下游的正常负载本身发生了变化（比如农户增减滴头带），它在三通道测量上的响应与等效泄漏完全一致。这一条不是缺陷，而是测量问题的物理属性——它把项目的适用范围界定为"支管管路与附件的故障"，同时意味着判据输出的"泄漏候选"需要现场确认环节，闭环设计中的"人工处置"一步正是为此保留的。</w:t>
      </w:r>
    </w:p>
    <w:p>
      <w:pPr>
        <w:pStyle w:val="Heading1"/>
      </w:pPr>
      <w:r>
        <w:t>2 阶段详述</w:t>
      </w:r>
    </w:p>
    <w:p>
      <w:pPr>
        <w:pStyle w:val="Heading2"/>
      </w:pPr>
      <w:r>
        <w:t>2.1 阶段一：测量链构建（2027.3—4，门控 G1）</w:t>
      </w:r>
    </w:p>
    <w:p>
      <w:r>
        <w:rPr>
          <w:rFonts w:ascii="Times New Roman" w:hAnsi="Times New Roman" w:eastAsia="宋体"/>
          <w:i w:val="0"/>
          <w:sz w:val="24"/>
        </w:rPr>
        <w:t>起点：承接数字样机的特征结构——K 与 Rh 需要 ΔP、P₁、Q 三通道同源同时刻采样，水路与器件选型全部为此服务。</w:t>
      </w:r>
    </w:p>
    <w:p>
      <w:r>
        <w:rPr>
          <w:rFonts w:ascii="Times New Roman" w:hAnsi="Times New Roman" w:eastAsia="宋体"/>
          <w:i w:val="0"/>
          <w:sz w:val="24"/>
        </w:rPr>
        <w:t>要消除的技术风险 R1：想识别的故障信号幅度，是否高于测量链的不确定度。这是全项目成败的第一关，必须在最早时间用真表实测回答。</w:t>
      </w:r>
    </w:p>
    <w:p>
      <w:r>
        <w:rPr>
          <w:rFonts w:ascii="Times New Roman" w:hAnsi="Times New Roman" w:eastAsia="宋体"/>
          <w:i w:val="0"/>
          <w:sz w:val="24"/>
        </w:rPr>
        <w:t>技术对策：</w:t>
      </w:r>
    </w:p>
    <w:p>
      <w:r>
        <w:rPr>
          <w:rFonts w:ascii="Times New Roman" w:hAnsi="Times New Roman" w:eastAsia="宋体"/>
          <w:i w:val="0"/>
          <w:sz w:val="24"/>
        </w:rPr>
        <w:t>1. 测压方案：单只差压变送器（MDM490，35—40 kPa 档、±0.5%FS）直接接测量段两端，另设 0—200 kPa 干管参照表压监测供压工况。相比两只表压相减，量程/信号比从 20—40 倍降到 4—8 倍。</w:t>
      </w:r>
    </w:p>
    <w:p>
      <w:r>
        <w:rPr>
          <w:rFonts w:ascii="Times New Roman" w:hAnsi="Times New Roman" w:eastAsia="宋体"/>
          <w:i w:val="0"/>
          <w:sz w:val="24"/>
        </w:rPr>
        <w:t>2. 水路装配：按冻结顺序安装"流量计 SEN0549 → 取压嘴A → 区段R（φ5.0 孔板 + 针阀）→ 取压嘴B → 泄漏球阀"。区段内必须内置孔板：光管在 2.9 L/min 下压降不足 0.1 kPa，产生不了健康态约 8 kPa 的差压信号。</w:t>
      </w:r>
    </w:p>
    <w:p>
      <w:r>
        <w:rPr>
          <w:rFonts w:ascii="Times New Roman" w:hAnsi="Times New Roman" w:eastAsia="宋体"/>
          <w:i w:val="0"/>
          <w:sz w:val="24"/>
        </w:rPr>
        <w:t>3. 跨工况标定：以称重/容积法为基准，覆盖供压与流量分档，标定曲线与残差入档。</w:t>
      </w:r>
    </w:p>
    <w:p>
      <w:r>
        <w:rPr>
          <w:rFonts w:ascii="Times New Roman" w:hAnsi="Times New Roman" w:eastAsia="宋体"/>
          <w:i w:val="0"/>
          <w:sz w:val="24"/>
        </w:rPr>
        <w:t>4. 有线采集通路：GD32F103CBT6 + SGM58031 采样，1 s 提交 + 10 s 块，先以 SD 卡记录完成测量验证，无线部分留给阶段四。</w:t>
      </w:r>
    </w:p>
    <w:p>
      <w:r>
        <w:rPr>
          <w:rFonts w:ascii="Times New Roman" w:hAnsi="Times New Roman" w:eastAsia="宋体"/>
          <w:i w:val="0"/>
          <w:sz w:val="24"/>
        </w:rPr>
        <w:t>门控 G1 与证据：合成不确定度 U ≤ 0.20 kPa；证据形式为标定报告（原始数据 + 不确定度评定过程）。</w:t>
      </w:r>
    </w:p>
    <w:p>
      <w:r>
        <w:rPr>
          <w:rFonts w:ascii="Times New Roman" w:hAnsi="Times New Roman" w:eastAsia="宋体"/>
          <w:i w:val="0"/>
          <w:sz w:val="24"/>
        </w:rPr>
        <w:t>处置：U 实测超标 2 倍以内，复核重测并检查装配；超 2 倍触发改型评审（换量程档或换布点），故障目标幅度相应下调并记录依据。</w:t>
      </w:r>
    </w:p>
    <w:p>
      <w:pPr>
        <w:pStyle w:val="Heading2"/>
      </w:pPr>
      <w:r>
        <w:t>2.2 阶段二：建模与标定（2027.4—5）</w:t>
      </w:r>
    </w:p>
    <w:p>
      <w:r>
        <w:rPr>
          <w:rFonts w:ascii="Times New Roman" w:hAnsi="Times New Roman" w:eastAsia="宋体"/>
          <w:i w:val="0"/>
          <w:sz w:val="24"/>
        </w:rPr>
        <w:t>起点：承接阶段一的标定曲线与不确定度评定，进入健康参照与残差建模。</w:t>
      </w:r>
    </w:p>
    <w:p>
      <w:r>
        <w:rPr>
          <w:rFonts w:ascii="Times New Roman" w:hAnsi="Times New Roman" w:eastAsia="宋体"/>
          <w:i w:val="0"/>
          <w:sz w:val="24"/>
        </w:rPr>
        <w:t>要消除的技术风险 R2：供压波动与传感器慢漂移，会不会把健康特征推到故障区。</w:t>
      </w:r>
    </w:p>
    <w:p>
      <w:r>
        <w:rPr>
          <w:rFonts w:ascii="Times New Roman" w:hAnsi="Times New Roman" w:eastAsia="宋体"/>
          <w:i w:val="0"/>
          <w:sz w:val="24"/>
        </w:rPr>
        <w:t>技术对策：</w:t>
      </w:r>
    </w:p>
    <w:p>
      <w:r>
        <w:rPr>
          <w:rFonts w:ascii="Times New Roman" w:hAnsi="Times New Roman" w:eastAsia="宋体"/>
          <w:i w:val="0"/>
          <w:sz w:val="24"/>
        </w:rPr>
        <w:t>1. 比值型双通道特征：K = Q/√P₁ 与 Rh = ΔP/Q²，共同供压波动在比值中相消；泄漏走 K 通道、受限走 Rh 通道，两通道互不混叠。</w:t>
      </w:r>
    </w:p>
    <w:p>
      <w:r>
        <w:rPr>
          <w:rFonts w:ascii="Times New Roman" w:hAnsi="Times New Roman" w:eastAsia="宋体"/>
          <w:i w:val="0"/>
          <w:sz w:val="24"/>
        </w:rPr>
        <w:t>2. 参照指数可辨识性判定：标定段 P₁ 压力跨度不足 20% 时指数 n 不可辨识，固定 n = 0.5；跨多档供压且跨度足够时由 log-log 回归给出 n 及置信区间。</w:t>
      </w:r>
    </w:p>
    <w:p>
      <w:r>
        <w:rPr>
          <w:rFonts w:ascii="Times New Roman" w:hAnsi="Times New Roman" w:eastAsia="宋体"/>
          <w:i w:val="0"/>
          <w:sz w:val="24"/>
        </w:rPr>
        <w:t>3. 台架四项必测：各通道独立噪声 σ、噪声时间常数 τ、K 通道漂移速率（≥8 小时静置）、流量计长期稳定性（称重比对）。仿真已表明门限对噪声幅度不敏感（1.1 倍）、对 τ 极敏感（τ = 120 s 需 14.5 倍）——τ 实测 ≤10 s 时块判据直接可用，超过则按实测重设块长。</w:t>
      </w:r>
    </w:p>
    <w:p>
      <w:r>
        <w:rPr>
          <w:rFonts w:ascii="Times New Roman" w:hAnsi="Times New Roman" w:eastAsia="宋体"/>
          <w:i w:val="0"/>
          <w:sz w:val="24"/>
        </w:rPr>
        <w:t>门控与证据：σ、τ、漂移速率、流量计稳定性四项实测值入档；健康参照与残差模型版本化。</w:t>
      </w:r>
    </w:p>
    <w:p>
      <w:r>
        <w:rPr>
          <w:rFonts w:ascii="Times New Roman" w:hAnsi="Times New Roman" w:eastAsia="宋体"/>
          <w:i w:val="0"/>
          <w:sz w:val="24"/>
        </w:rPr>
        <w:t>处置：K 通道漂移速率高于 1%/h 时，启用自适应基线（容限翻倍至约 2%/h）并相应加长标定周期。</w:t>
      </w:r>
    </w:p>
    <w:p>
      <w:pPr>
        <w:pStyle w:val="Heading2"/>
      </w:pPr>
      <w:r>
        <w:t>2.3 阶段三：判据与边界验证（2027.5—6，门控 G2）</w:t>
      </w:r>
    </w:p>
    <w:p>
      <w:r>
        <w:rPr>
          <w:rFonts w:ascii="Times New Roman" w:hAnsi="Times New Roman" w:eastAsia="宋体"/>
          <w:i w:val="0"/>
          <w:sz w:val="24"/>
        </w:rPr>
        <w:t>起点：承接阶段二的实测噪声模型，把仿真门限替换为实物门限。</w:t>
      </w:r>
    </w:p>
    <w:p>
      <w:r>
        <w:rPr>
          <w:rFonts w:ascii="Times New Roman" w:hAnsi="Times New Roman" w:eastAsia="宋体"/>
          <w:i w:val="0"/>
          <w:sz w:val="24"/>
        </w:rPr>
        <w:t>要消除的技术风险 R3：轮灌切换等正常扰动，会不会被误判成故障。</w:t>
      </w:r>
    </w:p>
    <w:p>
      <w:r>
        <w:rPr>
          <w:rFonts w:ascii="Times New Roman" w:hAnsi="Times New Roman" w:eastAsia="宋体"/>
          <w:i w:val="0"/>
          <w:sz w:val="24"/>
        </w:rPr>
        <w:t>技术对策：</w:t>
      </w:r>
    </w:p>
    <w:p>
      <w:r>
        <w:rPr>
          <w:rFonts w:ascii="Times New Roman" w:hAnsi="Times New Roman" w:eastAsia="宋体"/>
          <w:i w:val="0"/>
          <w:sz w:val="24"/>
        </w:rPr>
        <w:t>1. 门限重标：用实测 σ、τ 在健康段扫描，按目标误报率 ≤1% 反推门限后冻结；扫描方法与仿真阶段一致（6720 块健康观测）。</w:t>
      </w:r>
    </w:p>
    <w:p>
      <w:r>
        <w:rPr>
          <w:rFonts w:ascii="Times New Roman" w:hAnsi="Times New Roman" w:eastAsia="宋体"/>
          <w:i w:val="0"/>
          <w:sz w:val="24"/>
        </w:rPr>
        <w:t>2. 实验矩阵：54—72 次独立注入，覆盖泄漏（+2% 起）、受限（+30% 起）两类各幅度档；每档含独立复测。</w:t>
      </w:r>
    </w:p>
    <w:p>
      <w:r>
        <w:rPr>
          <w:rFonts w:ascii="Times New Roman" w:hAnsi="Times New Roman" w:eastAsia="宋体"/>
          <w:i w:val="0"/>
          <w:sz w:val="24"/>
        </w:rPr>
        <w:t>3. 三类对照：供压扰动、邻支路切换、切换期故障——误报率在这三组上单独统计，保证"正常扰动不报警"有数据支撑。</w:t>
      </w:r>
    </w:p>
    <w:p>
      <w:r>
        <w:rPr>
          <w:rFonts w:ascii="Times New Roman" w:hAnsi="Times New Roman" w:eastAsia="宋体"/>
          <w:i w:val="0"/>
          <w:sz w:val="24"/>
        </w:rPr>
        <w:t>4. 单次注入 SOP：健康段确认 → 注入执行 → 80 s 窗观测 → 真值计量（称重/容积法）→ 独立复测 → 台账记录，标签不进入检测规则。</w:t>
      </w:r>
    </w:p>
    <w:p>
      <w:r>
        <w:rPr>
          <w:rFonts w:ascii="Times New Roman" w:hAnsi="Times New Roman" w:eastAsia="宋体"/>
          <w:i w:val="0"/>
          <w:sz w:val="24"/>
        </w:rPr>
        <w:t>门控 G2 与证据：健康段误报率 ≤1% 且各档检出率达到实验设计预定值，可检边界表成稿；证据为实验台账 + 原始三通道数据 + 真值计量记录。</w:t>
      </w:r>
    </w:p>
    <w:p>
      <w:r>
        <w:rPr>
          <w:rFonts w:ascii="Times New Roman" w:hAnsi="Times New Roman" w:eastAsia="宋体"/>
          <w:i w:val="0"/>
          <w:sz w:val="24"/>
        </w:rPr>
        <w:t>处置：某档检出率不达标，把该档移入"需更长累积窗"档位并给出所需窗长，边界表如实标注。</w:t>
      </w:r>
    </w:p>
    <w:p>
      <w:pPr>
        <w:pStyle w:val="Heading2"/>
      </w:pPr>
      <w:r>
        <w:t>2.4 阶段四：通信与平台集成（2027.7—8，门控 G3）</w:t>
      </w:r>
    </w:p>
    <w:p>
      <w:r>
        <w:rPr>
          <w:rFonts w:ascii="Times New Roman" w:hAnsi="Times New Roman" w:eastAsia="宋体"/>
          <w:i w:val="0"/>
          <w:sz w:val="24"/>
        </w:rPr>
        <w:t>起点：承接阶段三冻结的实物门限，固件把判据参数按版本下发后进入联调。</w:t>
      </w:r>
    </w:p>
    <w:p>
      <w:r>
        <w:rPr>
          <w:rFonts w:ascii="Times New Roman" w:hAnsi="Times New Roman" w:eastAsia="宋体"/>
          <w:i w:val="0"/>
          <w:sz w:val="24"/>
        </w:rPr>
        <w:t>要消除的技术风险 R4：断电与链路中断时，已发生的事件会不会丢失。</w:t>
      </w:r>
    </w:p>
    <w:p>
      <w:r>
        <w:rPr>
          <w:rFonts w:ascii="Times New Roman" w:hAnsi="Times New Roman" w:eastAsia="宋体"/>
          <w:i w:val="0"/>
          <w:sz w:val="24"/>
        </w:rPr>
        <w:t>技术对策：</w:t>
      </w:r>
    </w:p>
    <w:p>
      <w:r>
        <w:rPr>
          <w:rFonts w:ascii="Times New Roman" w:hAnsi="Times New Roman" w:eastAsia="宋体"/>
          <w:i w:val="0"/>
          <w:sz w:val="24"/>
        </w:rPr>
        <w:t>1. 只传事件、原始行走 SD 卡：事件帧 57 B 在 64 B 分包内整包发送；原始 1 s 行落卡，回实验室导入桌面端（该链路已开发完成）。</w:t>
      </w:r>
    </w:p>
    <w:p>
      <w:r>
        <w:rPr>
          <w:rFonts w:ascii="Times New Roman" w:hAnsi="Times New Roman" w:eastAsia="宋体"/>
          <w:i w:val="0"/>
          <w:sz w:val="24"/>
        </w:rPr>
        <w:t>2. 先落库后 ACK：接收端确认落库才应答；重发复用原事件身份，重复帧按身份去重；重发按间隔预算调度（0/2/4/6/26/46/66/86 秒共 8 次），中断恢复后的链路仍有后几次机会——60 秒中断对照中事件缺失由 53 条降为零。</w:t>
      </w:r>
    </w:p>
    <w:p>
      <w:r>
        <w:rPr>
          <w:rFonts w:ascii="Times New Roman" w:hAnsi="Times New Roman" w:eastAsia="宋体"/>
          <w:i w:val="0"/>
          <w:sz w:val="24"/>
        </w:rPr>
        <w:t>3. 发射功率 ≤ 10 dBm：433 MHz 免执照频段限值 10 mW e.r.p.。</w:t>
      </w:r>
    </w:p>
    <w:p>
      <w:r>
        <w:rPr>
          <w:rFonts w:ascii="Times New Roman" w:hAnsi="Times New Roman" w:eastAsia="宋体"/>
          <w:i w:val="0"/>
          <w:sz w:val="24"/>
        </w:rPr>
        <w:t>4. 整机 8 小时连续记录：含重启恢复与中断恢复对照；变送器 24 V 高边开关控制，采样窗内上电读完即断，对应续航 10.2 / 7.2 / 5.5 天三档。</w:t>
      </w:r>
    </w:p>
    <w:p>
      <w:r>
        <w:rPr>
          <w:rFonts w:ascii="Times New Roman" w:hAnsi="Times New Roman" w:eastAsia="宋体"/>
          <w:i w:val="0"/>
          <w:sz w:val="24"/>
        </w:rPr>
        <w:t>门控 G3 与证据：连续记录无缺段、中断恢复后事件零缺失；证据为发收日志、延迟统计与能耗记录。</w:t>
      </w:r>
    </w:p>
    <w:p>
      <w:r>
        <w:rPr>
          <w:rFonts w:ascii="Times New Roman" w:hAnsi="Times New Roman" w:eastAsia="宋体"/>
          <w:i w:val="0"/>
          <w:sz w:val="24"/>
        </w:rPr>
        <w:t>处置：连续运行出现缺段，按缺段时段定位环节（采样 / 写卡 / 发送 / 接收）并回归该环节单项测试。</w:t>
      </w:r>
    </w:p>
    <w:p>
      <w:pPr>
        <w:pStyle w:val="Heading2"/>
      </w:pPr>
      <w:r>
        <w:t>2.5 阶段五：验证与固化（2027.9—2028.2，门控 G4）</w:t>
      </w:r>
    </w:p>
    <w:p>
      <w:r>
        <w:rPr>
          <w:rFonts w:ascii="Times New Roman" w:hAnsi="Times New Roman" w:eastAsia="宋体"/>
          <w:i w:val="0"/>
          <w:sz w:val="24"/>
        </w:rPr>
        <w:t>起点：承接阶段三的数据集与阶段四的无线链路日志，进入结论固化。</w:t>
      </w:r>
    </w:p>
    <w:p>
      <w:r>
        <w:rPr>
          <w:rFonts w:ascii="Times New Roman" w:hAnsi="Times New Roman" w:eastAsia="宋体"/>
          <w:i w:val="0"/>
          <w:sz w:val="24"/>
        </w:rPr>
        <w:t>要消除的技术风险 R5：结论是否只在自家数据上成立。</w:t>
      </w:r>
    </w:p>
    <w:p>
      <w:r>
        <w:rPr>
          <w:rFonts w:ascii="Times New Roman" w:hAnsi="Times New Roman" w:eastAsia="宋体"/>
          <w:i w:val="0"/>
          <w:sz w:val="24"/>
        </w:rPr>
        <w:t>技术对策：</w:t>
      </w:r>
    </w:p>
    <w:p>
      <w:r>
        <w:rPr>
          <w:rFonts w:ascii="Times New Roman" w:hAnsi="Times New Roman" w:eastAsia="宋体"/>
          <w:i w:val="0"/>
          <w:sz w:val="24"/>
        </w:rPr>
        <w:t>1. 留出批次：预留一批实验数据不参与任何调参，仅用于最终验证。</w:t>
      </w:r>
    </w:p>
    <w:p>
      <w:r>
        <w:rPr>
          <w:rFonts w:ascii="Times New Roman" w:hAnsi="Times New Roman" w:eastAsia="宋体"/>
          <w:i w:val="0"/>
          <w:sz w:val="24"/>
        </w:rPr>
        <w:t>2. 消融与强基线对照：在同等误报率约束下与常规单通道方案对比，仿真阶段的增益（受限 +52 条、漂移 +80 条）在实物数据上复核。</w:t>
      </w:r>
    </w:p>
    <w:p>
      <w:r>
        <w:rPr>
          <w:rFonts w:ascii="Times New Roman" w:hAnsi="Times New Roman" w:eastAsia="宋体"/>
          <w:i w:val="0"/>
          <w:sz w:val="24"/>
        </w:rPr>
        <w:t>3. 成果齐套：论文（拟投 Sensors 或 Computers and Electronics in Agriculture，2027.12 前投稿）、软件著作权、原型机与结项报告；数据集与复现脚本同步整理。</w:t>
      </w:r>
    </w:p>
    <w:p>
      <w:r>
        <w:rPr>
          <w:rFonts w:ascii="Times New Roman" w:hAnsi="Times New Roman" w:eastAsia="宋体"/>
          <w:i w:val="0"/>
          <w:sz w:val="24"/>
        </w:rPr>
        <w:t>门控 G4 与证据：留出批次复现既有结论；证据为结项报告 + 留出批次原始数据 + 论文投稿凭证。</w:t>
      </w:r>
    </w:p>
    <w:p>
      <w:r>
        <w:rPr>
          <w:rFonts w:ascii="Times New Roman" w:hAnsi="Times New Roman" w:eastAsia="宋体"/>
          <w:i w:val="0"/>
          <w:sz w:val="24"/>
        </w:rPr>
        <w:t>处置：留出批次结论衰减，定位衰减来源（器件老化 / 季节工况）并作为适用边界写入报告——边界本身是研究结论的一部分。</w:t>
      </w:r>
    </w:p>
    <w:p>
      <w:pPr>
        <w:pStyle w:val="Heading1"/>
      </w:pPr>
      <w:r>
        <w:t>3 关键技术决策</w:t>
      </w:r>
    </w:p>
    <w:p>
      <w:r>
        <w:rPr>
          <w:rFonts w:ascii="Times New Roman" w:hAnsi="Times New Roman" w:eastAsia="宋体"/>
          <w:i w:val="0"/>
          <w:sz w:val="24"/>
        </w:rPr>
        <w:t>路线中八个方向性选择，每个都有备选、依据与翻案条件——翻案条件写明"出现什么证据时重新考虑"，避免决策变成惯性。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5469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decision_f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469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3 八项关键技术决策：备选方案 → 选定方案与依据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决策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选定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核心依据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翻案条件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测压方案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单只差压 + 干管参照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量程/信号比 20—40 倍 → 4—8 倍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G1 实测 U 仍超标且无更优档位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判据样本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10 s 不重叠块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逐点判据门限被高估约 57 倍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台架实测 τ &gt; 10 s 时重设块长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D3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参照指数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跨度不足固定 n = 0.5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单工况 P₁ 跨度仅 0.34%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标定跨度 ≥ 20% 时改回归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D4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门限来源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实测噪声反推冻结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仿真未建模各通道独立噪声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实测 σ 与仿真偏差 &lt; 20% 时可直接沿用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D5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受限注入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针阀连续调节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定量孔板需孔径精确到 4.82 mm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需要标准幅度复现时增配定量孔板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D6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区段阻力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段内内置 φ5.0 孔板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光管压降 &lt; 0.1 kPa，信号不足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健康态 ΔP 实测远超设计时缩孔径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D7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上报内容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只传事件、原始行走 SD 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事件帧 57 B ≤ 64 B；续航带宽同守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演示需要波形回传时增开遥测档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D8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发射功率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≤ 10 dBm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433 MHz 频段限值 10 mW e.r.p.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场地实测链路预算不足时改频段申报</w:t>
            </w:r>
          </w:p>
        </w:tc>
      </w:tr>
    </w:tbl>
    <w:p>
      <w:pPr>
        <w:spacing w:after="40"/>
      </w:pPr>
    </w:p>
    <w:p>
      <w:pPr>
        <w:pStyle w:val="Heading1"/>
      </w:pPr>
      <w:r>
        <w:t>4 进度与里程碑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25238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gant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523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4 阶段推进与门控验收点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门控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时点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通过标准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证据形式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2027.4 末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合成不确定度 U ≤ 0.20 kPa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标定报告与不确定度评定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2027.6 末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误报 ≤1% 且检出达标，可检边界成表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实验台账 + 真值计量记录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G3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2027.8 末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8 小时连续无缺段，中断恢复零缺失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发收日志与能耗记录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G4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2028.2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留出批次复现结论，成果齐套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结项报告 + 论文投稿凭证</w:t>
            </w:r>
          </w:p>
        </w:tc>
      </w:tr>
    </w:tbl>
    <w:p>
      <w:pPr>
        <w:spacing w:after="40"/>
      </w:pPr>
    </w:p>
    <w:p>
      <w:pPr>
        <w:pStyle w:val="Heading1"/>
      </w:pPr>
      <w:r>
        <w:t>5 资源依赖与前置条件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资源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用于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状态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请求方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参考压力表 / 流量计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G1 标定基准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待借用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指导教师协助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连续水源与排水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台架运行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待落实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指导教师协助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电子秤 / 量筒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泄漏真值计量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待借用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指导教师协助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棉田支管参数与轮灌时刻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场景口径核对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已有公开资料，待实习核对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团队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i w:val="0"/>
          <w:sz w:val="24"/>
        </w:rPr>
        <w:t>经费按 BOM v2.2 十八项明细 2409—5018 元，专项额度 6300 元内余量 ≥20%；器件书面报价函在 G1 前归档。</w:t>
      </w:r>
    </w:p>
    <w:p>
      <w:pPr>
        <w:pStyle w:val="Heading1"/>
      </w:pPr>
      <w:r>
        <w:t>6 与验收条款的映射</w:t>
      </w:r>
    </w:p>
    <w:p>
      <w:r>
        <w:rPr>
          <w:rFonts w:ascii="Times New Roman" w:hAnsi="Times New Roman" w:eastAsia="宋体"/>
          <w:i w:val="0"/>
          <w:sz w:val="24"/>
        </w:rPr>
        <w:t>本路线的阶段门控与《项目实施方案》的验收条款一一对应：G1 对应 V1 系列（测量链）、建模门控对应 V2 系列、G2 对应 V3 系列、G3 对应 V4 系列、G4 对应 V5 系列。任一门控未通过时，按对应系列的处置线执行，不带病进入下一阶段。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74" w:bottom="158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66666"/>
        <w:sz w:val="18"/>
      </w:rPr>
      <w:t>塔里木大学大学生创新创业训练计划项目 · 技术路线与项目实施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