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00"/>
        <w:jc w:val="center"/>
      </w:pPr>
      <w:r>
        <w:rPr>
          <w:rFonts w:ascii="Times New Roman" w:hAnsi="Times New Roman" w:eastAsia="黑体"/>
          <w:b/>
          <w:sz w:val="44"/>
        </w:rPr>
        <w:t>滴智卫技术方案 信号链版 20261017</w:t>
      </w:r>
    </w:p>
    <w:p>
      <w:pPr>
        <w:spacing w:before="0" w:after="1200"/>
        <w:jc w:val="center"/>
      </w:pPr>
      <w:r>
        <w:rPr>
          <w:rFonts w:ascii="Times New Roman" w:hAnsi="Times New Roman" w:eastAsia="黑体"/>
          <w:b/>
          <w:sz w:val="52"/>
        </w:rPr>
        <w:t>申  报  书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文档名称：滴智卫技术方案 信号链版 20261017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 xml:space="preserve">　　　　　物联网原型系统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项 目 类 别：创新训练项目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项 目 负 责 人：＿＿＿＿＿＿＿＿＿＿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指导教　　师：＿＿＿＿＿＿＿＿＿＿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所 在 学 院：＿＿＿＿＿＿＿＿＿＿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专　　　　业：通信工程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申 报 单 位：塔里木大学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编制日期：2026 年 10 月</w:t>
      </w:r>
    </w:p>
    <w:p>
      <w:r>
        <w:br w:type="page"/>
      </w:r>
    </w:p>
    <w:p>
      <w:pPr>
        <w:pStyle w:val="Heading1"/>
      </w:pPr>
      <w:r>
        <w:t>滴智卫 · 技术方案</w:t>
      </w:r>
    </w:p>
    <w:p>
      <w:r>
        <w:rPr>
          <w:rFonts w:ascii="Times New Roman" w:hAnsi="Times New Roman" w:eastAsia="宋体"/>
          <w:i/>
          <w:color w:val="555555"/>
          <w:sz w:val="21"/>
        </w:rPr>
        <w:t>项目：基于 LoRa 的南疆滴灌支管道早期故障诊断物联网原型系统</w:t>
      </w:r>
    </w:p>
    <w:p>
      <w:r>
        <w:rPr>
          <w:rFonts w:ascii="Times New Roman" w:hAnsi="Times New Roman" w:eastAsia="宋体"/>
          <w:i/>
          <w:color w:val="555555"/>
          <w:sz w:val="21"/>
        </w:rPr>
        <w:t>本方案沿一条信号链展开：**故障在水力上留下痕迹 → 痕迹被可靠测量 → 测量变成事件 → 事件到达人手 → 结论经实验证实**。每章回答其中一个问题，章末给出该环节的守门数据与验收标准。全部数值经 `docs/两章写作素材与数据约束清单.md` §九核对到原始文件。</w:t>
      </w:r>
    </w:p>
    <w:p>
      <w:pPr>
        <w:pStyle w:val="Heading1"/>
      </w:pPr>
      <w:r>
        <w:t>〇、一条链看懂整个方案</w:t>
      </w:r>
    </w:p>
    <w:p>
      <w:r>
        <w:rPr>
          <w:rFonts w:ascii="Times New Roman" w:hAnsi="Times New Roman" w:eastAsia="宋体"/>
          <w:i w:val="0"/>
          <w:sz w:val="24"/>
        </w:rPr>
        <w:t>支管上发生了泄漏或受限，水力状态随之改变：泄漏使流量相对增大（K = Q/√P₁ 上升），受限使区段压降相对增大（Rh = ΔP/Q² 上升）——两类故障在特征空间中方向相反、互不混叠，这是整个方法成立的物理基础。节点把 K、Rh 的变化持续换算成累积统计量，超过门限即产生事件；事件经 LoRa 上报，先落库后确认；巡检人员处置后，结果回写健康参照，让基线随工况演进。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21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_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21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 技术方案信号链全景：每一环都有守门指标</w:t>
      </w:r>
    </w:p>
    <w:p>
      <w:r>
        <w:rPr>
          <w:rFonts w:ascii="Times New Roman" w:hAnsi="Times New Roman" w:eastAsia="宋体"/>
          <w:i w:val="0"/>
          <w:sz w:val="24"/>
        </w:rPr>
        <w:t>链上每一环都有一个不许失守的量化指标：感知环节 U ≤ 0.20 kPa、判决环节 W = 10 s / h* = 26、上报环节 ≤10 dBm 与 55/57 B 帧、验证环节 54—72 次注入与四项必测。后续各章分别展开。</w:t>
      </w:r>
    </w:p>
    <w:p>
      <w:pPr>
        <w:pStyle w:val="Heading1"/>
      </w:pPr>
      <w:r>
        <w:t>一、看得见：故障在水力上留下什么痕迹</w:t>
      </w:r>
    </w:p>
    <w:p>
      <w:pPr>
        <w:pStyle w:val="Heading2"/>
      </w:pPr>
      <w:r>
        <w:t>1.1 监测对象与场景</w:t>
      </w:r>
    </w:p>
    <w:p>
      <w:r>
        <w:rPr>
          <w:rFonts w:ascii="Times New Roman" w:hAnsi="Times New Roman" w:eastAsia="宋体"/>
          <w:i w:val="0"/>
          <w:sz w:val="24"/>
        </w:rPr>
        <w:t>监测对象是支管——南疆膜下滴灌管网"分干管 → 支管 → 毛管"三层中的分配环节。场景锚定数据：阿拉尔一师已建成田间自动化控制灌溉 25 万亩；十二团二十一连 3800 亩 72 小时完成一轮全覆盖；单支管一次连续灌水 0.4—1.8 小时；轮灌切换 1—5 分钟一次、末端压力衰减 1—8 分钟。轮灌切换造成的压力流量变化与早期故障信号幅度重叠——把这种干扰当作研究对象而非噪声滤除，是本项目与已有工作的分界线。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21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topolo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21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2 管网三层结构与监测支管测点布置</w:t>
      </w:r>
    </w:p>
    <w:p>
      <w:pPr>
        <w:pStyle w:val="Heading2"/>
      </w:pPr>
      <w:r>
        <w:t>1.2 两类故障的机理与判别</w:t>
      </w:r>
    </w:p>
    <w:p>
      <w:r>
        <w:rPr>
          <w:rFonts w:ascii="Times New Roman" w:hAnsi="Times New Roman" w:eastAsia="宋体"/>
          <w:i w:val="0"/>
          <w:sz w:val="24"/>
        </w:rPr>
        <w:t>本期只研究两类故障，且都通过水力等效方式在台架复现：</w:t>
      </w:r>
    </w:p>
    <w:p>
      <w:r>
        <w:rPr>
          <w:rFonts w:ascii="Times New Roman" w:hAnsi="Times New Roman" w:eastAsia="宋体"/>
          <w:i w:val="0"/>
          <w:sz w:val="24"/>
        </w:rPr>
        <w:t>- 等效泄漏（旁路放水）：总流量增大而区段压降基本不变 ⇒ K 上升、Rh 不变；</w:t>
      </w:r>
    </w:p>
    <w:p>
      <w:r>
        <w:rPr>
          <w:rFonts w:ascii="Times New Roman" w:hAnsi="Times New Roman" w:eastAsia="宋体"/>
          <w:i w:val="0"/>
          <w:sz w:val="24"/>
        </w:rPr>
        <w:t>- 等效受限（孔板收缩 + 针阀）：区段压降增大而流量基本不变 ⇒ Rh 上升、K 不变。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356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ult_mechanis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35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3 两类故障的三通道响应与特征方向对照</w:t>
      </w:r>
    </w:p>
    <w:p>
      <w:r>
        <w:rPr>
          <w:rFonts w:ascii="Times New Roman" w:hAnsi="Times New Roman" w:eastAsia="宋体"/>
          <w:i w:val="0"/>
          <w:sz w:val="24"/>
        </w:rPr>
        <w:t>判别逻辑因此非常干净：K 通道管泄漏、Rh 通道管受限，一个特征看一类故障。原理性边界同样明确：下游负载自身变化（如轮灌开启）与泄漏在 (P0, P1, Q) 三测点下响应一致（ΔQ=+6.39%、ΔK=+7.07%、ΔRh=+0.08%），严格不可区分——此时系统输出"异常待检查"而非强行分类，区分需阀态信号或邻支路流量，属后续扩展。</w:t>
      </w:r>
    </w:p>
    <w:p>
      <w:r>
        <w:rPr>
          <w:rFonts w:ascii="Times New Roman" w:hAnsi="Times New Roman" w:eastAsia="宋体"/>
          <w:i w:val="0"/>
          <w:sz w:val="24"/>
        </w:rPr>
        <w:t>守门数据：故障定义与注入手段一一对应（针阀/孔板 → 受限；旁路阀 → 泄漏）。</w:t>
      </w:r>
    </w:p>
    <w:p>
      <w:pPr>
        <w:pStyle w:val="Heading2"/>
      </w:pPr>
      <w:r>
        <w:t>1.3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标准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证据形式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V1-1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场景表五项（管径、设计流量、工作压力、轮灌周期、灌水时长）全部有出处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场景表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V1-2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两类故障与注入手段一一对应，经导师签字确认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对照表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V1-3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水力等效的结论边界与"不做清单"（单滴头定位、自动阀控、云平台、太阳能、多节点、水质、水锤）如实列出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正文原文</w:t>
            </w:r>
          </w:p>
        </w:tc>
      </w:tr>
    </w:tbl>
    <w:p>
      <w:pPr>
        <w:spacing w:after="40"/>
      </w:pPr>
    </w:p>
    <w:p>
      <w:pPr>
        <w:pStyle w:val="Heading1"/>
      </w:pPr>
      <w:r>
        <w:t>二、测得准：痕迹能否被可靠测量</w:t>
      </w:r>
    </w:p>
    <w:p>
      <w:pPr>
        <w:pStyle w:val="Heading2"/>
      </w:pPr>
      <w:r>
        <w:t>2.1 测什么、用什么测</w:t>
      </w:r>
    </w:p>
    <w:p>
      <w:r>
        <w:rPr>
          <w:rFonts w:ascii="Times New Roman" w:hAnsi="Times New Roman" w:eastAsia="宋体"/>
          <w:i w:val="0"/>
          <w:sz w:val="24"/>
        </w:rPr>
        <w:t>感知三量：区段压降 ΔP（差压变送器直接测量）、干管参照 P1（0—200 kPa 表压）、支管流量 Q（脉冲流量计）。测压采用单只差压变送器而非两只表压相减：量程/信号比从 20—40 倍降到 4—8 倍，这是微小故障信号取得足信噪比的关键。</w:t>
      </w:r>
    </w:p>
    <w:p>
      <w:r>
        <w:rPr>
          <w:rFonts w:ascii="Times New Roman" w:hAnsi="Times New Roman" w:eastAsia="宋体"/>
          <w:i w:val="0"/>
          <w:sz w:val="24"/>
        </w:rPr>
        <w:t>器件与规格（全部为能买到的现行型号）：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器件</w:t>
            </w:r>
          </w:p>
        </w:tc>
        <w:tc>
          <w:tcPr>
            <w:tcW w:type="dxa" w:w="447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关键规格</w:t>
            </w:r>
          </w:p>
        </w:tc>
      </w:tr>
      <w:tr>
        <w:tc>
          <w:tcPr>
            <w:tcW w:type="dxa" w:w="4479"/>
          </w:tcPr>
          <w:p>
            <w:r/>
            <w:r>
              <w:rPr>
                <w:rFonts w:ascii="Times New Roman" w:hAnsi="Times New Roman" w:eastAsia="宋体"/>
                <w:sz w:val="21"/>
              </w:rPr>
              <w:t>差压变送器 麦克 MDM490</w:t>
            </w:r>
          </w:p>
        </w:tc>
        <w:tc>
          <w:tcPr>
            <w:tcW w:type="dxa" w:w="4479"/>
          </w:tcPr>
          <w:p>
            <w:r/>
            <w:r>
              <w:rPr>
                <w:rFonts w:ascii="Times New Roman" w:hAnsi="Times New Roman" w:eastAsia="宋体"/>
                <w:sz w:val="21"/>
              </w:rPr>
              <w:t>0—35 kPa 档起；±0.5%FS（U ≤ 0.20 kPa）；4—20 mA 两线制；15—28 V；316L 膜片；静压 ≤20 MPa</w:t>
            </w:r>
          </w:p>
        </w:tc>
      </w:tr>
      <w:tr>
        <w:tc>
          <w:tcPr>
            <w:tcW w:type="dxa" w:w="4479"/>
          </w:tcPr>
          <w:p>
            <w:r/>
            <w:r>
              <w:rPr>
                <w:rFonts w:ascii="Times New Roman" w:hAnsi="Times New Roman" w:eastAsia="宋体"/>
                <w:sz w:val="21"/>
              </w:rPr>
              <w:t>干管参照</w:t>
            </w:r>
          </w:p>
        </w:tc>
        <w:tc>
          <w:tcPr>
            <w:tcW w:type="dxa" w:w="4479"/>
          </w:tcPr>
          <w:p>
            <w:r/>
            <w:r>
              <w:rPr>
                <w:rFonts w:ascii="Times New Roman" w:hAnsi="Times New Roman" w:eastAsia="宋体"/>
                <w:sz w:val="21"/>
              </w:rPr>
              <w:t>国产扩散硅 0—200 kPa；4—20 mA；±0.5%FS</w:t>
            </w:r>
          </w:p>
        </w:tc>
      </w:tr>
      <w:tr>
        <w:tc>
          <w:tcPr>
            <w:tcW w:type="dxa" w:w="4479"/>
          </w:tcPr>
          <w:p>
            <w:r/>
            <w:r>
              <w:rPr>
                <w:rFonts w:ascii="Times New Roman" w:hAnsi="Times New Roman" w:eastAsia="宋体"/>
                <w:sz w:val="21"/>
              </w:rPr>
              <w:t>流量计 SEN0549</w:t>
            </w:r>
          </w:p>
        </w:tc>
        <w:tc>
          <w:tcPr>
            <w:tcW w:type="dxa" w:w="4479"/>
          </w:tcPr>
          <w:p>
            <w:r/>
            <w:r>
              <w:rPr>
                <w:rFonts w:ascii="Times New Roman" w:hAnsi="Times New Roman" w:eastAsia="宋体"/>
                <w:sz w:val="21"/>
              </w:rPr>
              <w:t>电磁式；0.3—5 L/min；540 脉冲/L；±1%；NPN；G1/4</w:t>
            </w:r>
          </w:p>
        </w:tc>
      </w:tr>
      <w:tr>
        <w:tc>
          <w:tcPr>
            <w:tcW w:type="dxa" w:w="4479"/>
          </w:tcPr>
          <w:p>
            <w:r/>
            <w:r>
              <w:rPr>
                <w:rFonts w:ascii="Times New Roman" w:hAnsi="Times New Roman" w:eastAsia="宋体"/>
                <w:sz w:val="21"/>
              </w:rPr>
              <w:t>主控 GD32F103CBT6</w:t>
            </w:r>
          </w:p>
        </w:tc>
        <w:tc>
          <w:tcPr>
            <w:tcW w:type="dxa" w:w="4479"/>
          </w:tcPr>
          <w:p>
            <w:r/>
            <w:r>
              <w:rPr>
                <w:rFonts w:ascii="Times New Roman" w:hAnsi="Times New Roman" w:eastAsia="宋体"/>
                <w:sz w:val="21"/>
              </w:rPr>
              <w:t>Cortex-M3；72 MHz；128 KB Flash / 20 KB SRAM（固件含 FatFs，64 KB 档不够）</w:t>
            </w:r>
          </w:p>
        </w:tc>
      </w:tr>
      <w:tr>
        <w:tc>
          <w:tcPr>
            <w:tcW w:type="dxa" w:w="4479"/>
          </w:tcPr>
          <w:p>
            <w:r/>
            <w:r>
              <w:rPr>
                <w:rFonts w:ascii="Times New Roman" w:hAnsi="Times New Roman" w:eastAsia="宋体"/>
                <w:sz w:val="21"/>
              </w:rPr>
              <w:t>ADC SGM58031</w:t>
            </w:r>
          </w:p>
        </w:tc>
        <w:tc>
          <w:tcPr>
            <w:tcW w:type="dxa" w:w="4479"/>
          </w:tcPr>
          <w:p>
            <w:r/>
            <w:r>
              <w:rPr>
                <w:rFonts w:ascii="Times New Roman" w:hAnsi="Times New Roman" w:eastAsia="宋体"/>
                <w:sz w:val="21"/>
              </w:rPr>
              <w:t>16 位；4 路单端；I²C；3.3 V</w:t>
            </w:r>
          </w:p>
        </w:tc>
      </w:tr>
      <w:tr>
        <w:tc>
          <w:tcPr>
            <w:tcW w:type="dxa" w:w="4479"/>
          </w:tcPr>
          <w:p>
            <w:r/>
            <w:r>
              <w:rPr>
                <w:rFonts w:ascii="Times New Roman" w:hAnsi="Times New Roman" w:eastAsia="宋体"/>
                <w:sz w:val="21"/>
              </w:rPr>
              <w:t>LoRa E220-400T22D</w:t>
            </w:r>
          </w:p>
        </w:tc>
        <w:tc>
          <w:tcPr>
            <w:tcW w:type="dxa" w:w="4479"/>
          </w:tcPr>
          <w:p>
            <w:r/>
            <w:r>
              <w:rPr>
                <w:rFonts w:ascii="Times New Roman" w:hAnsi="Times New Roman" w:eastAsia="宋体"/>
                <w:sz w:val="21"/>
              </w:rPr>
              <w:t>410—493 MHz；UART；接收 16.8 mA；发射功率设 ≤10 dBm（433.05—434.79 MHz 限值 10 mW e.r.p.）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9142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M490_差压变送器实物_麦克官方资料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914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4 MDM490 差压变送器（图源：麦克传感器官方产品资料）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1889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0549_流量计实物_DFRobot官网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5 SEN0549 流量计（图源：DFRobot 官网产品资料）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349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20-400T22D_实物_亿佰特官网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349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6 E220-400T22D（图源：亿佰特官网产品资料）</w:t>
      </w:r>
    </w:p>
    <w:p>
      <w:pPr>
        <w:pStyle w:val="Heading2"/>
      </w:pPr>
      <w:r>
        <w:t>2.2 采样契约的推导</w:t>
      </w:r>
    </w:p>
    <w:p>
      <w:r>
        <w:rPr>
          <w:rFonts w:ascii="Times New Roman" w:hAnsi="Times New Roman" w:eastAsia="宋体"/>
          <w:i w:val="0"/>
          <w:sz w:val="24"/>
        </w:rPr>
        <w:t>采样节拍 1 s 提交、判据窗 10 s，由流量脉冲分辨率决定：1 s 窗脉冲量化误差 ±3.8%，检不了 5% 级故障；10 s 窗降到 ±0.38%，信噪比 13.2。节拍由固件 `end_ms=(t+1)*1000` 锁死整秒边界。脉冲计数要求定时器连续运行，MCU 只进 SLEEP（≈4 mA @8 MHz）不进 STOP。</w:t>
      </w:r>
    </w:p>
    <w:p>
      <w:pPr>
        <w:pStyle w:val="Heading2"/>
      </w:pPr>
      <w:r>
        <w:t>2.3 台架：让故障可以复现和计量</w:t>
      </w:r>
    </w:p>
    <w:p>
      <w:r>
        <w:rPr>
          <w:rFonts w:ascii="Times New Roman" w:hAnsi="Times New Roman" w:eastAsia="宋体"/>
          <w:i w:val="0"/>
          <w:sz w:val="24"/>
        </w:rPr>
        <w:t>双支路清水台架（管路 De25 PVC-U，外径 20/内径 16 mm）：A 支路按冻结顺序装配 `流量计 → 取压嘴A → 区段R（φ5.0 mm 可换孔板 + 针阀）→ 取压嘴B → 泄漏球阀`——两取压嘴都在流量计下游，ΔP 只含区段阻力。区段 R 必须内置孔板：光管在 2.9 L/min 下压降不足 0.1 kPa，健康态 ΔP 需 7—8 kPa；φ5.0 孔板在 2.76 L/min 下理论 ΔP ≈ 8.0 kPa。受限故障用针阀连续调节（孔板定量需孔径精确到 4.82 mm，不可控）。B 支路只复现邻组轮灌的正常扰动。泄漏真值用称重/容积法独立计量（开口容器 678.6 mL + 秤/量筒）。</w:t>
      </w:r>
    </w:p>
    <w:p>
      <w:r>
        <w:rPr>
          <w:rFonts w:ascii="Times New Roman" w:hAnsi="Times New Roman" w:eastAsia="宋体"/>
          <w:i w:val="0"/>
          <w:sz w:val="24"/>
        </w:rPr>
        <w:t>供电分两条路径：电池直降 5 V/3.3 V 供连续负载；24 V 由 XL6009 升压、高边开关控制，仅供两线制变送器——采样窗内上电、读完即断电。T_set 实测后定续航：100/200/300 ms ⇒ 10.2/7.2/5.5 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514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_layo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51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7 双支路水路与安装顺序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0173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ment_interfac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17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8 采集接口与电平转换</w:t>
      </w:r>
    </w:p>
    <w:p>
      <w:pPr>
        <w:pStyle w:val="Heading2"/>
      </w:pPr>
      <w:r>
        <w:t>2.4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标准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证据形式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未达标处置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V2-1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差压小试实测 U ≤ 0.20 kPa（参考表三点比对）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小试报告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超标 2 倍内复核重测；超 2 倍触发改型评审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V2-2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厂家书面确认量程与精度档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规格函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未获书面确认不采购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V2-3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水路按冻结顺序装配并拍照核对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检查单+照片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顺序错误拆除重装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V2-4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T_set 实测值写入续航表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续航计算表 v2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V2-5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固件 1 s 节拍连续 1 h 无漂移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固件日志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三、判得出：痕迹如何变成事件</w:t>
      </w:r>
    </w:p>
    <w:p>
      <w:pPr>
        <w:pStyle w:val="Heading2"/>
      </w:pPr>
      <w:r>
        <w:t>3.1 数学结构</w:t>
      </w:r>
    </w:p>
    <w:p>
      <w:r>
        <w:rPr>
          <w:rFonts w:ascii="Times New Roman" w:hAnsi="Times New Roman" w:eastAsia="宋体"/>
          <w:i w:val="0"/>
          <w:sz w:val="24"/>
        </w:rPr>
        <w:t>- 特征：`K = Q/√P₁`、`Rh = ΔP/Q²`（共同供压波动相消；原始通道 ACF=0.984，块级残差 lag1 ≈ −0.014）；</w:t>
      </w:r>
    </w:p>
    <w:p>
      <w:r>
        <w:rPr>
          <w:rFonts w:ascii="Times New Roman" w:hAnsi="Times New Roman" w:eastAsia="宋体"/>
          <w:i w:val="0"/>
          <w:sz w:val="24"/>
        </w:rPr>
        <w:t>- 块平均：`x̄ₘ = (1/10)·Σ x(t)`；</w:t>
      </w:r>
    </w:p>
    <w:p>
      <w:r>
        <w:rPr>
          <w:rFonts w:ascii="Times New Roman" w:hAnsi="Times New Roman" w:eastAsia="宋体"/>
          <w:i w:val="0"/>
          <w:sz w:val="24"/>
        </w:rPr>
        <w:t>- 判决：`Sₘ = max(0, Sₘ₋₁ + zₘ − k)`，k = 0.5；`Sₘ &gt; h` ⇒ 持续候选。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6184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dging_cha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9 10 s 块判据处理链</w:t>
      </w:r>
    </w:p>
    <w:p>
      <w:pPr>
        <w:pStyle w:val="Heading2"/>
      </w:pPr>
      <w:r>
        <w:t>3.2 为什么是不重叠块</w:t>
      </w:r>
    </w:p>
    <w:p>
      <w:r>
        <w:rPr>
          <w:rFonts w:ascii="Times New Roman" w:hAnsi="Times New Roman" w:eastAsia="宋体"/>
          <w:i w:val="0"/>
          <w:sz w:val="24"/>
        </w:rPr>
        <w:t>逐点判据的相邻样本共享 90% 原始数据，有效样本数被高估，门限被高估约 57 倍；改 10 s 不重叠块后，同等误报率的门限从 1028 降到 18。块内平均后特征近似白噪声（块级残差 lag1 ≈ −0.014）。</w:t>
      </w:r>
    </w:p>
    <w:p>
      <w:pPr>
        <w:pStyle w:val="Heading2"/>
      </w:pPr>
      <w:r>
        <w:t>3.3 门限从哪来</w:t>
      </w:r>
    </w:p>
    <w:p>
      <w:r>
        <w:rPr>
          <w:rFonts w:ascii="Times New Roman" w:hAnsi="Times New Roman" w:eastAsia="宋体"/>
          <w:i w:val="0"/>
          <w:sz w:val="24"/>
        </w:rPr>
        <w:t>门限由目标误报率反推：健康段 160 条 × 42 块 = 6720 块观测上扫描，冻结 h* = 26.0——目标误报率 1%，实测 0.00%，Rule-of-Three 95% 置信下界 ARL0 &gt; 2240 块 ≈ 6.2 小时。h*=26 属仿真基准（未建模各通道独立传感器噪声）；实物门限由台架实测 σ、τ 重标后冻结。可辨识性：标定段 P₁ 跨度仅 0.34%，指数回归 −1.46—−0.19 跳变 ⇒ 固定 n = 0.5（跨度 ≥20% 才拟合）。</w:t>
      </w:r>
    </w:p>
    <w:p>
      <w:pPr>
        <w:pStyle w:val="Heading2"/>
      </w:pPr>
      <w:r>
        <w:t>3.4 可检边界</w:t>
      </w:r>
    </w:p>
    <w:p>
      <w:r>
        <w:rPr>
          <w:rFonts w:ascii="Times New Roman" w:hAnsi="Times New Roman" w:eastAsia="宋体"/>
          <w:i w:val="0"/>
          <w:sz w:val="24"/>
        </w:rPr>
        <w:t>80 s 注入窗（仿真基准）：泄漏 +2% 为下限（+1% 33/40、+2% 40/40）；受限 +50% 40/40，+30% 仅 32/40、需 ≥5 min 累积。精度需求：+2% 边界幅度下 U ≤ 2.0 kPa 达标，设计工况 U ≈ 0.175 kPa、余量 11 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47163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separ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71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10 门限重定：重叠版 vs 块版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48126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ion_bounda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81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11 最小可检幅度 × 持续时长边界</w:t>
      </w:r>
    </w:p>
    <w:p>
      <w:pPr>
        <w:pStyle w:val="Heading2"/>
      </w:pPr>
      <w:r>
        <w:t>3.5 工况门控与基线更新</w:t>
      </w:r>
    </w:p>
    <w:p>
      <w:r>
        <w:rPr>
          <w:rFonts w:ascii="Times New Roman" w:hAnsi="Times New Roman" w:eastAsia="宋体"/>
          <w:i w:val="0"/>
          <w:sz w:val="24"/>
        </w:rPr>
        <w:t>轮灌切换期（1—5 分钟）候选执行"挂起—复判"，切换结束按挂起时长补判，补判窗口 5 分钟。人工处置与同工况复测结果回写健康参照（按供压档分档），基线随工况演进自适应。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385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is_closed_lo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38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12 诊断业务闭环</w:t>
      </w:r>
    </w:p>
    <w:p>
      <w:pPr>
        <w:pStyle w:val="Heading2"/>
      </w:pPr>
      <w:r>
        <w:t>3.6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标准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证据形式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未达标处置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V3-1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实测噪声代入后复扫 6720 块，FAR ≤1%（叠加设计噪声后 1% 误报需 h=28，为仿真值 1.1 倍）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门限重标报告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按实测重标冻结新版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V3-2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τ ≤ 10 s 直接用块判据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实测报告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τ=120 s 需 h=376（14.5 倍）→ 加长块长或预白化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V3-3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K 通道漂移 ≤1%/h（≥8 h 静置实测）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静置日志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超限启用自适应基线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V3-4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流量计增益漂移全程 ≤0.10%（称重法比对）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比对记录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更换流量计或缩短信标周期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V3-5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四项全绿才允许把仿真边界写入结项报告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里程碑记录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任一项不满足 → 边界按实测下调并归档</w:t>
            </w:r>
          </w:p>
        </w:tc>
      </w:tr>
    </w:tbl>
    <w:p>
      <w:pPr>
        <w:spacing w:after="40"/>
      </w:pPr>
    </w:p>
    <w:p>
      <w:pPr>
        <w:pStyle w:val="Heading1"/>
      </w:pPr>
      <w:r>
        <w:t>四、传得到：事件如何可靠到达人手</w:t>
      </w:r>
    </w:p>
    <w:p>
      <w:pPr>
        <w:pStyle w:val="Heading2"/>
      </w:pPr>
      <w:r>
        <w:t>4.1 帧格式</w:t>
      </w:r>
    </w:p>
    <w:p>
      <w:r>
        <w:rPr>
          <w:rFonts w:ascii="Times New Roman" w:hAnsi="Times New Roman" w:eastAsia="宋体"/>
          <w:i w:val="0"/>
          <w:sz w:val="24"/>
        </w:rPr>
        <w:t>版本 2 协议：COBS 零字节分隔、小端整数、CRC16。公共头 16 B（版本 1/类型 1/载荷长度 2/设备号/会话号/消息序号各 4）；测量快照 35 B（uptime_ms、sample_seq、config_id、reference_id、cumulative_pulses、P0/P1 各 4，Q10 4，status/flags/pattern 各 1，双年龄 2）；事件帧另加事件码+细节码 2 B。整帧：遥测 55 B、事件 57 B、ACK 24 B，均在 64 B 分包内。量化误差界：压力 0.005 kPa、流量 0.0005 L/min（1429 条固定向量实测最大 0.004995 / 0.0004445）。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974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layo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13 帧字节结构</w:t>
      </w:r>
    </w:p>
    <w:p>
      <w:pPr>
        <w:pStyle w:val="Heading2"/>
      </w:pPr>
      <w:r>
        <w:t>4.2 可靠性</w:t>
      </w:r>
    </w:p>
    <w:p>
      <w:r>
        <w:rPr>
          <w:rFonts w:ascii="Times New Roman" w:hAnsi="Times New Roman" w:eastAsia="宋体"/>
          <w:i w:val="0"/>
          <w:sz w:val="24"/>
        </w:rPr>
        <w:t>接收端先落库后 ACK；重发复用原事件身份；重复帧按身份去重；同源不同内容直接拒绝。重发预算 0/2/4/6/26/46/66/86 秒共 8 次派发——60 秒中断对照中事件缺失由 53 条降为零。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0173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rable_event_seque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17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14 持久化确认与重复去重时序</w:t>
      </w:r>
    </w:p>
    <w:p>
      <w:pPr>
        <w:pStyle w:val="Heading2"/>
      </w:pPr>
      <w:r>
        <w:t>4.3 离线通道与本地平台</w:t>
      </w:r>
    </w:p>
    <w:p>
      <w:r>
        <w:rPr>
          <w:rFonts w:ascii="Times New Roman" w:hAnsi="Times New Roman" w:eastAsia="宋体"/>
          <w:i w:val="0"/>
          <w:sz w:val="24"/>
        </w:rPr>
        <w:t>1 s 原始行同步写 SD 卡，回实验室经 CLI 或 HTTP 接口导回桌面端（已开发完成并通过测试）。本地 Web 六模块可运行（合成回放演示），人工三态分别落库。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445545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site_diagnosis_pane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455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15 运行主站诊断面板（合成回放演示）</w:t>
      </w:r>
    </w:p>
    <w:p>
      <w:pPr>
        <w:pStyle w:val="Heading2"/>
      </w:pPr>
      <w:r>
        <w:t>4.4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标准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证据形式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未达标处置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V4-1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功率设置留档并写明限值条款依据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配置导出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V4-2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重复帧/乱序帧/丢 ACK 三反例全部通过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反例记录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修复后重测，不带病联调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V4-3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导入参照 approved=0，不作已验证性能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字段截图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V4-4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通信回放与真实射频/整机能耗分开陈述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措辞审查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当日修订</w:t>
            </w:r>
          </w:p>
        </w:tc>
      </w:tr>
    </w:tbl>
    <w:p>
      <w:pPr>
        <w:spacing w:after="40"/>
      </w:pPr>
    </w:p>
    <w:p>
      <w:pPr>
        <w:pStyle w:val="Heading1"/>
      </w:pPr>
      <w:r>
        <w:t>五、验得实：结论如何从仿真走到实物</w:t>
      </w:r>
    </w:p>
    <w:p>
      <w:pPr>
        <w:pStyle w:val="Heading2"/>
      </w:pPr>
      <w:r>
        <w:t>5.1 实验矩阵与对照</w:t>
      </w:r>
    </w:p>
    <w:p>
      <w:r>
        <w:rPr>
          <w:rFonts w:ascii="Times New Roman" w:hAnsi="Times New Roman" w:eastAsia="宋体"/>
          <w:i w:val="0"/>
          <w:sz w:val="24"/>
        </w:rPr>
        <w:t>基础网格 2 类故障 × 3 档供压 × 3 档程度 × 3 操作 = 54 次，扩展至 72 次；标签独立且不进检测规则。对照三件套：健康段、供压扰动、邻支路切换。切换期故障 12 次，量化门控丢弃故障的代价。</w:t>
      </w:r>
    </w:p>
    <w:p>
      <w:pPr>
        <w:pStyle w:val="Heading2"/>
      </w:pPr>
      <w:r>
        <w:t>5.2 单次注入规程</w:t>
      </w:r>
    </w:p>
    <w:p>
      <w:r>
        <w:rPr>
          <w:rFonts w:ascii="Times New Roman" w:hAnsi="Times New Roman" w:eastAsia="宋体"/>
          <w:i w:val="0"/>
          <w:sz w:val="24"/>
        </w:rPr>
        <w:t>健康段确认（≥3 块无候选）→ 注入执行（泄漏开旁路阀/受限调针阀，同时计时）→ 80 s 窗观测（判决输出+原始行）→ 真值计量（称重/容积法）→ 独立复测 → 记录六字段（标签、原始三通道、真值、供压档、B 阀态、复测编号）。</w:t>
      </w:r>
    </w:p>
    <w:p>
      <w:pPr>
        <w:pStyle w:val="Heading2"/>
      </w:pPr>
      <w:r>
        <w:t>5.3 四项必测（仿真到实物的桥）</w:t>
      </w:r>
    </w:p>
    <w:p>
      <w:r>
        <w:rPr>
          <w:rFonts w:ascii="Times New Roman" w:hAnsi="Times New Roman" w:eastAsia="宋体"/>
          <w:i w:val="0"/>
          <w:sz w:val="24"/>
        </w:rPr>
        <w:t>各通道独立噪声 σ（复扫 6720 块重标门限）、噪声时间常数 τ（≤10 s 直接用块判据，否则加长块长/预白化）、K 漂移速率（≤1%/h，超限启用自适应基线）、流量计长期稳定性（≤0.10%，称重法）。四项全绿才允许把仿真边界写入结项报告；任一项处置后仍不满足 → 边界按实测下调并归档。</w:t>
      </w:r>
    </w:p>
    <w:p>
      <w:pPr>
        <w:pStyle w:val="Heading2"/>
      </w:pPr>
      <w:r>
        <w:t>5.4 三档结项</w:t>
      </w:r>
    </w:p>
    <w:p>
      <w:r>
        <w:rPr>
          <w:rFonts w:ascii="Times New Roman" w:hAnsi="Times New Roman" w:eastAsia="宋体"/>
          <w:i w:val="0"/>
          <w:sz w:val="24"/>
        </w:rPr>
        <w:t>保底档（有线采集+台架+桌面端含 SD 导入）即可结项；标准档追加电池+LoRa+手持终端；加分档追加田间一个灌溉季实测（窗口 2027 年 4—9 月）。全部结论统一口径"台架验证，田间外推受限"。</w:t>
      </w:r>
    </w:p>
    <w:p>
      <w:pPr>
        <w:pStyle w:val="Heading2"/>
      </w:pPr>
      <w:r>
        <w:t>5.5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标准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证据形式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未达标处置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V5-1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每次注入独立标签+复测记录，同一故障至少一次独立复现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实验台账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复现缺失单元不计入统计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V5-2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误报统计分来源报告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统计表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V5-3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实验单元连续两次失败停止扩格并复盘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里程碑记录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V5-4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论文/软著/竞赛分别登记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成果登记表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六、执行路线：六模块与里程碑</w:t>
      </w:r>
    </w:p>
    <w:p>
      <w:r>
        <w:rPr>
          <w:rFonts w:ascii="Times New Roman" w:hAnsi="Times New Roman" w:eastAsia="宋体"/>
          <w:i w:val="0"/>
          <w:sz w:val="24"/>
        </w:rPr>
        <w:t>执行按六模块递进，上一模块产出即下一模块输入；实验数据沿回补通道反哺测量与建模层（σ、τ、漂移、n 跨度）。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527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roadmap_staircas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2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16 技术路线六层递进与闭环反馈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493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模块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时间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输入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核心动作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产出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验收</w:t>
            </w:r>
          </w:p>
        </w:tc>
      </w:tr>
      <w:tr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M1 场景锚定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2026.10—2027.2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公开数据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场景表、故障定义、口径统一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场景表+对照表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V1-1..3</w:t>
            </w:r>
          </w:p>
        </w:tc>
      </w:tr>
      <w:tr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M2 测量链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2027.3—4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M1 冻结的场景表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采购装配、三点标定、有线采集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标定报告+采集通路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V2-1..5</w:t>
            </w:r>
          </w:p>
        </w:tc>
      </w:tr>
      <w:tr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M3 建模标定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2027.4—5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M2 的采集通路与 U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16 块标定、跨跨度复拟合、8h 漂移实测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健康参照+漂移报告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B3-1..3</w:t>
            </w:r>
          </w:p>
        </w:tc>
      </w:tr>
      <w:tr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M4 判据验证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2027.5—6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M3 的参照与漂移值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54+18+12 次注入、门限重标、基线对照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数据集+边界报告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V3-1..5</w:t>
            </w:r>
          </w:p>
        </w:tc>
      </w:tr>
      <w:tr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M5 通信集成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2027.7—8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M4 冻结的实物门限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LoRa 闭环、三反例、8h 连续、电流实测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发收日志+能耗数据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V4-1..4</w:t>
            </w:r>
          </w:p>
        </w:tc>
      </w:tr>
      <w:tr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M6 成果结项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2027.9—2028.2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M4 数据集+M5 日志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留出验证、论文、软著、结项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论文+软著+原型</w:t>
            </w:r>
          </w:p>
        </w:tc>
        <w:tc>
          <w:tcPr>
            <w:tcW w:type="dxa" w:w="1493"/>
          </w:tcPr>
          <w:p>
            <w:r/>
            <w:r>
              <w:rPr>
                <w:rFonts w:ascii="Times New Roman" w:hAnsi="Times New Roman" w:eastAsia="宋体"/>
                <w:sz w:val="21"/>
              </w:rPr>
              <w:t>V5-1..4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i w:val="0"/>
          <w:sz w:val="24"/>
        </w:rPr>
        <w:t>风险预案：G1 U 压不住边界信号 → 改型评审（换量程/换布点/上调演示档）；固件未按期跑通 → 加嵌入式队友或先以树莓派/Pico 过渡完成研究问题；田间不可及 → 保底档结项，结论标注外推受限。</w:t>
      </w:r>
    </w:p>
    <w:p>
      <w:r>
        <w:rPr>
          <w:rFonts w:ascii="Times New Roman" w:hAnsi="Times New Roman" w:eastAsia="宋体"/>
          <w:i w:val="0"/>
          <w:color w:val="555555"/>
          <w:sz w:val="20"/>
        </w:rPr>
        <w:t>数据声明：本文档数值与 `docs/两章写作素材与数据约束清单.md` §九（15 项核对到原始文件行号）一致；图 17 张通过 `scripts/verify_figure_layout.mjs` 校验。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1474" w:bottom="158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 PAGE 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666666"/>
        <w:sz w:val="18"/>
      </w:rPr>
      <w:t>塔里木大学大学生创新创业训练计划项目 · 技术路线与项目实施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