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200"/>
        <w:jc w:val="center"/>
      </w:pPr>
      <w:r>
        <w:rPr>
          <w:rFonts w:ascii="Times New Roman" w:hAnsi="Times New Roman" w:eastAsia="黑体"/>
          <w:b/>
          <w:sz w:val="44"/>
        </w:rPr>
        <w:t>项目实施方案 20261017</w:t>
      </w:r>
    </w:p>
    <w:p>
      <w:pPr>
        <w:spacing w:before="0" w:after="1200"/>
        <w:jc w:val="center"/>
      </w:pPr>
      <w:r>
        <w:rPr>
          <w:rFonts w:ascii="Times New Roman" w:hAnsi="Times New Roman" w:eastAsia="黑体"/>
          <w:b/>
          <w:sz w:val="52"/>
        </w:rPr>
        <w:t>申  报  书</w:t>
      </w:r>
    </w:p>
    <w:p>
      <w:pPr>
        <w:spacing w:before="0" w:after="280"/>
        <w:jc w:val="center"/>
      </w:pPr>
      <w:r>
        <w:rPr>
          <w:rFonts w:ascii="Times New Roman" w:hAnsi="Times New Roman" w:eastAsia="黑体"/>
          <w:b w:val="0"/>
          <w:sz w:val="28"/>
        </w:rPr>
        <w:t>文档名称：项目实施方案 20261017</w:t>
      </w:r>
    </w:p>
    <w:p>
      <w:pPr>
        <w:spacing w:before="0" w:after="280"/>
        <w:jc w:val="center"/>
      </w:pPr>
      <w:r>
        <w:rPr>
          <w:rFonts w:ascii="Times New Roman" w:hAnsi="Times New Roman" w:eastAsia="黑体"/>
          <w:b w:val="0"/>
          <w:sz w:val="28"/>
        </w:rPr>
        <w:t xml:space="preserve">　　　　　物联网原型系统</w:t>
      </w:r>
    </w:p>
    <w:p>
      <w:pPr>
        <w:spacing w:before="0" w:after="280"/>
        <w:jc w:val="center"/>
      </w:pPr>
      <w:r>
        <w:rPr>
          <w:rFonts w:ascii="Times New Roman" w:hAnsi="Times New Roman" w:eastAsia="黑体"/>
          <w:b w:val="0"/>
          <w:sz w:val="28"/>
        </w:rPr>
        <w:t>项 目 类 别：创新训练项目</w:t>
      </w:r>
    </w:p>
    <w:p>
      <w:pPr>
        <w:spacing w:before="0" w:after="280"/>
        <w:jc w:val="center"/>
      </w:pPr>
      <w:r>
        <w:rPr>
          <w:rFonts w:ascii="Times New Roman" w:hAnsi="Times New Roman" w:eastAsia="黑体"/>
          <w:b w:val="0"/>
          <w:sz w:val="28"/>
        </w:rPr>
        <w:t>项 目 负 责 人：＿＿＿＿＿＿＿＿＿＿</w:t>
      </w:r>
    </w:p>
    <w:p>
      <w:pPr>
        <w:spacing w:before="0" w:after="280"/>
        <w:jc w:val="center"/>
      </w:pPr>
      <w:r>
        <w:rPr>
          <w:rFonts w:ascii="Times New Roman" w:hAnsi="Times New Roman" w:eastAsia="黑体"/>
          <w:b w:val="0"/>
          <w:sz w:val="28"/>
        </w:rPr>
        <w:t>指导教　　师：＿＿＿＿＿＿＿＿＿＿</w:t>
      </w:r>
    </w:p>
    <w:p>
      <w:pPr>
        <w:spacing w:before="0" w:after="280"/>
        <w:jc w:val="center"/>
      </w:pPr>
      <w:r>
        <w:rPr>
          <w:rFonts w:ascii="Times New Roman" w:hAnsi="Times New Roman" w:eastAsia="黑体"/>
          <w:b w:val="0"/>
          <w:sz w:val="28"/>
        </w:rPr>
        <w:t>所 在 学 院：＿＿＿＿＿＿＿＿＿＿</w:t>
      </w:r>
    </w:p>
    <w:p>
      <w:pPr>
        <w:spacing w:before="0" w:after="280"/>
        <w:jc w:val="center"/>
      </w:pPr>
      <w:r>
        <w:rPr>
          <w:rFonts w:ascii="Times New Roman" w:hAnsi="Times New Roman" w:eastAsia="黑体"/>
          <w:b w:val="0"/>
          <w:sz w:val="28"/>
        </w:rPr>
        <w:t>专　　　　业：通信工程</w:t>
      </w:r>
    </w:p>
    <w:p>
      <w:pPr>
        <w:spacing w:before="0" w:after="280"/>
        <w:jc w:val="center"/>
      </w:pPr>
      <w:r>
        <w:rPr>
          <w:rFonts w:ascii="Times New Roman" w:hAnsi="Times New Roman" w:eastAsia="黑体"/>
          <w:b w:val="0"/>
          <w:sz w:val="28"/>
        </w:rPr>
        <w:t>申 报 单 位：塔里木大学</w:t>
      </w:r>
    </w:p>
    <w:p>
      <w:pPr>
        <w:spacing w:before="0" w:after="280"/>
        <w:jc w:val="center"/>
      </w:pPr>
      <w:r>
        <w:rPr>
          <w:rFonts w:ascii="Times New Roman" w:hAnsi="Times New Roman" w:eastAsia="黑体"/>
          <w:b w:val="0"/>
          <w:sz w:val="28"/>
        </w:rPr>
        <w:t>编制日期：2026 年 10 月</w:t>
      </w:r>
    </w:p>
    <w:p>
      <w:r>
        <w:br w:type="page"/>
      </w:r>
    </w:p>
    <w:p>
      <w:pPr>
        <w:pStyle w:val="Heading1"/>
      </w:pPr>
      <w:r>
        <w:t>项目实施方案（滴智卫）</w:t>
      </w:r>
    </w:p>
    <w:p>
      <w:r>
        <w:rPr>
          <w:rFonts w:ascii="Times New Roman" w:hAnsi="Times New Roman" w:eastAsia="宋体"/>
          <w:i/>
          <w:color w:val="555555"/>
          <w:sz w:val="21"/>
        </w:rPr>
        <w:t>文档定位：**工程蓝图**。回答"系统由什么构成、怎么运行、怎么验证"。技术路线的推进逻辑与决策依据见配套文档《技术路线》。</w:t>
      </w:r>
    </w:p>
    <w:p>
      <w:r>
        <w:rPr>
          <w:rFonts w:ascii="Times New Roman" w:hAnsi="Times New Roman" w:eastAsia="宋体"/>
          <w:i/>
          <w:color w:val="555555"/>
          <w:sz w:val="21"/>
        </w:rPr>
        <w:t>全部数值经 `docs/两章写作素材与数据约束清单.md` §九核对到原始文件；口径与 `docs/数值口径统一清单.md`（2026-10-17 冻结）一致。</w:t>
      </w:r>
    </w:p>
    <w:p>
      <w:pPr>
        <w:pStyle w:val="Heading1"/>
      </w:pPr>
      <w:r>
        <w:t>1 系统总体设计</w:t>
      </w:r>
    </w:p>
    <w:p>
      <w:pPr>
        <w:pStyle w:val="Heading2"/>
      </w:pPr>
      <w:r>
        <w:t>1.1 设计主线的信号链</w:t>
      </w:r>
    </w:p>
    <w:p>
      <w:r>
        <w:rPr>
          <w:rFonts w:ascii="Times New Roman" w:hAnsi="Times New Roman" w:eastAsia="宋体"/>
          <w:i w:val="0"/>
          <w:sz w:val="24"/>
        </w:rPr>
        <w:t>系统的一切设计围绕一条信号链展开：故障在水力上留痕 → 痕迹被可靠测量 → 测量累积成事件 → 事件可靠到达人手 → 结论经实验证实。每个环节分配一个不许失守的量化指标（守门指标），下游环节的指标由上游的物理特性推导而来：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环节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守门指标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推导依据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故障留痕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K 与 Rh 方向相反、互不混叠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泄漏使 Q 相对增大、受限使 ΔP 相对增大（水力模型）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感知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差压不确定度 U ≤ 0.20 kPa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+2% 边界故障幅度需 U ≤ 2.0 kPa，取厂家最小量程档 ±0.5%FS 推得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采样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1 s 提交 + 10 s 判据窗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1 s 窗脉冲量化 ±3.8% 检不了 5% 级故障；10 s 窗 ±0.38%、信噪比 13.2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判决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10 s 不重叠块 CUSUM，h\* = 26（仿真基准）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逐点判据门限被高估约 57 倍；6720 块健康观测按目标误报率反推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上报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事件帧 57 B、发射 ≤10 dBm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事件帧 ≤64 B 可整包；433 MHz 免执照限值 10 mW e.r.p.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验证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54—72 次注入 + 四项必测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两类故障 × 供压/程度/操作维度；仿真结论到实物的前置条件</w:t>
            </w:r>
          </w:p>
        </w:tc>
      </w:tr>
    </w:tbl>
    <w:p>
      <w:pPr>
        <w:spacing w:after="40"/>
      </w:pP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44000" cy="53572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l_ch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5357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1 技术方案信号链全景</w:t>
      </w:r>
    </w:p>
    <w:p>
      <w:pPr>
        <w:pStyle w:val="Heading2"/>
      </w:pPr>
      <w:r>
        <w:t>1.2 系统组成与职责边界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组成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职责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明确不承担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感知诊断节点（1 套）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三通道采样、健康参照标定、块判据、事件持久化、SD 原始记录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不做分类强判（负载变化与泄漏同形时输出"异常待检查"）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LoRa 接收端（1 套）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无线字节桥接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不做业务处理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接收服务与本地 Web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先落库后 ACK、去重、事件管理、人工三态记录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不做云端、不做自动阀控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双支路清水台架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A 支路测量与注入、B 支路正常扰动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不模拟真实滴灌带（水力等效边界如实标注）</w:t>
            </w:r>
          </w:p>
        </w:tc>
      </w:tr>
    </w:tbl>
    <w:p>
      <w:pPr>
        <w:spacing w:after="40"/>
      </w:pP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44000" cy="3825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responsibilit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25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2 系统职责与独立评价关系</w:t>
      </w:r>
    </w:p>
    <w:p>
      <w:pPr>
        <w:pStyle w:val="Heading2"/>
      </w:pPr>
      <w:r>
        <w:t>1.3 应用场景锚定</w:t>
      </w:r>
    </w:p>
    <w:p>
      <w:r>
        <w:rPr>
          <w:rFonts w:ascii="Times New Roman" w:hAnsi="Times New Roman" w:eastAsia="宋体"/>
          <w:i w:val="0"/>
          <w:sz w:val="24"/>
        </w:rPr>
        <w:t>监测对象为支管层。场景数据：阿拉尔一师自动化控制灌溉 25 万亩；十二团二十一连 3800 亩 72 小时一轮全覆盖；单支管一次灌水 0.4—1.8 小时；轮灌切换 1—5 分钟、末端压力衰减 1—8 分钟。执行期 2027 年 3 月—2028 年 2 月，棉田窗口仅 2027 年 4—9 月。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44000" cy="3104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topolog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0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3 管网三层结构与测点布置</w:t>
      </w:r>
    </w:p>
    <w:p>
      <w:pPr>
        <w:pStyle w:val="Heading1"/>
      </w:pPr>
      <w:r>
        <w:t>2 感知层设计</w:t>
      </w:r>
    </w:p>
    <w:p>
      <w:pPr>
        <w:pStyle w:val="Heading2"/>
      </w:pPr>
      <w:r>
        <w:t>2.1 测压架构</w:t>
      </w:r>
    </w:p>
    <w:p>
      <w:r>
        <w:rPr>
          <w:rFonts w:ascii="Times New Roman" w:hAnsi="Times New Roman" w:eastAsia="宋体"/>
          <w:i w:val="0"/>
          <w:sz w:val="24"/>
        </w:rPr>
        <w:t>单只差压变送器直接测区段压降 + 一只干管参照表压。与"两只表压相减"对比：量程/信号比从 20—40 倍降到 4—8 倍。精度链推导：可检边界故障幅度 +2% 对应 U 需求 ≤ 2.0 kPa（E9 §8 重扫）；设计工况（35—40 kPa 档 × ±0.5%FS）U ≈ 0.175 kPa，余量 11 倍。</w:t>
      </w:r>
    </w:p>
    <w:p>
      <w:pPr>
        <w:pStyle w:val="Heading2"/>
      </w:pPr>
      <w:r>
        <w:t>2.2 器件规格表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器件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型号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关键规格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选型依据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差压变送器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麦克 MDM490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0—35 kPa 档起；±0.5%FS；4—20 mA 两线制；15—28 V；316L；静压 ≤20 MPa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该系列量程档 0~35 kPa 起步，更高精度档此量程段无货（官方选型资料 V6.0）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干管参照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国产扩散硅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0—200 kPa；4—20 mA；±0.5%FS；M20×1.5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与 MPM489 同精度级，渠道实价 60—150 元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流量计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DFRobot SEN0549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0.3—5 L/min；540 脉冲/L；±1%；NPN；G1/4；耐压 ≤1.0 MPa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量程与台架支管流量档匹配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主控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GD32F103CBT6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Cortex-M3 72 MHz；128 KB Flash / 20 KB SRAM；内置 12 位 ADC×2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128 KB 容纳 FatFs+协议栈+诊断内核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ADC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SGM58031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16 位；4 路单端；I²C；3.3 V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PA0 采 ΔP、PA1 采 P1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LoRa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亿佰特 E220-400T22D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410—493 MHz；UART；接收 16.8 mA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功率设 ≤10 dBm 满足免执照限值</w:t>
            </w:r>
          </w:p>
        </w:tc>
      </w:tr>
    </w:tbl>
    <w:p>
      <w:pPr>
        <w:spacing w:after="40"/>
      </w:pP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44000" cy="56996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DM490_差压变送器实物_麦克官方资料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5699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4 MDM490 差压变送器（图源：麦克传感器官方产品资料）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44000" cy="369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0549_流量计实物_DFRobot官网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6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5 SEN0549 流量计（图源：DFRobot 官网产品资料）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44000" cy="45951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20-400T22D_实物_亿佰特官网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4595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6 E220-400T22D LoRa 模块（图源：亿佰特官网产品资料）</w:t>
      </w:r>
    </w:p>
    <w:p>
      <w:pPr>
        <w:pStyle w:val="Heading2"/>
      </w:pPr>
      <w:r>
        <w:t>2.3 电路接口</w:t>
      </w:r>
    </w:p>
    <w:p>
      <w:r>
        <w:rPr>
          <w:rFonts w:ascii="Times New Roman" w:hAnsi="Times New Roman" w:eastAsia="宋体"/>
          <w:i w:val="0"/>
          <w:sz w:val="24"/>
        </w:rPr>
        <w:t>信号链为"变送器感知 — 信号调理 — 模数采样 — 数据传输 — 记录保存"：4—20 mA 经 150 Ω 0.1% 精密电阻取样（0.6—3.0 V），3.3 V 钳位 + TVS 保护后进 ADC；流量脉冲经电平整形进 PB6/TIM4_CH1 计数（避开 SPI1 的 PA6）；ADC 引脚 PA0（ΔP）、PA1（P1）；LoRa 走 USART1（PA9/PA10）；SD 走 SPI1（PA4—PA7）。台架共地，24 V 不进 ADC。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44000" cy="51559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ment_interfac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515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7 采集接口与电平转换</w:t>
      </w:r>
    </w:p>
    <w:p>
      <w:pPr>
        <w:pStyle w:val="Heading2"/>
      </w:pPr>
      <w:r>
        <w:t>2.4 供电与低功耗时序</w:t>
      </w:r>
    </w:p>
    <w:p>
      <w:r>
        <w:rPr>
          <w:rFonts w:ascii="Times New Roman" w:hAnsi="Times New Roman" w:eastAsia="宋体"/>
          <w:i w:val="0"/>
          <w:sz w:val="24"/>
        </w:rPr>
        <w:t>两条独立供电路径：电池—XL4015（24→5 V）—MP2359（5→3.3 V）供连续负载；24 V 由 XL6009 升压、高边开关（控 EN）仅供两线制变送器。采样窗时序：t=0 使能 24 V → T_set 建流（不采样）→ ADC 16× 过采样读 ΔP/P₁ 与 VREFINT → t=T_set+20 ms 关 24 V → 计算并写 SD。脉冲计数要求连续，MCU 只进 SLEEP（≈4 mA @8 MHz）。T_set 实测后定续航：100/200/300 ms ⇒ 10.2/7.2/5.5 天。</w:t>
      </w:r>
    </w:p>
    <w:p>
      <w:pPr>
        <w:pStyle w:val="Heading1"/>
      </w:pPr>
      <w:r>
        <w:t>3 台架设计</w:t>
      </w:r>
    </w:p>
    <w:p>
      <w:pPr>
        <w:pStyle w:val="Heading2"/>
      </w:pPr>
      <w:r>
        <w:t>3.1 水路与水力核算</w:t>
      </w:r>
    </w:p>
    <w:p>
      <w:r>
        <w:rPr>
          <w:rFonts w:ascii="Times New Roman" w:hAnsi="Times New Roman" w:eastAsia="宋体"/>
          <w:i w:val="0"/>
          <w:sz w:val="24"/>
        </w:rPr>
        <w:t>管路 De25 PVC-U（外径 20/内径 16 mm）。A 支路（测量）按冻结顺序：`流量计 SEN0549 → 取压嘴A → 区段R（φ5.0 mm 可换孔板 + 针阀）→ 取压嘴B → 泄漏球阀`——两取压嘴都在流量计下游，ΔP 只含区段阻力。区段 R 为 30—50 cm 短管，必须内置孔板：光管在 2.9 L/min 下压降不足 0.1 kPa，健康态需 7—8 kPa；φ5.0 孔板在 2.76 L/min 下理论 ΔP ≈ 8.0 kPa。受限故障用针阀连续调节（孔板定量需孔径 4.82 mm，不可控）。B 支路（扰动）：切换阀 + 正常负载。</w:t>
      </w:r>
    </w:p>
    <w:p>
      <w:pPr>
        <w:pStyle w:val="Heading2"/>
      </w:pPr>
      <w:r>
        <w:t>3.2 真值计量</w:t>
      </w:r>
    </w:p>
    <w:p>
      <w:r>
        <w:rPr>
          <w:rFonts w:ascii="Times New Roman" w:hAnsi="Times New Roman" w:eastAsia="宋体"/>
          <w:i w:val="0"/>
          <w:sz w:val="24"/>
        </w:rPr>
        <w:t>泄漏真值：旁路引水至开口容器（内腔 r=60 mm、h=60 mm，几何容量 678.6 mL），称重/容积法独立计量；20 s 取样需有效容量留 25% 余量。受限真值：针阀圈数 + 稳态 ΔP/Q 读数。参考仪表（高一个精度等级）向实验室借用。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44000" cy="28274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_layou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82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8 双支路水路与安装顺序</w:t>
      </w:r>
    </w:p>
    <w:p>
      <w:pPr>
        <w:pStyle w:val="Heading1"/>
      </w:pPr>
      <w:r>
        <w:t>4 判据层设计</w:t>
      </w:r>
    </w:p>
    <w:p>
      <w:pPr>
        <w:pStyle w:val="Heading2"/>
      </w:pPr>
      <w:r>
        <w:t>4.1 数学结构</w:t>
      </w:r>
    </w:p>
    <w:p>
      <w:r>
        <w:rPr>
          <w:rFonts w:ascii="Times New Roman" w:hAnsi="Times New Roman" w:eastAsia="宋体"/>
          <w:i w:val="0"/>
          <w:sz w:val="24"/>
        </w:rPr>
        <w:t>水力模型与判据特征按以下数学形式定义（排版公式，符号与正文一致）：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44000" cy="70064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hydraulic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700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式 1 负载特性与区段阻力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44000" cy="308371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083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式 2 负载系数 K（泄漏判别通道）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44000" cy="343515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R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35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式 3 区段阻力 Rh（受限判别通道）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44000" cy="187932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block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1879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式 4 块平均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44000" cy="39413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cusu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94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式 5 CUSUM 递推与判决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44000" cy="36782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direc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67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式 6 两类故障的特征方向</w:t>
      </w:r>
    </w:p>
    <w:p>
      <w:pPr>
        <w:pStyle w:val="Heading2"/>
      </w:pPr>
      <w:r>
        <w:t>4.2 参数表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参数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值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依据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块长 W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10 s，不重叠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1 s 窗量化 ±3.8% 不足；10 s 窗 ±0.38%、信噪比 13.2；不重叠使门限 1028→18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参照指数 n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固定 0.5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标定段跨度仅 0.34%，回归 −1.46—−0.19 不可辨识；跨度 ≥20% 才拟合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偏移参数 k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0.5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标准实践，兼顾灵敏度与累积速度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门限 h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26.0（仿真基准）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6720 块健康观测零越限，目标 FAR 1% 实测 0.00%，ARL0 置信下界 &gt;2240 块 ≈ 6.2 h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补判窗口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5 min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+30% 受限在 80 s 窗仅 32/40，需长窗累积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标定窗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前 16 块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块均值的收敛需要；水平由中位比值定标</w:t>
            </w:r>
          </w:p>
        </w:tc>
      </w:tr>
    </w:tbl>
    <w:p>
      <w:pPr>
        <w:spacing w:after="40"/>
      </w:pP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44000" cy="147796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udging_chai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1477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9 10 s 块判据处理链</w:t>
      </w:r>
    </w:p>
    <w:p>
      <w:pPr>
        <w:pStyle w:val="Heading2"/>
      </w:pPr>
      <w:r>
        <w:t>4.3 处理流程与闭环</w:t>
      </w:r>
    </w:p>
    <w:p>
      <w:r>
        <w:rPr>
          <w:rFonts w:ascii="Times New Roman" w:hAnsi="Times New Roman" w:eastAsia="宋体"/>
          <w:i w:val="0"/>
          <w:sz w:val="24"/>
        </w:rPr>
        <w:t>四步流程：数据预处理（分箱+质量字）→ 特征构造（K/Rh）→ 块累积与判决 → 工况门控与恢复（切换期挂起—复判，补判 5 min）。人工处置与同工况复测结果回写健康参照（按供压档分档），基线自适应演进。从数据反推核实：R=0.7928、C=0.2799、n=0.4914，与设计值 0.8/0.28/0.5 一致。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44000" cy="250588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nosis_closed_loop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505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10 诊断业务闭环</w:t>
      </w:r>
    </w:p>
    <w:p>
      <w:pPr>
        <w:pStyle w:val="Heading2"/>
      </w:pPr>
      <w:r>
        <w:t>4.4 性能结论（仿真基准）</w:t>
      </w:r>
    </w:p>
    <w:p>
      <w:r>
        <w:rPr>
          <w:rFonts w:ascii="Times New Roman" w:hAnsi="Times New Roman" w:eastAsia="宋体"/>
          <w:i w:val="0"/>
          <w:sz w:val="24"/>
        </w:rPr>
        <w:t>可检边界（80 s 窗）：泄漏 +2%（+1% 33/40、+2% 40/40）；受限 +50%（40/40），+30% 仅 32/40。注入口径：泄漏→K 增、受限→Rh 增。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304489" cy="684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shold_separati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4489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11 门限重定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198400" cy="684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ection_boundary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98400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12 可检边界二维图</w:t>
      </w:r>
    </w:p>
    <w:p>
      <w:pPr>
        <w:pStyle w:val="Heading1"/>
      </w:pPr>
      <w:r>
        <w:t>5 通信层设计</w:t>
      </w:r>
    </w:p>
    <w:p>
      <w:pPr>
        <w:pStyle w:val="Heading2"/>
      </w:pPr>
      <w:r>
        <w:t>5.1 帧格式</w:t>
      </w:r>
    </w:p>
    <w:p>
      <w:r>
        <w:rPr>
          <w:rFonts w:ascii="Times New Roman" w:hAnsi="Times New Roman" w:eastAsia="宋体"/>
          <w:i w:val="0"/>
          <w:sz w:val="24"/>
        </w:rPr>
        <w:t>版本 2 协议：COBS 零字节分隔、小端整数、CRC16。公共头 16 B（版本 1/类型 1/载荷长度 2/设备号/会话号/消息序号各 4）；测量快照 35 B（uptime_ms/sample_seq/config_id/reference_id/cumulative_pulses/P0/P1 各 4，Q10 4，status/flags/pattern 各 1，双年龄 2）；事件帧加事件码+细节码 2 B。整帧遥测 55 B、事件 57 B、ACK 24 B，均在 64 B 分包内。缺失值用整数哨兵，缺失压力年龄写 255。量化误差界：压力 0.005 kPa、流量 0.0005 L/min（1429 条固定向量实测最大 0.004995/0.0004445）。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44000" cy="372014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layou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720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13 帧字节结构</w:t>
      </w:r>
    </w:p>
    <w:p>
      <w:pPr>
        <w:pStyle w:val="Heading2"/>
      </w:pPr>
      <w:r>
        <w:t>5.2 可靠性机制</w:t>
      </w:r>
    </w:p>
    <w:p>
      <w:r>
        <w:rPr>
          <w:rFonts w:ascii="Times New Roman" w:hAnsi="Times New Roman" w:eastAsia="宋体"/>
          <w:i w:val="0"/>
          <w:sz w:val="24"/>
        </w:rPr>
        <w:t>先落库后 ACK；重发复用原事件身份；重复帧按身份去重；同源不同内容拒绝。重发预算 0/2/4/6/26/46/66/86 s 共 8 次派发——60 秒中断对照事件缺失由 53 条降为零。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44000" cy="51559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rable_event_sequenc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515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14 持久化确认与重复去重时序</w:t>
      </w:r>
    </w:p>
    <w:p>
      <w:pPr>
        <w:pStyle w:val="Heading2"/>
      </w:pPr>
      <w:r>
        <w:t>5.3 离线通道与本地平台</w:t>
      </w:r>
    </w:p>
    <w:p>
      <w:r>
        <w:rPr>
          <w:rFonts w:ascii="Times New Roman" w:hAnsi="Times New Roman" w:eastAsia="宋体"/>
          <w:i w:val="0"/>
          <w:sz w:val="24"/>
        </w:rPr>
        <w:t>1 s 原始行同步写 SD 卡（FatFs），回实验室经 CLI（`scripts/import_sdcard_csv.py`）或 HTTP（`/api/sdcard/import`）导回；导入参照登记为 approved=0 候选配置。本地 Web 六模块可运行（合成回放演示），人工三态分别落库。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44000" cy="675335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site_diagnosis_panel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6753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15 运行主站诊断面板</w:t>
      </w:r>
    </w:p>
    <w:p>
      <w:pPr>
        <w:pStyle w:val="Heading1"/>
      </w:pPr>
      <w:r>
        <w:t>6 实验验证设计</w:t>
      </w:r>
    </w:p>
    <w:p>
      <w:pPr>
        <w:pStyle w:val="Heading2"/>
      </w:pPr>
      <w:r>
        <w:t>6.1 实验矩阵</w:t>
      </w:r>
    </w:p>
    <w:p>
      <w:r>
        <w:rPr>
          <w:rFonts w:ascii="Times New Roman" w:hAnsi="Times New Roman" w:eastAsia="宋体"/>
          <w:i w:val="0"/>
          <w:sz w:val="24"/>
        </w:rPr>
        <w:t>2 类故障 × 3 档供压 × 3 档程度 × 3 操作 = 54 次基础网格，扩展至 72 次；标签独立且不进检测规则。对照三件套（健康段/供压扰动/邻支路切换）+ 切换期故障 12 次。</w:t>
      </w:r>
    </w:p>
    <w:p>
      <w:pPr>
        <w:pStyle w:val="Heading2"/>
      </w:pPr>
      <w:r>
        <w:t>6.2 单次注入规程</w:t>
      </w:r>
    </w:p>
    <w:p>
      <w:r>
        <w:rPr>
          <w:rFonts w:ascii="Times New Roman" w:hAnsi="Times New Roman" w:eastAsia="宋体"/>
          <w:i w:val="0"/>
          <w:sz w:val="24"/>
        </w:rPr>
        <w:t>健康段确认（≥3 块无候选）→ 注入执行（旁路阀/针阀，同时计时）→ 80 s 窗观测（判决输出+原始行）→ 真值计量（称重/容积法）→ 独立复测 → 记录六字段。</w:t>
      </w:r>
    </w:p>
    <w:p>
      <w:pPr>
        <w:pStyle w:val="Heading2"/>
      </w:pPr>
      <w:r>
        <w:t>6.3 四项必测（仿真→实物之桥）</w:t>
      </w:r>
    </w:p>
    <w:p>
      <w:r>
        <w:rPr>
          <w:rFonts w:ascii="Times New Roman" w:hAnsi="Times New Roman" w:eastAsia="宋体"/>
          <w:i w:val="0"/>
          <w:sz w:val="24"/>
        </w:rPr>
        <w:t>σ 三通道独立噪声（复扫 6720 块重标门限，叠加设计噪声后 1% 误报需 h=28 即 1.1 倍）；τ（≤10 s 直接用块判据，120 s 需 376 即 14.5 倍）；K 漂移 ≤1%/h（≥8 h 静置）；流量计增益漂移 ≤0.10%（称重法）。四项全绿才允许仿真边界进入结项报告。</w:t>
      </w:r>
    </w:p>
    <w:p>
      <w:pPr>
        <w:pStyle w:val="Heading2"/>
      </w:pPr>
      <w:r>
        <w:t>6.4 三档结项</w:t>
      </w:r>
    </w:p>
    <w:p>
      <w:r>
        <w:rPr>
          <w:rFonts w:ascii="Times New Roman" w:hAnsi="Times New Roman" w:eastAsia="宋体"/>
          <w:i w:val="0"/>
          <w:sz w:val="24"/>
        </w:rPr>
        <w:t>保底（有线+台架+桌面端含 SD 导入）即可结项；标准（+电池+LoRa+手持终端）；加分（+田间一轮实测，窗口 2027.4—9）。原理性边界如实写入：负载变化与泄漏在 (P0,P1,Q) 下不可区分（ΔQ=+6.39%、ΔK=+7.07%、ΔRh=+0.08%）。</w:t>
      </w:r>
    </w:p>
    <w:p>
      <w:pPr>
        <w:pStyle w:val="Heading1"/>
      </w:pPr>
      <w:r>
        <w:t>7 验收标准汇总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编号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环节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标准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证据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处置线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V1-1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场景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场景表五项全有出处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场景表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无出处降级"待实测"并移除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V1-2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故障定义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两类故障与注入手段一一对应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对照表（导师签字）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被质疑回炉重收敛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V1-3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边界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不做清单+水力等效边界如实列出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正文原文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V2-1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感知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实测 U ≤ 0.20 kPa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小试报告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超 2 倍内复核重测；超 2 倍改型评审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V2-2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采购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厂家书面订货规格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规格函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未获确认不采购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V2-3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装配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水路顺序逐项核对拍照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检查单+照片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顺序错误拆除重装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V2-4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续航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T_set 实测入续航表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续航表 v2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V2-5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固件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1 s 节拍连续 1 h 无漂移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固件日志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V3-1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建模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n 写法与跨度条件一致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全文检索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V3-2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建模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跨 ≥20% 跨度复拟合+置信区间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标定报告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两次不足固定 n=0.5 收口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V3-3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建模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≥8 h 静置漂移实测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静置日志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V3-4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判决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实测噪声代入复扫 6720 块 FAR ≤1%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门限重标报告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按实测冻结新版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V3-5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判决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τ ≤ 10 s 或加长块长/预白化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实测报告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V3-6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判决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K 漂移 ≤1%/h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静置日志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超限启用自适应基线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V3-7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判决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Q 通道漂移 ≤0.10%（称重法）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比对记录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更换流量计或缩短信标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V4-1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通信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功率设置留档+限值条款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配置导出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V4-2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通信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三反例全部通过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反例记录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修复重测，不带病联调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V4-3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通信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导入参照 approved=0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字段截图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V4-4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通信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回放与实测能耗分开陈述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措辞审查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当日修订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V5-1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实验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独立标签+复测记录，同故障≥1 次复现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实验台账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复现缺失不计入统计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V5-2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实验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误报分来源报告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统计表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V5-3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实验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连续两次失败停止扩格复盘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里程碑记录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V5-4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成果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论文/软著/竞赛分别登记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成果登记表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V5-5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成果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原理性边界与外推受限口径写入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正文审查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i w:val="0"/>
          <w:color w:val="555555"/>
          <w:sz w:val="20"/>
        </w:rPr>
        <w:t>图 15 张全部通过 `scripts/verify_figure_layout.mjs`；本文档数值与核对清单冲突时以清单为准回改。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587" w:right="1474" w:bottom="158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 PAGE 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color w:val="666666"/>
        <w:sz w:val="18"/>
      </w:rPr>
      <w:t>塔里木大学大学生创新创业训练计划项目 · 技术路线与项目实施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