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44EDF4B">
      <w:pPr>
        <w:rPr>
          <w:rFonts w:hint="eastAsia" w:eastAsia="宋体"/>
          <w:lang w:eastAsia="zh-CN"/>
        </w:rPr>
      </w:pPr>
      <w:bookmarkStart w:id="0" w:name="_GoBack"/>
      <w:bookmarkEnd w:id="0"/>
    </w:p>
    <w:p w14:paraId="00CCE3E7">
      <w:pPr>
        <w:rPr>
          <w:rFonts w:hint="eastAsia" w:eastAsia="宋体"/>
          <w:lang w:eastAsia="zh-CN"/>
        </w:rPr>
      </w:pPr>
    </w:p>
    <w:p w14:paraId="37F3E620">
      <w:pPr>
        <w:jc w:val="left"/>
        <w:rPr>
          <w:rFonts w:hint="eastAsia" w:eastAsia="宋体"/>
          <w:lang w:eastAsia="zh-CN"/>
        </w:rPr>
      </w:pPr>
      <w:r>
        <w:rPr>
          <w:rFonts w:hint="eastAsia" w:eastAsia="宋体"/>
          <w:lang w:eastAsia="zh-CN"/>
        </w:rPr>
        <w:pict>
          <v:shape id="_x0000_i1025" o:spt="75" alt="塔里木大学VI-基础部分_A4.01标志标准中英文全称横式使用规范与不可入侵范围" type="#_x0000_t75" style="height:61.5pt;width:178pt;" filled="f" o:preferrelative="t" stroked="f" coordsize="21600,21600">
            <v:path/>
            <v:fill on="f" focussize="0,0"/>
            <v:stroke on="f"/>
            <v:imagedata r:id="rId5" o:title="塔里木大学VI-基础部分_A4.01标志标准中英文全称横式使用规范与不可入侵范围"/>
            <o:lock v:ext="edit" aspectratio="t"/>
            <w10:wrap type="none"/>
            <w10:anchorlock/>
          </v:shape>
        </w:pict>
      </w:r>
    </w:p>
    <w:p w14:paraId="283F1E65">
      <w:pPr>
        <w:rPr>
          <w:rFonts w:hint="eastAsia"/>
        </w:rPr>
      </w:pPr>
    </w:p>
    <w:p w14:paraId="1189FB66">
      <w:pPr>
        <w:rPr>
          <w:rFonts w:hint="eastAsia"/>
        </w:rPr>
      </w:pPr>
    </w:p>
    <w:p w14:paraId="7902F915">
      <w:pPr>
        <w:rPr>
          <w:rFonts w:hint="eastAsia"/>
        </w:rPr>
      </w:pPr>
    </w:p>
    <w:p w14:paraId="2B111E52">
      <w:pPr>
        <w:rPr>
          <w:rFonts w:hint="eastAsia"/>
        </w:rPr>
      </w:pPr>
    </w:p>
    <w:p w14:paraId="1802FACC">
      <w:pPr>
        <w:jc w:val="center"/>
        <w:rPr>
          <w:rFonts w:hint="eastAsia" w:ascii="方正小标宋简体" w:hAnsi="方正小标宋简体" w:eastAsia="方正小标宋简体" w:cs="方正小标宋简体"/>
          <w:b w:val="0"/>
          <w:bCs/>
          <w:sz w:val="52"/>
          <w:szCs w:val="52"/>
        </w:rPr>
      </w:pPr>
      <w:r>
        <w:rPr>
          <w:rFonts w:hint="eastAsia" w:ascii="方正小标宋简体" w:hAnsi="方正小标宋简体" w:eastAsia="方正小标宋简体" w:cs="方正小标宋简体"/>
          <w:b w:val="0"/>
          <w:bCs/>
          <w:sz w:val="52"/>
          <w:szCs w:val="52"/>
        </w:rPr>
        <w:t>大学生创新训练</w:t>
      </w:r>
      <w:r>
        <w:rPr>
          <w:rFonts w:hint="eastAsia" w:ascii="方正小标宋简体" w:hAnsi="方正小标宋简体" w:eastAsia="方正小标宋简体" w:cs="方正小标宋简体"/>
          <w:b w:val="0"/>
          <w:bCs/>
          <w:sz w:val="52"/>
          <w:szCs w:val="52"/>
          <w:lang w:val="en-US" w:eastAsia="zh-CN"/>
        </w:rPr>
        <w:t>计划</w:t>
      </w:r>
      <w:r>
        <w:rPr>
          <w:rFonts w:hint="eastAsia" w:ascii="方正小标宋简体" w:hAnsi="方正小标宋简体" w:eastAsia="方正小标宋简体" w:cs="方正小标宋简体"/>
          <w:b w:val="0"/>
          <w:bCs/>
          <w:sz w:val="52"/>
          <w:szCs w:val="52"/>
        </w:rPr>
        <w:t>申报书</w:t>
      </w:r>
    </w:p>
    <w:p w14:paraId="625659AA">
      <w:pPr>
        <w:jc w:val="center"/>
        <w:rPr>
          <w:rFonts w:hint="eastAsia" w:ascii="黑体" w:hAnsi="黑体" w:eastAsia="黑体"/>
          <w:sz w:val="36"/>
          <w:szCs w:val="36"/>
        </w:rPr>
      </w:pPr>
      <w:r>
        <w:rPr>
          <w:rFonts w:hint="eastAsia" w:ascii="方正小标宋简体" w:hAnsi="方正小标宋简体" w:eastAsia="方正小标宋简体" w:cs="方正小标宋简体"/>
          <w:color w:val="000000"/>
          <w:sz w:val="36"/>
          <w:szCs w:val="36"/>
          <w:lang w:eastAsia="zh-CN"/>
        </w:rPr>
        <w:t>（</w:t>
      </w:r>
      <w:r>
        <w:rPr>
          <w:rFonts w:hint="eastAsia" w:ascii="方正小标宋简体" w:hAnsi="方正小标宋简体" w:eastAsia="方正小标宋简体" w:cs="方正小标宋简体"/>
          <w:color w:val="000000"/>
          <w:sz w:val="36"/>
          <w:szCs w:val="36"/>
          <w:lang w:val="en-US" w:eastAsia="zh-CN"/>
        </w:rPr>
        <w:t>创新训练项目</w:t>
      </w:r>
      <w:r>
        <w:rPr>
          <w:rFonts w:hint="eastAsia" w:ascii="方正小标宋简体" w:hAnsi="方正小标宋简体" w:eastAsia="方正小标宋简体" w:cs="方正小标宋简体"/>
          <w:color w:val="000000"/>
          <w:sz w:val="36"/>
          <w:szCs w:val="36"/>
          <w:lang w:eastAsia="zh-CN"/>
        </w:rPr>
        <w:t>）</w:t>
      </w:r>
    </w:p>
    <w:p w14:paraId="47C91BA0">
      <w:pPr>
        <w:jc w:val="both"/>
        <w:rPr>
          <w:rFonts w:hint="eastAsia" w:ascii="黑体" w:hAnsi="黑体" w:eastAsia="黑体"/>
          <w:sz w:val="36"/>
          <w:szCs w:val="36"/>
        </w:rPr>
      </w:pPr>
    </w:p>
    <w:p w14:paraId="0EC43CC8">
      <w:pPr>
        <w:keepNext w:val="0"/>
        <w:keepLines w:val="0"/>
        <w:pageBreakBefore w:val="0"/>
        <w:widowControl w:val="0"/>
        <w:kinsoku/>
        <w:wordWrap/>
        <w:overflowPunct/>
        <w:topLinePunct w:val="0"/>
        <w:autoSpaceDE/>
        <w:autoSpaceDN/>
        <w:bidi w:val="0"/>
        <w:adjustRightInd/>
        <w:snapToGrid/>
        <w:ind w:left="0" w:right="0" w:firstLine="840" w:firstLineChars="400"/>
        <w:jc w:val="center"/>
        <w:textAlignment w:val="auto"/>
        <w:rPr>
          <w:rFonts w:hint="eastAsia" w:ascii="黑体" w:hAnsi="黑体" w:eastAsia="黑体" w:cs="黑体"/>
          <w:b w:val="0"/>
          <w:bCs w:val="0"/>
          <w:sz w:val="21"/>
          <w:szCs w:val="30"/>
          <w:lang w:val="en-US" w:eastAsia="zh-CN"/>
        </w:rPr>
      </w:pPr>
      <w:r>
        <w:rPr>
          <w:rFonts w:hint="eastAsia" w:ascii="黑体" w:hAnsi="黑体" w:eastAsia="黑体" w:cs="黑体"/>
          <w:b w:val="0"/>
          <w:bCs w:val="0"/>
          <w:sz w:val="21"/>
          <w:szCs w:val="30"/>
          <w:lang w:val="en-US" w:eastAsia="zh-CN"/>
        </w:rPr>
        <w:t>项目名称：基于 LoRa 的南疆滴灌支管道早期故障诊断物联网原型系统</w:t>
      </w:r>
    </w:p>
    <w:p w14:paraId="1CA7BEAE">
      <w:pPr>
        <w:keepNext w:val="0"/>
        <w:keepLines w:val="0"/>
        <w:pageBreakBefore w:val="0"/>
        <w:widowControl w:val="0"/>
        <w:kinsoku/>
        <w:wordWrap/>
        <w:overflowPunct/>
        <w:topLinePunct w:val="0"/>
        <w:autoSpaceDE/>
        <w:autoSpaceDN/>
        <w:bidi w:val="0"/>
        <w:adjustRightInd/>
        <w:snapToGrid/>
        <w:ind w:firstLine="1200" w:firstLineChars="400"/>
        <w:jc w:val="left"/>
        <w:textAlignment w:val="auto"/>
        <w:rPr>
          <w:rFonts w:hint="eastAsia" w:ascii="黑体" w:hAnsi="黑体" w:eastAsia="黑体" w:cs="黑体"/>
          <w:b w:val="0"/>
          <w:bCs w:val="0"/>
          <w:sz w:val="30"/>
          <w:szCs w:val="30"/>
          <w:u w:val="single"/>
          <w:lang w:val="en-US" w:eastAsia="zh-CN"/>
        </w:rPr>
      </w:pPr>
      <w:r>
        <w:rPr>
          <w:rFonts w:hint="eastAsia" w:ascii="黑体" w:hAnsi="黑体" w:eastAsia="黑体" w:cs="黑体"/>
          <w:b w:val="0"/>
          <w:bCs w:val="0"/>
          <w:sz w:val="30"/>
          <w:szCs w:val="30"/>
          <w:lang w:val="en-US" w:eastAsia="zh-CN"/>
        </w:rPr>
        <w:t>项目负责人：</w:t>
      </w:r>
      <w:r>
        <w:rPr>
          <w:rFonts w:hint="eastAsia" w:ascii="黑体" w:hAnsi="黑体" w:eastAsia="黑体" w:cs="黑体"/>
          <w:b w:val="0"/>
          <w:bCs w:val="0"/>
          <w:sz w:val="30"/>
          <w:szCs w:val="30"/>
          <w:u w:val="single"/>
          <w:lang w:val="en-US" w:eastAsia="zh-CN"/>
        </w:rPr>
        <w:t xml:space="preserve">                            </w:t>
      </w:r>
    </w:p>
    <w:p w14:paraId="011A02B0">
      <w:pPr>
        <w:keepNext w:val="0"/>
        <w:keepLines w:val="0"/>
        <w:pageBreakBefore w:val="0"/>
        <w:widowControl w:val="0"/>
        <w:kinsoku/>
        <w:wordWrap/>
        <w:overflowPunct/>
        <w:topLinePunct w:val="0"/>
        <w:autoSpaceDE/>
        <w:autoSpaceDN/>
        <w:bidi w:val="0"/>
        <w:adjustRightInd/>
        <w:snapToGrid/>
        <w:ind w:firstLine="1200" w:firstLineChars="400"/>
        <w:jc w:val="left"/>
        <w:textAlignment w:val="auto"/>
        <w:rPr>
          <w:rFonts w:hint="eastAsia" w:ascii="黑体" w:hAnsi="黑体" w:eastAsia="黑体" w:cs="黑体"/>
          <w:b w:val="0"/>
          <w:bCs w:val="0"/>
          <w:sz w:val="30"/>
          <w:szCs w:val="30"/>
          <w:lang w:val="en-US" w:eastAsia="zh-CN"/>
        </w:rPr>
      </w:pPr>
      <w:r>
        <w:rPr>
          <w:rFonts w:hint="eastAsia" w:ascii="黑体" w:hAnsi="黑体" w:eastAsia="黑体" w:cs="黑体"/>
          <w:b w:val="0"/>
          <w:bCs w:val="0"/>
          <w:sz w:val="30"/>
          <w:szCs w:val="30"/>
          <w:lang w:val="en-US" w:eastAsia="zh-CN"/>
        </w:rPr>
        <w:t>学    号：</w:t>
      </w:r>
      <w:r>
        <w:rPr>
          <w:rFonts w:hint="eastAsia" w:ascii="黑体" w:hAnsi="黑体" w:eastAsia="黑体" w:cs="黑体"/>
          <w:b w:val="0"/>
          <w:bCs w:val="0"/>
          <w:sz w:val="30"/>
          <w:szCs w:val="30"/>
          <w:u w:val="single"/>
          <w:lang w:val="en-US" w:eastAsia="zh-CN"/>
        </w:rPr>
        <w:t xml:space="preserve">                              </w:t>
      </w:r>
    </w:p>
    <w:p w14:paraId="419A8CA8">
      <w:pPr>
        <w:keepNext w:val="0"/>
        <w:keepLines w:val="0"/>
        <w:pageBreakBefore w:val="0"/>
        <w:widowControl w:val="0"/>
        <w:kinsoku/>
        <w:wordWrap/>
        <w:overflowPunct/>
        <w:topLinePunct w:val="0"/>
        <w:autoSpaceDE/>
        <w:autoSpaceDN/>
        <w:bidi w:val="0"/>
        <w:adjustRightInd/>
        <w:snapToGrid/>
        <w:ind w:firstLine="1200" w:firstLineChars="400"/>
        <w:jc w:val="left"/>
        <w:textAlignment w:val="auto"/>
        <w:rPr>
          <w:rFonts w:hint="eastAsia" w:ascii="黑体" w:hAnsi="黑体" w:eastAsia="黑体" w:cs="黑体"/>
          <w:b w:val="0"/>
          <w:bCs w:val="0"/>
          <w:sz w:val="30"/>
          <w:szCs w:val="30"/>
          <w:lang w:val="en-US" w:eastAsia="zh-CN"/>
        </w:rPr>
      </w:pPr>
      <w:r>
        <w:rPr>
          <w:rFonts w:hint="eastAsia" w:ascii="黑体" w:hAnsi="黑体" w:eastAsia="黑体" w:cs="黑体"/>
          <w:b w:val="0"/>
          <w:bCs w:val="0"/>
          <w:sz w:val="30"/>
          <w:szCs w:val="30"/>
          <w:lang w:val="en-US" w:eastAsia="zh-CN"/>
        </w:rPr>
        <w:t>班    级：</w:t>
      </w:r>
      <w:r>
        <w:rPr>
          <w:rFonts w:hint="eastAsia" w:ascii="黑体" w:hAnsi="黑体" w:eastAsia="黑体" w:cs="黑体"/>
          <w:b w:val="0"/>
          <w:bCs w:val="0"/>
          <w:sz w:val="30"/>
          <w:szCs w:val="30"/>
          <w:u w:val="single"/>
          <w:lang w:val="en-US" w:eastAsia="zh-CN"/>
        </w:rPr>
        <w:t xml:space="preserve">                              </w:t>
      </w:r>
    </w:p>
    <w:p w14:paraId="6D63CD5A">
      <w:pPr>
        <w:keepNext w:val="0"/>
        <w:keepLines w:val="0"/>
        <w:pageBreakBefore w:val="0"/>
        <w:widowControl w:val="0"/>
        <w:kinsoku/>
        <w:wordWrap/>
        <w:overflowPunct/>
        <w:topLinePunct w:val="0"/>
        <w:autoSpaceDE/>
        <w:autoSpaceDN/>
        <w:bidi w:val="0"/>
        <w:adjustRightInd/>
        <w:snapToGrid/>
        <w:ind w:firstLine="1200" w:firstLineChars="400"/>
        <w:jc w:val="left"/>
        <w:textAlignment w:val="auto"/>
        <w:rPr>
          <w:rFonts w:hint="eastAsia" w:ascii="黑体" w:hAnsi="黑体" w:eastAsia="黑体" w:cs="黑体"/>
          <w:b w:val="0"/>
          <w:bCs w:val="0"/>
          <w:sz w:val="30"/>
          <w:szCs w:val="30"/>
          <w:u w:val="single"/>
          <w:lang w:val="en-US" w:eastAsia="zh-CN"/>
        </w:rPr>
      </w:pPr>
      <w:r>
        <w:rPr>
          <w:rFonts w:hint="eastAsia" w:ascii="黑体" w:hAnsi="黑体" w:eastAsia="黑体" w:cs="黑体"/>
          <w:b w:val="0"/>
          <w:bCs w:val="0"/>
          <w:sz w:val="30"/>
          <w:szCs w:val="30"/>
          <w:lang w:val="en-US" w:eastAsia="zh-CN"/>
        </w:rPr>
        <w:t>联系电话：</w:t>
      </w:r>
      <w:r>
        <w:rPr>
          <w:rFonts w:hint="eastAsia" w:ascii="黑体" w:hAnsi="黑体" w:eastAsia="黑体" w:cs="黑体"/>
          <w:b w:val="0"/>
          <w:bCs w:val="0"/>
          <w:sz w:val="30"/>
          <w:szCs w:val="30"/>
          <w:u w:val="single"/>
          <w:lang w:val="en-US" w:eastAsia="zh-CN"/>
        </w:rPr>
        <w:t xml:space="preserve">                              </w:t>
      </w:r>
    </w:p>
    <w:p w14:paraId="43377640">
      <w:pPr>
        <w:keepNext w:val="0"/>
        <w:keepLines w:val="0"/>
        <w:pageBreakBefore w:val="0"/>
        <w:widowControl w:val="0"/>
        <w:kinsoku/>
        <w:wordWrap/>
        <w:overflowPunct/>
        <w:topLinePunct w:val="0"/>
        <w:autoSpaceDE/>
        <w:autoSpaceDN/>
        <w:bidi w:val="0"/>
        <w:adjustRightInd/>
        <w:snapToGrid/>
        <w:ind w:firstLine="1200" w:firstLineChars="400"/>
        <w:jc w:val="left"/>
        <w:textAlignment w:val="auto"/>
        <w:rPr>
          <w:rFonts w:hint="eastAsia" w:ascii="黑体" w:hAnsi="黑体" w:eastAsia="黑体" w:cs="黑体"/>
          <w:b w:val="0"/>
          <w:bCs w:val="0"/>
          <w:sz w:val="30"/>
          <w:szCs w:val="30"/>
          <w:lang w:val="en-US" w:eastAsia="zh-CN"/>
        </w:rPr>
      </w:pPr>
      <w:r>
        <w:rPr>
          <w:rFonts w:hint="eastAsia" w:ascii="黑体" w:hAnsi="黑体" w:eastAsia="黑体" w:cs="黑体"/>
          <w:b w:val="0"/>
          <w:bCs w:val="0"/>
          <w:sz w:val="30"/>
          <w:szCs w:val="30"/>
          <w:lang w:val="en-US" w:eastAsia="zh-CN"/>
        </w:rPr>
        <w:t>所属学院：信息工程学院</w:t>
      </w:r>
    </w:p>
    <w:p w14:paraId="095A0F46">
      <w:pPr>
        <w:keepNext w:val="0"/>
        <w:keepLines w:val="0"/>
        <w:pageBreakBefore w:val="0"/>
        <w:widowControl w:val="0"/>
        <w:kinsoku/>
        <w:wordWrap/>
        <w:overflowPunct/>
        <w:topLinePunct w:val="0"/>
        <w:autoSpaceDE/>
        <w:autoSpaceDN/>
        <w:bidi w:val="0"/>
        <w:adjustRightInd/>
        <w:snapToGrid/>
        <w:ind w:firstLine="1200" w:firstLineChars="400"/>
        <w:jc w:val="left"/>
        <w:textAlignment w:val="auto"/>
        <w:rPr>
          <w:rFonts w:hint="eastAsia" w:ascii="黑体" w:hAnsi="黑体" w:eastAsia="黑体" w:cs="黑体"/>
          <w:b w:val="0"/>
          <w:bCs w:val="0"/>
          <w:sz w:val="30"/>
          <w:szCs w:val="30"/>
          <w:u w:val="single"/>
          <w:lang w:val="en-US" w:eastAsia="zh-CN"/>
        </w:rPr>
      </w:pPr>
      <w:r>
        <w:rPr>
          <w:rFonts w:hint="eastAsia" w:ascii="黑体" w:hAnsi="黑体" w:eastAsia="黑体" w:cs="黑体"/>
          <w:b w:val="0"/>
          <w:bCs w:val="0"/>
          <w:sz w:val="30"/>
          <w:szCs w:val="30"/>
          <w:lang w:val="en-US" w:eastAsia="zh-CN"/>
        </w:rPr>
        <w:t>指导教师：</w:t>
      </w:r>
      <w:r>
        <w:rPr>
          <w:rFonts w:hint="eastAsia" w:ascii="黑体" w:hAnsi="黑体" w:eastAsia="黑体" w:cs="黑体"/>
          <w:b w:val="0"/>
          <w:bCs w:val="0"/>
          <w:sz w:val="30"/>
          <w:szCs w:val="30"/>
          <w:u w:val="single"/>
          <w:lang w:val="en-US" w:eastAsia="zh-CN"/>
        </w:rPr>
        <w:t xml:space="preserve">                              </w:t>
      </w:r>
    </w:p>
    <w:p w14:paraId="65649329">
      <w:pPr>
        <w:keepNext w:val="0"/>
        <w:keepLines w:val="0"/>
        <w:pageBreakBefore w:val="0"/>
        <w:widowControl w:val="0"/>
        <w:kinsoku/>
        <w:wordWrap/>
        <w:overflowPunct/>
        <w:topLinePunct w:val="0"/>
        <w:autoSpaceDE/>
        <w:autoSpaceDN/>
        <w:bidi w:val="0"/>
        <w:adjustRightInd/>
        <w:snapToGrid/>
        <w:ind w:firstLine="1200" w:firstLineChars="400"/>
        <w:jc w:val="left"/>
        <w:textAlignment w:val="auto"/>
        <w:rPr>
          <w:rFonts w:hint="default" w:ascii="黑体" w:hAnsi="黑体" w:eastAsia="黑体" w:cs="黑体"/>
          <w:b w:val="0"/>
          <w:bCs w:val="0"/>
          <w:sz w:val="30"/>
          <w:szCs w:val="30"/>
          <w:u w:val="single"/>
          <w:lang w:val="en-US" w:eastAsia="zh-CN"/>
        </w:rPr>
      </w:pPr>
      <w:r>
        <w:rPr>
          <w:rFonts w:hint="eastAsia" w:ascii="黑体" w:hAnsi="黑体" w:eastAsia="黑体" w:cs="黑体"/>
          <w:b w:val="0"/>
          <w:bCs w:val="0"/>
          <w:sz w:val="30"/>
          <w:szCs w:val="30"/>
          <w:u w:val="none"/>
          <w:lang w:val="en-US" w:eastAsia="zh-CN"/>
        </w:rPr>
        <w:t>联系电话：</w:t>
      </w:r>
      <w:r>
        <w:rPr>
          <w:rFonts w:hint="eastAsia" w:ascii="黑体" w:hAnsi="黑体" w:eastAsia="黑体" w:cs="黑体"/>
          <w:b w:val="0"/>
          <w:bCs w:val="0"/>
          <w:sz w:val="30"/>
          <w:szCs w:val="30"/>
          <w:u w:val="single"/>
          <w:lang w:val="en-US" w:eastAsia="zh-CN"/>
        </w:rPr>
        <w:t xml:space="preserve">                              </w:t>
      </w:r>
    </w:p>
    <w:p w14:paraId="584EE860">
      <w:pPr>
        <w:spacing w:line="480" w:lineRule="auto"/>
        <w:rPr>
          <w:rFonts w:hint="eastAsia" w:ascii="黑体" w:hAnsi="黑体" w:eastAsia="黑体" w:cs="黑体"/>
          <w:b w:val="0"/>
          <w:bCs w:val="0"/>
          <w:sz w:val="30"/>
          <w:szCs w:val="30"/>
          <w:lang w:val="en-US" w:eastAsia="zh-CN"/>
        </w:rPr>
      </w:pPr>
      <w:r>
        <w:rPr>
          <w:rFonts w:hint="eastAsia" w:ascii="黑体" w:hAnsi="黑体" w:eastAsia="黑体" w:cs="黑体"/>
          <w:b w:val="0"/>
          <w:bCs w:val="0"/>
          <w:sz w:val="30"/>
          <w:szCs w:val="30"/>
          <w:lang w:val="en-US" w:eastAsia="zh-CN"/>
        </w:rPr>
        <w:t>起止时间：2027年3月至2028年2月</w:t>
      </w:r>
    </w:p>
    <w:p w14:paraId="14EC29DF">
      <w:pPr>
        <w:spacing w:line="480" w:lineRule="auto"/>
        <w:rPr>
          <w:rFonts w:hint="eastAsia" w:ascii="黑体" w:hAnsi="黑体" w:eastAsia="黑体" w:cs="黑体"/>
          <w:b w:val="0"/>
          <w:bCs w:val="0"/>
          <w:sz w:val="30"/>
          <w:szCs w:val="30"/>
          <w:lang w:val="en-US" w:eastAsia="zh-CN"/>
        </w:rPr>
      </w:pPr>
    </w:p>
    <w:p w14:paraId="1B560B92">
      <w:pPr>
        <w:rPr>
          <w:rFonts w:hint="eastAsia" w:ascii="黑体" w:hAnsi="黑体" w:eastAsia="黑体" w:cs="黑体"/>
          <w:sz w:val="36"/>
        </w:rPr>
      </w:pPr>
    </w:p>
    <w:p w14:paraId="062A1C1C">
      <w:pPr>
        <w:rPr>
          <w:rFonts w:hint="eastAsia" w:ascii="黑体" w:hAnsi="黑体" w:eastAsia="黑体" w:cs="黑体"/>
          <w:sz w:val="36"/>
        </w:rPr>
      </w:pPr>
    </w:p>
    <w:p w14:paraId="5A9932C6">
      <w:pPr>
        <w:keepNext w:val="0"/>
        <w:keepLines w:val="0"/>
        <w:pageBreakBefore w:val="0"/>
        <w:widowControl w:val="0"/>
        <w:kinsoku/>
        <w:wordWrap/>
        <w:overflowPunct/>
        <w:topLinePunct w:val="0"/>
        <w:autoSpaceDE/>
        <w:autoSpaceDN/>
        <w:bidi w:val="0"/>
        <w:adjustRightInd/>
        <w:snapToGrid/>
        <w:jc w:val="center"/>
        <w:textAlignment w:val="auto"/>
        <w:rPr>
          <w:rFonts w:hint="eastAsia" w:ascii="黑体" w:hAnsi="黑体" w:eastAsia="黑体" w:cs="黑体"/>
          <w:b w:val="0"/>
          <w:bCs w:val="0"/>
          <w:sz w:val="28"/>
          <w:szCs w:val="24"/>
          <w:lang w:val="en-US" w:eastAsia="zh-CN"/>
        </w:rPr>
      </w:pPr>
      <w:r>
        <w:rPr>
          <w:rFonts w:hint="eastAsia" w:ascii="黑体" w:hAnsi="黑体" w:eastAsia="黑体" w:cs="黑体"/>
          <w:b w:val="0"/>
          <w:bCs w:val="0"/>
          <w:sz w:val="28"/>
          <w:szCs w:val="24"/>
          <w:lang w:val="en-US" w:eastAsia="zh-CN"/>
        </w:rPr>
        <w:t>塔里木大学教务处制</w:t>
      </w:r>
    </w:p>
    <w:p w14:paraId="73E71890">
      <w:pPr>
        <w:pageBreakBefore/>
        <w:jc w:val="center"/>
        <w:rPr>
          <w:rFonts w:eastAsia="楷体_GB2312"/>
          <w:b/>
          <w:bCs/>
          <w:sz w:val="36"/>
        </w:rPr>
      </w:pPr>
      <w:r>
        <w:rPr>
          <w:rFonts w:hint="eastAsia" w:ascii="小标宋" w:hAnsi="小标宋" w:eastAsia="小标宋" w:cs="小标宋"/>
          <w:b w:val="0"/>
          <w:bCs w:val="0"/>
          <w:sz w:val="44"/>
        </w:rPr>
        <w:t>填 写 须 知</w:t>
      </w:r>
    </w:p>
    <w:p w14:paraId="6BE558CB">
      <w:pPr>
        <w:keepNext w:val="0"/>
        <w:keepLines w:val="0"/>
        <w:pageBreakBefore w:val="0"/>
        <w:widowControl w:val="0"/>
        <w:kinsoku/>
        <w:wordWrap/>
        <w:overflowPunct/>
        <w:topLinePunct w:val="0"/>
        <w:autoSpaceDE/>
        <w:autoSpaceDN/>
        <w:bidi w:val="0"/>
        <w:adjustRightInd/>
        <w:snapToGrid/>
        <w:spacing w:line="520" w:lineRule="exact"/>
        <w:ind w:left="107" w:leftChars="51" w:right="227" w:firstLine="560" w:firstLineChars="200"/>
        <w:textAlignment w:val="auto"/>
        <w:rPr>
          <w:rFonts w:hint="eastAsia" w:ascii="仿宋_GB2312" w:eastAsia="仿宋_GB2312"/>
          <w:sz w:val="28"/>
          <w:szCs w:val="28"/>
        </w:rPr>
      </w:pPr>
      <w:r>
        <w:rPr>
          <w:rFonts w:hint="eastAsia" w:ascii="仿宋_GB2312" w:eastAsia="仿宋_GB2312"/>
          <w:sz w:val="28"/>
          <w:szCs w:val="28"/>
        </w:rPr>
        <w:t>一、项目分类说明：</w:t>
      </w:r>
    </w:p>
    <w:p w14:paraId="6201801F">
      <w:pPr>
        <w:keepNext w:val="0"/>
        <w:keepLines w:val="0"/>
        <w:pageBreakBefore w:val="0"/>
        <w:widowControl w:val="0"/>
        <w:kinsoku/>
        <w:wordWrap/>
        <w:overflowPunct/>
        <w:topLinePunct w:val="0"/>
        <w:autoSpaceDE/>
        <w:autoSpaceDN/>
        <w:bidi w:val="0"/>
        <w:adjustRightInd/>
        <w:snapToGrid/>
        <w:spacing w:line="520" w:lineRule="exact"/>
        <w:ind w:left="107" w:leftChars="51" w:right="227" w:firstLine="560" w:firstLineChars="200"/>
        <w:textAlignment w:val="auto"/>
        <w:rPr>
          <w:rFonts w:hint="eastAsia" w:ascii="仿宋_GB2312" w:eastAsia="仿宋_GB2312"/>
          <w:sz w:val="28"/>
          <w:szCs w:val="28"/>
        </w:rPr>
      </w:pPr>
      <w:r>
        <w:rPr>
          <w:rFonts w:hint="eastAsia" w:ascii="仿宋_GB2312" w:eastAsia="仿宋_GB2312"/>
          <w:sz w:val="28"/>
          <w:szCs w:val="28"/>
        </w:rPr>
        <w:t>1.创新训练项目是本科生个人或团队，在导师指导下，自主完成创新性实验方法的设计、设备和材料的准备、实验的实施、数据处理与分析、总结报告撰写等工作。</w:t>
      </w:r>
    </w:p>
    <w:p w14:paraId="1D47362E">
      <w:pPr>
        <w:keepNext w:val="0"/>
        <w:keepLines w:val="0"/>
        <w:pageBreakBefore w:val="0"/>
        <w:widowControl w:val="0"/>
        <w:kinsoku/>
        <w:wordWrap/>
        <w:overflowPunct/>
        <w:topLinePunct w:val="0"/>
        <w:autoSpaceDE/>
        <w:autoSpaceDN/>
        <w:bidi w:val="0"/>
        <w:adjustRightInd/>
        <w:snapToGrid/>
        <w:spacing w:line="520" w:lineRule="exact"/>
        <w:ind w:left="107" w:leftChars="51" w:right="227" w:firstLine="560" w:firstLineChars="200"/>
        <w:textAlignment w:val="auto"/>
        <w:rPr>
          <w:rFonts w:hint="eastAsia" w:ascii="仿宋_GB2312" w:eastAsia="仿宋_GB2312"/>
          <w:sz w:val="28"/>
          <w:szCs w:val="28"/>
        </w:rPr>
      </w:pPr>
      <w:r>
        <w:rPr>
          <w:rFonts w:hint="eastAsia" w:ascii="仿宋_GB2312" w:eastAsia="仿宋_GB2312"/>
          <w:sz w:val="28"/>
          <w:szCs w:val="28"/>
        </w:rPr>
        <w:t>2.创业训练项目是本科生团队，在导师指导下，团队中每个学生在项目实施过程中扮演一个或多个具体的角色，通过编制商业计划书、开展可行性研究、模拟企业运行、进行一定程度的验证试验，撰写创业报告等工作。</w:t>
      </w:r>
    </w:p>
    <w:p w14:paraId="7E1DA0C4">
      <w:pPr>
        <w:pStyle w:val="4"/>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color="auto" w:fill="FFFFFF"/>
        <w:kinsoku/>
        <w:wordWrap/>
        <w:overflowPunct/>
        <w:topLinePunct w:val="0"/>
        <w:autoSpaceDE/>
        <w:autoSpaceDN/>
        <w:bidi w:val="0"/>
        <w:adjustRightInd/>
        <w:snapToGrid/>
        <w:spacing w:before="0" w:beforeAutospacing="0" w:after="0" w:afterAutospacing="0" w:line="520" w:lineRule="exact"/>
        <w:ind w:left="0" w:right="0" w:firstLine="560" w:firstLineChars="200"/>
        <w:textAlignment w:val="auto"/>
        <w:rPr>
          <w:rFonts w:hint="default" w:ascii="仿宋_GB2312" w:eastAsia="仿宋_GB2312"/>
          <w:sz w:val="28"/>
          <w:szCs w:val="28"/>
          <w:lang w:val="en-US" w:eastAsia="zh-CN"/>
        </w:rPr>
      </w:pPr>
      <w:r>
        <w:rPr>
          <w:rFonts w:hint="eastAsia" w:ascii="仿宋_GB2312" w:hAnsi="Times New Roman" w:eastAsia="仿宋_GB2312" w:cs="Times New Roman"/>
          <w:kern w:val="2"/>
          <w:sz w:val="28"/>
          <w:szCs w:val="28"/>
          <w:lang w:val="en-US" w:eastAsia="zh-CN" w:bidi="ar-SA"/>
        </w:rPr>
        <w:t>3.创业实践项目是学生团队，在学校导师和企业导师共同指导下，采用创新训练项目或创新性实验等成果，提出具有市场前景的创新性产品或服务，以此为基础开展创业实践活动。</w:t>
      </w:r>
    </w:p>
    <w:p w14:paraId="7DAFB820">
      <w:pPr>
        <w:keepNext w:val="0"/>
        <w:keepLines w:val="0"/>
        <w:pageBreakBefore w:val="0"/>
        <w:widowControl w:val="0"/>
        <w:kinsoku/>
        <w:wordWrap/>
        <w:overflowPunct/>
        <w:topLinePunct w:val="0"/>
        <w:autoSpaceDE/>
        <w:autoSpaceDN/>
        <w:bidi w:val="0"/>
        <w:adjustRightInd/>
        <w:snapToGrid/>
        <w:spacing w:line="520" w:lineRule="exact"/>
        <w:ind w:left="107" w:leftChars="51" w:right="227" w:firstLine="560" w:firstLineChars="200"/>
        <w:textAlignment w:val="auto"/>
        <w:rPr>
          <w:rFonts w:hint="eastAsia" w:ascii="仿宋_GB2312" w:hAnsi="Times New Roman" w:eastAsia="仿宋_GB2312" w:cs="Times New Roman"/>
          <w:kern w:val="2"/>
          <w:sz w:val="28"/>
          <w:szCs w:val="28"/>
          <w:lang w:val="en-US" w:eastAsia="zh-CN" w:bidi="ar-SA"/>
        </w:rPr>
      </w:pPr>
      <w:r>
        <w:rPr>
          <w:rFonts w:hint="eastAsia" w:ascii="仿宋_GB2312" w:eastAsia="仿宋_GB2312"/>
          <w:sz w:val="28"/>
          <w:szCs w:val="28"/>
        </w:rPr>
        <w:t>二、申报书请按顺序逐项填写，填写内容必须实事求是，表达明确严谨。空缺项要填“无”。</w:t>
      </w:r>
      <w:r>
        <w:rPr>
          <w:rFonts w:hint="eastAsia" w:ascii="仿宋_GB2312" w:hAnsi="Times New Roman" w:eastAsia="仿宋_GB2312" w:cs="Times New Roman"/>
          <w:kern w:val="2"/>
          <w:sz w:val="28"/>
          <w:szCs w:val="28"/>
          <w:lang w:val="en-US" w:eastAsia="zh-CN" w:bidi="ar-SA"/>
        </w:rPr>
        <w:t xml:space="preserve">正文填写需采用宋体五号字体、单倍行距、双面印刷、左侧装订成册，注意排版和打印的美观。 </w:t>
      </w:r>
    </w:p>
    <w:p w14:paraId="2A704F60">
      <w:pPr>
        <w:keepNext w:val="0"/>
        <w:keepLines w:val="0"/>
        <w:pageBreakBefore w:val="0"/>
        <w:widowControl w:val="0"/>
        <w:kinsoku/>
        <w:wordWrap/>
        <w:overflowPunct/>
        <w:topLinePunct w:val="0"/>
        <w:autoSpaceDE/>
        <w:autoSpaceDN/>
        <w:bidi w:val="0"/>
        <w:adjustRightInd/>
        <w:snapToGrid/>
        <w:spacing w:line="520" w:lineRule="exact"/>
        <w:ind w:left="107" w:leftChars="51" w:right="227" w:firstLine="560" w:firstLineChars="200"/>
        <w:textAlignment w:val="auto"/>
        <w:rPr>
          <w:rFonts w:hint="eastAsia" w:ascii="仿宋_GB2312" w:eastAsia="仿宋_GB2312"/>
          <w:sz w:val="28"/>
          <w:szCs w:val="28"/>
        </w:rPr>
      </w:pPr>
      <w:r>
        <w:rPr>
          <w:rFonts w:hint="eastAsia" w:ascii="仿宋_GB2312" w:eastAsia="仿宋_GB2312"/>
          <w:sz w:val="28"/>
          <w:szCs w:val="28"/>
        </w:rPr>
        <w:t>三、申请参加大学生创新创业训练计划项目团队的人数含负责人在内不得超过5人。</w:t>
      </w:r>
    </w:p>
    <w:p w14:paraId="4A93E51E">
      <w:pPr>
        <w:keepNext w:val="0"/>
        <w:keepLines w:val="0"/>
        <w:pageBreakBefore w:val="0"/>
        <w:widowControl w:val="0"/>
        <w:kinsoku/>
        <w:wordWrap/>
        <w:overflowPunct/>
        <w:topLinePunct w:val="0"/>
        <w:autoSpaceDE/>
        <w:autoSpaceDN/>
        <w:bidi w:val="0"/>
        <w:adjustRightInd/>
        <w:snapToGrid/>
        <w:spacing w:line="520" w:lineRule="exact"/>
        <w:ind w:left="107" w:leftChars="51" w:right="227" w:firstLine="560" w:firstLineChars="200"/>
        <w:textAlignment w:val="auto"/>
        <w:rPr>
          <w:rFonts w:hint="eastAsia" w:ascii="仿宋_GB2312" w:eastAsia="仿宋_GB2312"/>
          <w:sz w:val="28"/>
          <w:szCs w:val="28"/>
        </w:rPr>
      </w:pPr>
      <w:r>
        <w:rPr>
          <w:rFonts w:hint="eastAsia" w:ascii="仿宋_GB2312" w:eastAsia="仿宋_GB2312"/>
          <w:sz w:val="28"/>
          <w:szCs w:val="28"/>
        </w:rPr>
        <w:t>四、填写完后用A4纸张双面打印，不得随意涂改。</w:t>
      </w:r>
    </w:p>
    <w:p w14:paraId="2342E094">
      <w:pPr>
        <w:keepNext w:val="0"/>
        <w:keepLines w:val="0"/>
        <w:pageBreakBefore w:val="0"/>
        <w:widowControl w:val="0"/>
        <w:kinsoku/>
        <w:wordWrap/>
        <w:overflowPunct/>
        <w:topLinePunct w:val="0"/>
        <w:autoSpaceDE/>
        <w:autoSpaceDN/>
        <w:bidi w:val="0"/>
        <w:adjustRightInd/>
        <w:snapToGrid/>
        <w:spacing w:line="560" w:lineRule="exact"/>
        <w:jc w:val="center"/>
        <w:textAlignment w:val="auto"/>
        <w:rPr>
          <w:rFonts w:ascii="仿宋_GB2312" w:eastAsia="仿宋_GB2312"/>
          <w:b/>
          <w:sz w:val="28"/>
        </w:rPr>
        <w:sectPr>
          <w:pgSz w:w="11906" w:h="16838"/>
          <w:pgMar w:top="1440" w:right="1800" w:bottom="1440" w:left="1800" w:header="851" w:footer="992" w:gutter="0"/>
          <w:pgBorders>
            <w:top w:val="none" w:sz="0" w:space="0"/>
            <w:left w:val="none" w:sz="0" w:space="0"/>
            <w:bottom w:val="none" w:sz="0" w:space="0"/>
            <w:right w:val="none" w:sz="0" w:space="0"/>
          </w:pgBorders>
          <w:cols w:space="720" w:num="1"/>
          <w:docGrid w:type="lines" w:linePitch="312" w:charSpace="0"/>
        </w:sectPr>
      </w:pPr>
    </w:p>
    <w:tbl>
      <w:tblPr>
        <w:tblStyle w:val="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66"/>
        <w:gridCol w:w="360"/>
        <w:gridCol w:w="722"/>
        <w:gridCol w:w="719"/>
        <w:gridCol w:w="548"/>
        <w:gridCol w:w="2335"/>
        <w:gridCol w:w="715"/>
        <w:gridCol w:w="732"/>
        <w:gridCol w:w="2689"/>
      </w:tblGrid>
      <w:tr w14:paraId="6A6A3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5" w:hRule="atLeast"/>
          <w:jc w:val="center"/>
        </w:trPr>
        <w:tc>
          <w:tcPr>
            <w:tcW w:w="1548" w:type="dxa"/>
            <w:gridSpan w:val="3"/>
            <w:noWrap w:val="0"/>
            <w:vAlign w:val="center"/>
          </w:tcPr>
          <w:p w14:paraId="5CDD094F">
            <w:pPr>
              <w:jc w:val="center"/>
              <w:rPr>
                <w:rFonts w:hint="eastAsia" w:ascii="黑体" w:hAnsi="黑体" w:eastAsia="黑体"/>
              </w:rPr>
            </w:pPr>
            <w:r>
              <w:rPr>
                <w:rFonts w:hint="eastAsia" w:ascii="黑体" w:hAnsi="黑体" w:eastAsia="黑体"/>
              </w:rPr>
              <w:t>项目名称</w:t>
            </w:r>
          </w:p>
        </w:tc>
        <w:tc>
          <w:tcPr>
            <w:tcW w:w="7738" w:type="dxa"/>
            <w:gridSpan w:val="6"/>
            <w:noWrap w:val="0"/>
            <w:vAlign w:val="center"/>
          </w:tcPr>
          <w:p w14:paraId="4C9E4EB9">
            <w:pPr>
              <w:jc w:val="center"/>
              <w:rPr>
                <w:rFonts w:hint="eastAsia" w:eastAsia="宋体"/>
                <w:lang w:eastAsia="zh-CN"/>
              </w:rPr>
            </w:pPr>
            <w:r>
              <w:rPr>
                <w:rFonts w:hint="eastAsia"/>
                <w:lang w:eastAsia="zh-CN"/>
              </w:rPr>
              <w:t>基于 LoRa 的南疆滴灌支管道早期故障诊断物联网原型系统</w:t>
            </w:r>
          </w:p>
        </w:tc>
      </w:tr>
      <w:tr w14:paraId="1052C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5" w:hRule="atLeast"/>
          <w:jc w:val="center"/>
        </w:trPr>
        <w:tc>
          <w:tcPr>
            <w:tcW w:w="1548" w:type="dxa"/>
            <w:gridSpan w:val="3"/>
            <w:noWrap w:val="0"/>
            <w:vAlign w:val="center"/>
          </w:tcPr>
          <w:p w14:paraId="40C35CD4">
            <w:pPr>
              <w:jc w:val="center"/>
              <w:rPr>
                <w:rFonts w:hint="default" w:ascii="黑体" w:hAnsi="黑体" w:eastAsia="黑体"/>
                <w:lang w:val="en-US" w:eastAsia="zh-CN"/>
              </w:rPr>
            </w:pPr>
            <w:r>
              <w:rPr>
                <w:rFonts w:hint="eastAsia" w:ascii="黑体" w:hAnsi="黑体" w:eastAsia="黑体"/>
                <w:lang w:val="en-US" w:eastAsia="zh-CN"/>
              </w:rPr>
              <w:t>项目所属专业大类及代码</w:t>
            </w:r>
          </w:p>
        </w:tc>
        <w:tc>
          <w:tcPr>
            <w:tcW w:w="7738" w:type="dxa"/>
            <w:gridSpan w:val="6"/>
            <w:noWrap w:val="0"/>
            <w:vAlign w:val="center"/>
          </w:tcPr>
          <w:p w14:paraId="76D3C73B">
            <w:pPr>
              <w:jc w:val="left"/>
              <w:rPr>
                <w:rFonts w:hint="default" w:eastAsia="宋体"/>
                <w:lang w:val="en-US" w:eastAsia="zh-CN"/>
              </w:rPr>
            </w:pPr>
            <w:r>
              <w:rPr>
                <w:rFonts w:hint="eastAsia" w:ascii="黑体" w:hAnsi="黑体" w:eastAsia="黑体" w:cs="Times New Roman"/>
                <w:lang w:val="en-US" w:eastAsia="zh-CN"/>
              </w:rPr>
              <w:t>电子信息类 0807（提交前按附件6核对）</w:t>
            </w:r>
          </w:p>
        </w:tc>
      </w:tr>
      <w:tr w14:paraId="51851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5" w:hRule="atLeast"/>
          <w:jc w:val="center"/>
        </w:trPr>
        <w:tc>
          <w:tcPr>
            <w:tcW w:w="1548" w:type="dxa"/>
            <w:gridSpan w:val="3"/>
            <w:noWrap w:val="0"/>
            <w:vAlign w:val="center"/>
          </w:tcPr>
          <w:p w14:paraId="49858E53">
            <w:pPr>
              <w:jc w:val="center"/>
              <w:rPr>
                <w:rFonts w:ascii="黑体" w:hAnsi="黑体" w:eastAsia="黑体"/>
              </w:rPr>
            </w:pPr>
            <w:r>
              <w:rPr>
                <w:rFonts w:hint="eastAsia" w:ascii="黑体" w:hAnsi="黑体" w:eastAsia="黑体"/>
              </w:rPr>
              <w:t>项目起止时间</w:t>
            </w:r>
          </w:p>
        </w:tc>
        <w:tc>
          <w:tcPr>
            <w:tcW w:w="7738" w:type="dxa"/>
            <w:gridSpan w:val="6"/>
            <w:noWrap w:val="0"/>
            <w:vAlign w:val="center"/>
          </w:tcPr>
          <w:p w14:paraId="7C6F9E8E">
            <w:pPr>
              <w:jc w:val="center"/>
              <w:rPr>
                <w:rFonts w:hint="eastAsia" w:eastAsia="宋体"/>
                <w:lang w:eastAsia="zh-CN"/>
              </w:rPr>
            </w:pPr>
            <w:r>
              <w:rPr>
                <w:rFonts w:hint="eastAsia" w:ascii="黑体" w:hAnsi="黑体" w:eastAsia="黑体" w:cs="Times New Roman"/>
                <w:lang w:eastAsia="zh-CN"/>
              </w:rPr>
              <w:t>2027年3月至2028年2月</w:t>
            </w:r>
          </w:p>
        </w:tc>
      </w:tr>
      <w:tr w14:paraId="41A6B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35" w:hRule="atLeast"/>
          <w:jc w:val="center"/>
        </w:trPr>
        <w:tc>
          <w:tcPr>
            <w:tcW w:w="466" w:type="dxa"/>
            <w:vMerge w:val="restart"/>
            <w:noWrap w:val="0"/>
            <w:textDirection w:val="tbRlV"/>
            <w:vAlign w:val="center"/>
          </w:tcPr>
          <w:p w14:paraId="10D37174">
            <w:pPr>
              <w:ind w:left="113" w:right="113"/>
              <w:jc w:val="center"/>
              <w:rPr>
                <w:rFonts w:ascii="黑体" w:hAnsi="黑体" w:eastAsia="黑体"/>
              </w:rPr>
            </w:pPr>
            <w:r>
              <w:rPr>
                <w:rFonts w:hint="eastAsia" w:ascii="黑体" w:hAnsi="黑体" w:eastAsia="黑体"/>
              </w:rPr>
              <w:t>负责人</w:t>
            </w:r>
          </w:p>
        </w:tc>
        <w:tc>
          <w:tcPr>
            <w:tcW w:w="1082" w:type="dxa"/>
            <w:gridSpan w:val="2"/>
            <w:noWrap w:val="0"/>
            <w:vAlign w:val="center"/>
          </w:tcPr>
          <w:p w14:paraId="6DB28949">
            <w:pPr>
              <w:jc w:val="center"/>
              <w:rPr>
                <w:rFonts w:ascii="黑体" w:hAnsi="黑体" w:eastAsia="黑体"/>
              </w:rPr>
            </w:pPr>
            <w:r>
              <w:rPr>
                <w:rFonts w:hint="eastAsia" w:ascii="黑体" w:hAnsi="黑体" w:eastAsia="黑体"/>
              </w:rPr>
              <w:t>姓名</w:t>
            </w:r>
          </w:p>
        </w:tc>
        <w:tc>
          <w:tcPr>
            <w:tcW w:w="719" w:type="dxa"/>
            <w:noWrap w:val="0"/>
            <w:vAlign w:val="center"/>
          </w:tcPr>
          <w:p w14:paraId="6F5B5C27">
            <w:pPr>
              <w:jc w:val="center"/>
              <w:rPr>
                <w:rFonts w:ascii="黑体" w:hAnsi="黑体" w:eastAsia="黑体"/>
              </w:rPr>
            </w:pPr>
            <w:r>
              <w:rPr>
                <w:rFonts w:hint="eastAsia" w:ascii="黑体" w:hAnsi="黑体" w:eastAsia="黑体"/>
              </w:rPr>
              <w:t>年级</w:t>
            </w:r>
          </w:p>
        </w:tc>
        <w:tc>
          <w:tcPr>
            <w:tcW w:w="2883" w:type="dxa"/>
            <w:gridSpan w:val="2"/>
            <w:noWrap w:val="0"/>
            <w:vAlign w:val="center"/>
          </w:tcPr>
          <w:p w14:paraId="62BD579D">
            <w:pPr>
              <w:jc w:val="center"/>
              <w:rPr>
                <w:rFonts w:ascii="黑体" w:hAnsi="黑体" w:eastAsia="黑体"/>
              </w:rPr>
            </w:pPr>
            <w:r>
              <w:rPr>
                <w:rFonts w:hint="eastAsia" w:ascii="黑体" w:hAnsi="黑体" w:eastAsia="黑体"/>
              </w:rPr>
              <w:t>所在学院、专业</w:t>
            </w:r>
          </w:p>
        </w:tc>
        <w:tc>
          <w:tcPr>
            <w:tcW w:w="1447" w:type="dxa"/>
            <w:gridSpan w:val="2"/>
            <w:noWrap w:val="0"/>
            <w:vAlign w:val="center"/>
          </w:tcPr>
          <w:p w14:paraId="53F6A5E0">
            <w:pPr>
              <w:jc w:val="center"/>
              <w:rPr>
                <w:rFonts w:ascii="黑体" w:hAnsi="黑体" w:eastAsia="黑体"/>
              </w:rPr>
            </w:pPr>
            <w:r>
              <w:rPr>
                <w:rFonts w:hint="eastAsia" w:ascii="黑体" w:hAnsi="黑体" w:eastAsia="黑体"/>
              </w:rPr>
              <w:t>联系电话</w:t>
            </w:r>
          </w:p>
        </w:tc>
        <w:tc>
          <w:tcPr>
            <w:tcW w:w="2689" w:type="dxa"/>
            <w:noWrap w:val="0"/>
            <w:vAlign w:val="center"/>
          </w:tcPr>
          <w:p w14:paraId="0E971812">
            <w:pPr>
              <w:jc w:val="center"/>
              <w:rPr>
                <w:rFonts w:hint="eastAsia" w:ascii="黑体" w:hAnsi="黑体" w:eastAsia="黑体"/>
              </w:rPr>
            </w:pPr>
            <w:r>
              <w:rPr>
                <w:rFonts w:hint="eastAsia" w:ascii="黑体" w:hAnsi="黑体" w:eastAsia="黑体"/>
              </w:rPr>
              <w:t>E-mail</w:t>
            </w:r>
          </w:p>
        </w:tc>
      </w:tr>
      <w:tr w14:paraId="62F7FC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35" w:hRule="atLeast"/>
          <w:jc w:val="center"/>
        </w:trPr>
        <w:tc>
          <w:tcPr>
            <w:tcW w:w="466" w:type="dxa"/>
            <w:vMerge w:val="continue"/>
            <w:noWrap w:val="0"/>
            <w:textDirection w:val="tbRlV"/>
            <w:vAlign w:val="center"/>
          </w:tcPr>
          <w:p w14:paraId="6FF99F33">
            <w:pPr>
              <w:ind w:left="113" w:right="113"/>
              <w:jc w:val="center"/>
              <w:rPr>
                <w:rFonts w:hint="eastAsia" w:ascii="黑体" w:hAnsi="黑体" w:eastAsia="黑体"/>
              </w:rPr>
            </w:pPr>
          </w:p>
        </w:tc>
        <w:tc>
          <w:tcPr>
            <w:tcW w:w="1082" w:type="dxa"/>
            <w:gridSpan w:val="2"/>
            <w:tcBorders>
              <w:bottom w:val="single" w:color="auto" w:sz="4" w:space="0"/>
            </w:tcBorders>
            <w:noWrap w:val="0"/>
            <w:vAlign w:val="center"/>
          </w:tcPr>
          <w:p w14:paraId="7D47FC25">
            <w:pPr>
              <w:jc w:val="center"/>
              <w:rPr>
                <w:rFonts w:hint="eastAsia" w:eastAsia="宋体"/>
                <w:lang w:eastAsia="zh-CN"/>
              </w:rPr>
            </w:pPr>
            <w:r>
              <w:rPr>
                <w:rFonts w:hint="eastAsia"/>
                <w:lang w:eastAsia="zh-CN"/>
              </w:rPr>
              <w:t>待本人填写</w:t>
            </w:r>
          </w:p>
        </w:tc>
        <w:tc>
          <w:tcPr>
            <w:tcW w:w="719" w:type="dxa"/>
            <w:tcBorders>
              <w:bottom w:val="single" w:color="auto" w:sz="4" w:space="0"/>
            </w:tcBorders>
            <w:noWrap w:val="0"/>
            <w:vAlign w:val="center"/>
          </w:tcPr>
          <w:p w14:paraId="2F5A988D">
            <w:pPr>
              <w:jc w:val="center"/>
              <w:rPr>
                <w:rFonts w:hint="eastAsia" w:eastAsia="宋体"/>
                <w:lang w:eastAsia="zh-CN"/>
              </w:rPr>
            </w:pPr>
            <w:r>
              <w:rPr>
                <w:rFonts w:hint="eastAsia"/>
                <w:lang w:eastAsia="zh-CN"/>
              </w:rPr>
              <w:t>大二</w:t>
            </w:r>
          </w:p>
        </w:tc>
        <w:tc>
          <w:tcPr>
            <w:tcW w:w="2883" w:type="dxa"/>
            <w:gridSpan w:val="2"/>
            <w:tcBorders>
              <w:top w:val="nil"/>
              <w:bottom w:val="single" w:color="auto" w:sz="4" w:space="0"/>
            </w:tcBorders>
            <w:noWrap w:val="0"/>
            <w:vAlign w:val="center"/>
          </w:tcPr>
          <w:p w14:paraId="6F7C2D92">
            <w:pPr>
              <w:jc w:val="center"/>
              <w:rPr>
                <w:rFonts w:hint="eastAsia" w:eastAsia="宋体"/>
                <w:lang w:eastAsia="zh-CN"/>
              </w:rPr>
            </w:pPr>
            <w:r>
              <w:rPr>
                <w:rFonts w:hint="eastAsia"/>
                <w:lang w:eastAsia="zh-CN"/>
              </w:rPr>
              <w:t>信息工程学院 通信专业</w:t>
            </w:r>
          </w:p>
        </w:tc>
        <w:tc>
          <w:tcPr>
            <w:tcW w:w="1447" w:type="dxa"/>
            <w:gridSpan w:val="2"/>
            <w:tcBorders>
              <w:bottom w:val="single" w:color="auto" w:sz="4" w:space="0"/>
            </w:tcBorders>
            <w:noWrap w:val="0"/>
            <w:vAlign w:val="center"/>
          </w:tcPr>
          <w:p w14:paraId="514EA279">
            <w:pPr>
              <w:jc w:val="center"/>
              <w:rPr>
                <w:rFonts w:hint="eastAsia" w:eastAsia="宋体"/>
                <w:lang w:eastAsia="zh-CN"/>
              </w:rPr>
            </w:pPr>
            <w:r>
              <w:rPr>
                <w:rFonts w:hint="eastAsia"/>
                <w:lang w:eastAsia="zh-CN"/>
              </w:rPr>
              <w:t>待填写</w:t>
            </w:r>
          </w:p>
        </w:tc>
        <w:tc>
          <w:tcPr>
            <w:tcW w:w="2689" w:type="dxa"/>
            <w:tcBorders>
              <w:bottom w:val="single" w:color="auto" w:sz="4" w:space="0"/>
            </w:tcBorders>
            <w:noWrap w:val="0"/>
            <w:vAlign w:val="center"/>
          </w:tcPr>
          <w:p w14:paraId="1E86436C">
            <w:pPr>
              <w:jc w:val="center"/>
              <w:rPr>
                <w:rFonts w:hint="eastAsia" w:eastAsia="宋体"/>
                <w:lang w:eastAsia="zh-CN"/>
              </w:rPr>
            </w:pPr>
            <w:r>
              <w:rPr>
                <w:rFonts w:hint="eastAsia"/>
                <w:lang w:eastAsia="zh-CN"/>
              </w:rPr>
              <w:t>待填写</w:t>
            </w:r>
          </w:p>
        </w:tc>
      </w:tr>
      <w:tr w14:paraId="36D0D8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856" w:hRule="atLeast"/>
          <w:jc w:val="center"/>
        </w:trPr>
        <w:tc>
          <w:tcPr>
            <w:tcW w:w="826" w:type="dxa"/>
            <w:gridSpan w:val="2"/>
            <w:noWrap w:val="0"/>
            <w:vAlign w:val="center"/>
          </w:tcPr>
          <w:p w14:paraId="34CE7CF2">
            <w:pPr>
              <w:jc w:val="center"/>
              <w:rPr>
                <w:rFonts w:hint="eastAsia" w:ascii="黑体" w:hAnsi="黑体" w:eastAsia="黑体"/>
              </w:rPr>
            </w:pPr>
            <w:r>
              <w:rPr>
                <w:rFonts w:hint="eastAsia" w:ascii="黑体" w:hAnsi="黑体" w:eastAsia="黑体"/>
              </w:rPr>
              <w:t>参与</w:t>
            </w:r>
            <w:r>
              <w:rPr>
                <w:rFonts w:hint="eastAsia" w:ascii="黑体" w:hAnsi="黑体" w:eastAsia="黑体"/>
                <w:lang w:val="en-US" w:eastAsia="zh-CN"/>
              </w:rPr>
              <w:t>创新创业或科研</w:t>
            </w:r>
            <w:r>
              <w:rPr>
                <w:rFonts w:hint="eastAsia" w:ascii="黑体" w:hAnsi="黑体" w:eastAsia="黑体"/>
              </w:rPr>
              <w:t>情况</w:t>
            </w:r>
          </w:p>
        </w:tc>
        <w:tc>
          <w:tcPr>
            <w:tcW w:w="8460" w:type="dxa"/>
            <w:gridSpan w:val="7"/>
            <w:tcBorders>
              <w:bottom w:val="single" w:color="auto" w:sz="4" w:space="0"/>
            </w:tcBorders>
            <w:noWrap w:val="0"/>
            <w:vAlign w:val="top"/>
          </w:tcPr>
          <w:p w14:paraId="3D907F32">
            <w:pPr>
              <w:jc w:val="both"/>
              <w:rPr>
                <w:rFonts w:hint="eastAsia" w:eastAsia="宋体"/>
                <w:lang w:val="en-US" w:eastAsia="zh-CN"/>
              </w:rPr>
            </w:pPr>
            <w:r>
              <w:rPr>
                <w:rFonts w:hint="eastAsia" w:ascii="黑体" w:hAnsi="黑体" w:eastAsia="黑体" w:cs="Times New Roman"/>
                <w:lang w:val="en-US" w:eastAsia="zh-CN"/>
              </w:rPr>
              <w:t>由负责人据实填写专业学习、实践经历及实际成果。</w:t>
            </w:r>
          </w:p>
        </w:tc>
      </w:tr>
      <w:tr w14:paraId="51D055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35" w:hRule="atLeast"/>
          <w:jc w:val="center"/>
        </w:trPr>
        <w:tc>
          <w:tcPr>
            <w:tcW w:w="466" w:type="dxa"/>
            <w:vMerge w:val="restart"/>
            <w:noWrap w:val="0"/>
            <w:textDirection w:val="tbRlV"/>
            <w:vAlign w:val="center"/>
          </w:tcPr>
          <w:p w14:paraId="47DC61A9">
            <w:pPr>
              <w:ind w:left="113" w:right="113"/>
              <w:jc w:val="center"/>
              <w:rPr>
                <w:rFonts w:hint="eastAsia" w:ascii="黑体" w:hAnsi="黑体" w:eastAsia="黑体"/>
              </w:rPr>
            </w:pPr>
            <w:r>
              <w:rPr>
                <w:rFonts w:hint="eastAsia" w:ascii="黑体" w:hAnsi="黑体" w:eastAsia="黑体"/>
              </w:rPr>
              <w:t>项目组成员</w:t>
            </w:r>
          </w:p>
        </w:tc>
        <w:tc>
          <w:tcPr>
            <w:tcW w:w="1082" w:type="dxa"/>
            <w:gridSpan w:val="2"/>
            <w:tcBorders>
              <w:top w:val="single" w:color="auto" w:sz="4" w:space="0"/>
              <w:bottom w:val="single" w:color="auto" w:sz="4" w:space="0"/>
            </w:tcBorders>
            <w:noWrap w:val="0"/>
            <w:vAlign w:val="center"/>
          </w:tcPr>
          <w:p w14:paraId="1D841A1B">
            <w:pPr>
              <w:jc w:val="center"/>
              <w:rPr>
                <w:rFonts w:ascii="黑体" w:hAnsi="黑体" w:eastAsia="黑体"/>
              </w:rPr>
            </w:pPr>
            <w:r>
              <w:rPr>
                <w:rFonts w:hint="eastAsia" w:ascii="黑体" w:hAnsi="黑体" w:eastAsia="黑体"/>
              </w:rPr>
              <w:t>姓名</w:t>
            </w:r>
          </w:p>
        </w:tc>
        <w:tc>
          <w:tcPr>
            <w:tcW w:w="719" w:type="dxa"/>
            <w:tcBorders>
              <w:top w:val="single" w:color="auto" w:sz="4" w:space="0"/>
              <w:bottom w:val="single" w:color="auto" w:sz="4" w:space="0"/>
            </w:tcBorders>
            <w:noWrap w:val="0"/>
            <w:vAlign w:val="center"/>
          </w:tcPr>
          <w:p w14:paraId="725FB440">
            <w:pPr>
              <w:jc w:val="center"/>
              <w:rPr>
                <w:rFonts w:ascii="黑体" w:hAnsi="黑体" w:eastAsia="黑体"/>
              </w:rPr>
            </w:pPr>
            <w:r>
              <w:rPr>
                <w:rFonts w:hint="eastAsia" w:ascii="黑体" w:hAnsi="黑体" w:eastAsia="黑体"/>
              </w:rPr>
              <w:t>年级</w:t>
            </w:r>
          </w:p>
        </w:tc>
        <w:tc>
          <w:tcPr>
            <w:tcW w:w="2883" w:type="dxa"/>
            <w:gridSpan w:val="2"/>
            <w:tcBorders>
              <w:top w:val="single" w:color="auto" w:sz="4" w:space="0"/>
              <w:bottom w:val="single" w:color="auto" w:sz="4" w:space="0"/>
            </w:tcBorders>
            <w:noWrap w:val="0"/>
            <w:vAlign w:val="center"/>
          </w:tcPr>
          <w:p w14:paraId="6757C02D">
            <w:pPr>
              <w:jc w:val="center"/>
              <w:rPr>
                <w:rFonts w:ascii="黑体" w:hAnsi="黑体" w:eastAsia="黑体"/>
              </w:rPr>
            </w:pPr>
            <w:r>
              <w:rPr>
                <w:rFonts w:hint="eastAsia" w:ascii="黑体" w:hAnsi="黑体" w:eastAsia="黑体"/>
              </w:rPr>
              <w:t>所在学院、专业</w:t>
            </w:r>
          </w:p>
        </w:tc>
        <w:tc>
          <w:tcPr>
            <w:tcW w:w="1447" w:type="dxa"/>
            <w:gridSpan w:val="2"/>
            <w:tcBorders>
              <w:top w:val="single" w:color="auto" w:sz="4" w:space="0"/>
              <w:bottom w:val="single" w:color="auto" w:sz="4" w:space="0"/>
            </w:tcBorders>
            <w:noWrap w:val="0"/>
            <w:vAlign w:val="center"/>
          </w:tcPr>
          <w:p w14:paraId="35B1A3CE">
            <w:pPr>
              <w:jc w:val="center"/>
              <w:rPr>
                <w:rFonts w:ascii="黑体" w:hAnsi="黑体" w:eastAsia="黑体"/>
              </w:rPr>
            </w:pPr>
            <w:r>
              <w:rPr>
                <w:rFonts w:hint="eastAsia" w:ascii="黑体" w:hAnsi="黑体" w:eastAsia="黑体"/>
              </w:rPr>
              <w:t>联系电话</w:t>
            </w:r>
          </w:p>
        </w:tc>
        <w:tc>
          <w:tcPr>
            <w:tcW w:w="2689" w:type="dxa"/>
            <w:tcBorders>
              <w:top w:val="single" w:color="auto" w:sz="4" w:space="0"/>
              <w:bottom w:val="single" w:color="auto" w:sz="4" w:space="0"/>
            </w:tcBorders>
            <w:noWrap w:val="0"/>
            <w:vAlign w:val="center"/>
          </w:tcPr>
          <w:p w14:paraId="3674462A">
            <w:pPr>
              <w:jc w:val="center"/>
              <w:rPr>
                <w:rFonts w:hint="eastAsia" w:ascii="黑体" w:hAnsi="黑体" w:eastAsia="黑体"/>
              </w:rPr>
            </w:pPr>
            <w:r>
              <w:rPr>
                <w:rFonts w:hint="eastAsia" w:ascii="黑体" w:hAnsi="黑体" w:eastAsia="黑体"/>
              </w:rPr>
              <w:t>项目分工</w:t>
            </w:r>
          </w:p>
        </w:tc>
      </w:tr>
      <w:tr w14:paraId="3E200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35" w:hRule="atLeast"/>
          <w:jc w:val="center"/>
        </w:trPr>
        <w:tc>
          <w:tcPr>
            <w:tcW w:w="466" w:type="dxa"/>
            <w:vMerge w:val="continue"/>
            <w:noWrap w:val="0"/>
            <w:textDirection w:val="tbRlV"/>
            <w:vAlign w:val="center"/>
          </w:tcPr>
          <w:p w14:paraId="4BBD7C03">
            <w:pPr>
              <w:ind w:left="113" w:right="113"/>
              <w:jc w:val="center"/>
              <w:rPr>
                <w:rFonts w:hint="eastAsia" w:ascii="黑体" w:hAnsi="黑体" w:eastAsia="黑体"/>
              </w:rPr>
            </w:pPr>
          </w:p>
        </w:tc>
        <w:tc>
          <w:tcPr>
            <w:tcW w:w="1082" w:type="dxa"/>
            <w:gridSpan w:val="2"/>
            <w:tcBorders>
              <w:top w:val="single" w:color="auto" w:sz="4" w:space="0"/>
              <w:bottom w:val="single" w:color="auto" w:sz="4" w:space="0"/>
            </w:tcBorders>
            <w:noWrap w:val="0"/>
            <w:vAlign w:val="center"/>
          </w:tcPr>
          <w:p w14:paraId="0C2D9258">
            <w:pPr>
              <w:jc w:val="center"/>
            </w:pPr>
          </w:p>
        </w:tc>
        <w:tc>
          <w:tcPr>
            <w:tcW w:w="719" w:type="dxa"/>
            <w:tcBorders>
              <w:top w:val="single" w:color="auto" w:sz="4" w:space="0"/>
              <w:bottom w:val="single" w:color="auto" w:sz="4" w:space="0"/>
            </w:tcBorders>
            <w:noWrap w:val="0"/>
            <w:vAlign w:val="center"/>
          </w:tcPr>
          <w:p w14:paraId="06B6CA6E">
            <w:pPr>
              <w:jc w:val="center"/>
              <w:rPr>
                <w:rFonts w:hint="eastAsia"/>
              </w:rPr>
            </w:pPr>
          </w:p>
        </w:tc>
        <w:tc>
          <w:tcPr>
            <w:tcW w:w="2883" w:type="dxa"/>
            <w:gridSpan w:val="2"/>
            <w:tcBorders>
              <w:top w:val="single" w:color="auto" w:sz="4" w:space="0"/>
              <w:bottom w:val="single" w:color="auto" w:sz="4" w:space="0"/>
            </w:tcBorders>
            <w:noWrap w:val="0"/>
            <w:vAlign w:val="center"/>
          </w:tcPr>
          <w:p w14:paraId="77C7C33F">
            <w:pPr>
              <w:jc w:val="center"/>
              <w:rPr>
                <w:rFonts w:hint="eastAsia"/>
              </w:rPr>
            </w:pPr>
          </w:p>
        </w:tc>
        <w:tc>
          <w:tcPr>
            <w:tcW w:w="1447" w:type="dxa"/>
            <w:gridSpan w:val="2"/>
            <w:tcBorders>
              <w:top w:val="single" w:color="auto" w:sz="4" w:space="0"/>
              <w:bottom w:val="single" w:color="auto" w:sz="4" w:space="0"/>
            </w:tcBorders>
            <w:noWrap w:val="0"/>
            <w:vAlign w:val="center"/>
          </w:tcPr>
          <w:p w14:paraId="5B758E26">
            <w:pPr>
              <w:jc w:val="center"/>
              <w:rPr>
                <w:rFonts w:hint="eastAsia"/>
              </w:rPr>
            </w:pPr>
          </w:p>
        </w:tc>
        <w:tc>
          <w:tcPr>
            <w:tcW w:w="2689" w:type="dxa"/>
            <w:tcBorders>
              <w:top w:val="single" w:color="auto" w:sz="4" w:space="0"/>
              <w:bottom w:val="single" w:color="auto" w:sz="4" w:space="0"/>
            </w:tcBorders>
            <w:noWrap w:val="0"/>
            <w:vAlign w:val="center"/>
          </w:tcPr>
          <w:p w14:paraId="7C59A315">
            <w:pPr>
              <w:jc w:val="center"/>
              <w:rPr>
                <w:rFonts w:hint="eastAsia"/>
              </w:rPr>
            </w:pPr>
          </w:p>
        </w:tc>
      </w:tr>
      <w:tr w14:paraId="0BC86A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35" w:hRule="atLeast"/>
          <w:jc w:val="center"/>
        </w:trPr>
        <w:tc>
          <w:tcPr>
            <w:tcW w:w="466" w:type="dxa"/>
            <w:vMerge w:val="continue"/>
            <w:noWrap w:val="0"/>
            <w:textDirection w:val="tbRlV"/>
            <w:vAlign w:val="center"/>
          </w:tcPr>
          <w:p w14:paraId="64851D52">
            <w:pPr>
              <w:ind w:left="113" w:right="113"/>
              <w:jc w:val="center"/>
              <w:rPr>
                <w:rFonts w:hint="eastAsia" w:ascii="黑体" w:hAnsi="黑体" w:eastAsia="黑体"/>
              </w:rPr>
            </w:pPr>
          </w:p>
        </w:tc>
        <w:tc>
          <w:tcPr>
            <w:tcW w:w="1082" w:type="dxa"/>
            <w:gridSpan w:val="2"/>
            <w:tcBorders>
              <w:top w:val="single" w:color="auto" w:sz="4" w:space="0"/>
              <w:bottom w:val="single" w:color="auto" w:sz="4" w:space="0"/>
            </w:tcBorders>
            <w:noWrap w:val="0"/>
            <w:vAlign w:val="center"/>
          </w:tcPr>
          <w:p w14:paraId="59B18183">
            <w:pPr>
              <w:jc w:val="center"/>
            </w:pPr>
          </w:p>
        </w:tc>
        <w:tc>
          <w:tcPr>
            <w:tcW w:w="719" w:type="dxa"/>
            <w:tcBorders>
              <w:top w:val="single" w:color="auto" w:sz="4" w:space="0"/>
              <w:bottom w:val="single" w:color="auto" w:sz="4" w:space="0"/>
            </w:tcBorders>
            <w:noWrap w:val="0"/>
            <w:vAlign w:val="center"/>
          </w:tcPr>
          <w:p w14:paraId="6FCAF31F">
            <w:pPr>
              <w:jc w:val="center"/>
              <w:rPr>
                <w:rFonts w:hint="eastAsia"/>
              </w:rPr>
            </w:pPr>
          </w:p>
        </w:tc>
        <w:tc>
          <w:tcPr>
            <w:tcW w:w="2883" w:type="dxa"/>
            <w:gridSpan w:val="2"/>
            <w:tcBorders>
              <w:top w:val="single" w:color="auto" w:sz="4" w:space="0"/>
              <w:bottom w:val="single" w:color="auto" w:sz="4" w:space="0"/>
            </w:tcBorders>
            <w:noWrap w:val="0"/>
            <w:vAlign w:val="center"/>
          </w:tcPr>
          <w:p w14:paraId="03E36C8A">
            <w:pPr>
              <w:jc w:val="center"/>
              <w:rPr>
                <w:rFonts w:hint="eastAsia"/>
              </w:rPr>
            </w:pPr>
          </w:p>
        </w:tc>
        <w:tc>
          <w:tcPr>
            <w:tcW w:w="1447" w:type="dxa"/>
            <w:gridSpan w:val="2"/>
            <w:tcBorders>
              <w:top w:val="single" w:color="auto" w:sz="4" w:space="0"/>
              <w:bottom w:val="single" w:color="auto" w:sz="4" w:space="0"/>
            </w:tcBorders>
            <w:noWrap w:val="0"/>
            <w:vAlign w:val="center"/>
          </w:tcPr>
          <w:p w14:paraId="2DAAAE27">
            <w:pPr>
              <w:jc w:val="center"/>
              <w:rPr>
                <w:rFonts w:hint="eastAsia"/>
              </w:rPr>
            </w:pPr>
          </w:p>
        </w:tc>
        <w:tc>
          <w:tcPr>
            <w:tcW w:w="2689" w:type="dxa"/>
            <w:tcBorders>
              <w:top w:val="single" w:color="auto" w:sz="4" w:space="0"/>
              <w:bottom w:val="single" w:color="auto" w:sz="4" w:space="0"/>
            </w:tcBorders>
            <w:noWrap w:val="0"/>
            <w:vAlign w:val="center"/>
          </w:tcPr>
          <w:p w14:paraId="487ACA3E">
            <w:pPr>
              <w:jc w:val="center"/>
              <w:rPr>
                <w:rFonts w:hint="eastAsia"/>
              </w:rPr>
            </w:pPr>
          </w:p>
        </w:tc>
      </w:tr>
      <w:tr w14:paraId="55CD7C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35" w:hRule="atLeast"/>
          <w:jc w:val="center"/>
        </w:trPr>
        <w:tc>
          <w:tcPr>
            <w:tcW w:w="466" w:type="dxa"/>
            <w:vMerge w:val="continue"/>
            <w:noWrap w:val="0"/>
            <w:textDirection w:val="tbRlV"/>
            <w:vAlign w:val="center"/>
          </w:tcPr>
          <w:p w14:paraId="52017CBD">
            <w:pPr>
              <w:ind w:left="113" w:right="113"/>
              <w:jc w:val="center"/>
              <w:rPr>
                <w:rFonts w:hint="eastAsia" w:ascii="黑体" w:hAnsi="黑体" w:eastAsia="黑体"/>
              </w:rPr>
            </w:pPr>
          </w:p>
        </w:tc>
        <w:tc>
          <w:tcPr>
            <w:tcW w:w="1082" w:type="dxa"/>
            <w:gridSpan w:val="2"/>
            <w:tcBorders>
              <w:top w:val="single" w:color="auto" w:sz="4" w:space="0"/>
              <w:bottom w:val="single" w:color="auto" w:sz="4" w:space="0"/>
            </w:tcBorders>
            <w:noWrap w:val="0"/>
            <w:vAlign w:val="center"/>
          </w:tcPr>
          <w:p w14:paraId="32D04008">
            <w:pPr>
              <w:jc w:val="center"/>
            </w:pPr>
          </w:p>
        </w:tc>
        <w:tc>
          <w:tcPr>
            <w:tcW w:w="719" w:type="dxa"/>
            <w:tcBorders>
              <w:top w:val="single" w:color="auto" w:sz="4" w:space="0"/>
              <w:bottom w:val="single" w:color="auto" w:sz="4" w:space="0"/>
            </w:tcBorders>
            <w:noWrap w:val="0"/>
            <w:vAlign w:val="center"/>
          </w:tcPr>
          <w:p w14:paraId="42E48F74">
            <w:pPr>
              <w:jc w:val="center"/>
              <w:rPr>
                <w:rFonts w:hint="eastAsia"/>
              </w:rPr>
            </w:pPr>
          </w:p>
        </w:tc>
        <w:tc>
          <w:tcPr>
            <w:tcW w:w="2883" w:type="dxa"/>
            <w:gridSpan w:val="2"/>
            <w:tcBorders>
              <w:top w:val="single" w:color="auto" w:sz="4" w:space="0"/>
              <w:bottom w:val="single" w:color="auto" w:sz="4" w:space="0"/>
            </w:tcBorders>
            <w:noWrap w:val="0"/>
            <w:vAlign w:val="center"/>
          </w:tcPr>
          <w:p w14:paraId="6FB96FF5">
            <w:pPr>
              <w:jc w:val="center"/>
              <w:rPr>
                <w:rFonts w:hint="eastAsia"/>
              </w:rPr>
            </w:pPr>
          </w:p>
        </w:tc>
        <w:tc>
          <w:tcPr>
            <w:tcW w:w="1447" w:type="dxa"/>
            <w:gridSpan w:val="2"/>
            <w:tcBorders>
              <w:top w:val="single" w:color="auto" w:sz="4" w:space="0"/>
              <w:bottom w:val="single" w:color="auto" w:sz="4" w:space="0"/>
            </w:tcBorders>
            <w:noWrap w:val="0"/>
            <w:vAlign w:val="center"/>
          </w:tcPr>
          <w:p w14:paraId="501F5051">
            <w:pPr>
              <w:jc w:val="center"/>
              <w:rPr>
                <w:rFonts w:hint="eastAsia"/>
              </w:rPr>
            </w:pPr>
          </w:p>
        </w:tc>
        <w:tc>
          <w:tcPr>
            <w:tcW w:w="2689" w:type="dxa"/>
            <w:tcBorders>
              <w:top w:val="single" w:color="auto" w:sz="4" w:space="0"/>
              <w:bottom w:val="single" w:color="auto" w:sz="4" w:space="0"/>
            </w:tcBorders>
            <w:noWrap w:val="0"/>
            <w:vAlign w:val="center"/>
          </w:tcPr>
          <w:p w14:paraId="0F6217BA">
            <w:pPr>
              <w:jc w:val="center"/>
              <w:rPr>
                <w:rFonts w:hint="eastAsia"/>
              </w:rPr>
            </w:pPr>
          </w:p>
        </w:tc>
      </w:tr>
      <w:tr w14:paraId="7160C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35" w:hRule="atLeast"/>
          <w:jc w:val="center"/>
        </w:trPr>
        <w:tc>
          <w:tcPr>
            <w:tcW w:w="466" w:type="dxa"/>
            <w:vMerge w:val="continue"/>
            <w:noWrap w:val="0"/>
            <w:textDirection w:val="tbRlV"/>
            <w:vAlign w:val="center"/>
          </w:tcPr>
          <w:p w14:paraId="15153DBC">
            <w:pPr>
              <w:ind w:left="113" w:right="113"/>
              <w:jc w:val="center"/>
              <w:rPr>
                <w:rFonts w:hint="eastAsia" w:ascii="黑体" w:hAnsi="黑体" w:eastAsia="黑体"/>
              </w:rPr>
            </w:pPr>
          </w:p>
        </w:tc>
        <w:tc>
          <w:tcPr>
            <w:tcW w:w="1082" w:type="dxa"/>
            <w:gridSpan w:val="2"/>
            <w:tcBorders>
              <w:top w:val="single" w:color="auto" w:sz="4" w:space="0"/>
              <w:bottom w:val="single" w:color="auto" w:sz="4" w:space="0"/>
            </w:tcBorders>
            <w:noWrap w:val="0"/>
            <w:vAlign w:val="center"/>
          </w:tcPr>
          <w:p w14:paraId="0E618851">
            <w:pPr>
              <w:jc w:val="center"/>
            </w:pPr>
          </w:p>
        </w:tc>
        <w:tc>
          <w:tcPr>
            <w:tcW w:w="719" w:type="dxa"/>
            <w:tcBorders>
              <w:top w:val="single" w:color="auto" w:sz="4" w:space="0"/>
              <w:bottom w:val="single" w:color="auto" w:sz="4" w:space="0"/>
            </w:tcBorders>
            <w:noWrap w:val="0"/>
            <w:vAlign w:val="center"/>
          </w:tcPr>
          <w:p w14:paraId="0F7B3AB8">
            <w:pPr>
              <w:jc w:val="center"/>
              <w:rPr>
                <w:rFonts w:hint="eastAsia"/>
              </w:rPr>
            </w:pPr>
          </w:p>
        </w:tc>
        <w:tc>
          <w:tcPr>
            <w:tcW w:w="2883" w:type="dxa"/>
            <w:gridSpan w:val="2"/>
            <w:tcBorders>
              <w:top w:val="single" w:color="auto" w:sz="4" w:space="0"/>
              <w:bottom w:val="single" w:color="auto" w:sz="4" w:space="0"/>
            </w:tcBorders>
            <w:noWrap w:val="0"/>
            <w:vAlign w:val="center"/>
          </w:tcPr>
          <w:p w14:paraId="26454FFE">
            <w:pPr>
              <w:jc w:val="center"/>
              <w:rPr>
                <w:rFonts w:hint="eastAsia"/>
              </w:rPr>
            </w:pPr>
          </w:p>
        </w:tc>
        <w:tc>
          <w:tcPr>
            <w:tcW w:w="1447" w:type="dxa"/>
            <w:gridSpan w:val="2"/>
            <w:tcBorders>
              <w:top w:val="single" w:color="auto" w:sz="4" w:space="0"/>
              <w:bottom w:val="single" w:color="auto" w:sz="4" w:space="0"/>
            </w:tcBorders>
            <w:noWrap w:val="0"/>
            <w:vAlign w:val="center"/>
          </w:tcPr>
          <w:p w14:paraId="5E0DE496">
            <w:pPr>
              <w:jc w:val="center"/>
              <w:rPr>
                <w:rFonts w:hint="eastAsia"/>
              </w:rPr>
            </w:pPr>
          </w:p>
        </w:tc>
        <w:tc>
          <w:tcPr>
            <w:tcW w:w="2689" w:type="dxa"/>
            <w:tcBorders>
              <w:top w:val="single" w:color="auto" w:sz="4" w:space="0"/>
              <w:bottom w:val="single" w:color="auto" w:sz="4" w:space="0"/>
            </w:tcBorders>
            <w:noWrap w:val="0"/>
            <w:vAlign w:val="center"/>
          </w:tcPr>
          <w:p w14:paraId="369C7983">
            <w:pPr>
              <w:jc w:val="center"/>
              <w:rPr>
                <w:rFonts w:hint="eastAsia"/>
              </w:rPr>
            </w:pPr>
          </w:p>
        </w:tc>
      </w:tr>
      <w:tr w14:paraId="4F874E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0" w:hRule="atLeast"/>
          <w:jc w:val="center"/>
        </w:trPr>
        <w:tc>
          <w:tcPr>
            <w:tcW w:w="466" w:type="dxa"/>
            <w:vMerge w:val="restart"/>
            <w:noWrap w:val="0"/>
            <w:textDirection w:val="tbRlV"/>
            <w:vAlign w:val="center"/>
          </w:tcPr>
          <w:p w14:paraId="7A190086">
            <w:pPr>
              <w:ind w:left="113" w:right="113"/>
              <w:jc w:val="center"/>
              <w:rPr>
                <w:rFonts w:hint="eastAsia" w:ascii="黑体" w:hAnsi="黑体" w:eastAsia="黑体"/>
              </w:rPr>
            </w:pPr>
            <w:r>
              <w:rPr>
                <w:rFonts w:hint="eastAsia" w:ascii="黑体" w:hAnsi="黑体" w:eastAsia="黑体"/>
              </w:rPr>
              <w:t>指导教师</w:t>
            </w:r>
          </w:p>
        </w:tc>
        <w:tc>
          <w:tcPr>
            <w:tcW w:w="1082" w:type="dxa"/>
            <w:gridSpan w:val="2"/>
            <w:tcBorders>
              <w:top w:val="single" w:color="auto" w:sz="4" w:space="0"/>
              <w:bottom w:val="single" w:color="auto" w:sz="4" w:space="0"/>
            </w:tcBorders>
            <w:noWrap w:val="0"/>
            <w:vAlign w:val="center"/>
          </w:tcPr>
          <w:p w14:paraId="286759B8">
            <w:pPr>
              <w:jc w:val="center"/>
              <w:rPr>
                <w:rFonts w:hint="eastAsia" w:ascii="黑体" w:hAnsi="黑体" w:eastAsia="黑体"/>
              </w:rPr>
            </w:pPr>
            <w:r>
              <w:rPr>
                <w:rFonts w:hint="eastAsia" w:ascii="黑体" w:hAnsi="黑体" w:eastAsia="黑体"/>
              </w:rPr>
              <w:t>姓名</w:t>
            </w:r>
          </w:p>
        </w:tc>
        <w:tc>
          <w:tcPr>
            <w:tcW w:w="3602" w:type="dxa"/>
            <w:gridSpan w:val="3"/>
            <w:tcBorders>
              <w:top w:val="single" w:color="auto" w:sz="4" w:space="0"/>
              <w:bottom w:val="single" w:color="auto" w:sz="4" w:space="0"/>
            </w:tcBorders>
            <w:noWrap w:val="0"/>
            <w:vAlign w:val="center"/>
          </w:tcPr>
          <w:p w14:paraId="73657E1F">
            <w:pPr>
              <w:jc w:val="center"/>
              <w:rPr>
                <w:rFonts w:hint="eastAsia"/>
              </w:rPr>
            </w:pPr>
          </w:p>
        </w:tc>
        <w:tc>
          <w:tcPr>
            <w:tcW w:w="1447" w:type="dxa"/>
            <w:gridSpan w:val="2"/>
            <w:tcBorders>
              <w:top w:val="single" w:color="auto" w:sz="4" w:space="0"/>
              <w:bottom w:val="single" w:color="auto" w:sz="4" w:space="0"/>
            </w:tcBorders>
            <w:noWrap w:val="0"/>
            <w:vAlign w:val="center"/>
          </w:tcPr>
          <w:p w14:paraId="2C016D89">
            <w:pPr>
              <w:jc w:val="center"/>
              <w:rPr>
                <w:rFonts w:hint="eastAsia" w:ascii="黑体" w:hAnsi="黑体" w:eastAsia="黑体"/>
              </w:rPr>
            </w:pPr>
            <w:r>
              <w:rPr>
                <w:rFonts w:hint="eastAsia" w:ascii="黑体" w:hAnsi="黑体" w:eastAsia="黑体"/>
              </w:rPr>
              <w:t>职务/职称</w:t>
            </w:r>
          </w:p>
        </w:tc>
        <w:tc>
          <w:tcPr>
            <w:tcW w:w="2689" w:type="dxa"/>
            <w:tcBorders>
              <w:top w:val="single" w:color="auto" w:sz="4" w:space="0"/>
              <w:bottom w:val="single" w:color="auto" w:sz="4" w:space="0"/>
            </w:tcBorders>
            <w:noWrap w:val="0"/>
            <w:vAlign w:val="center"/>
          </w:tcPr>
          <w:p w14:paraId="4BC25779">
            <w:pPr>
              <w:jc w:val="center"/>
              <w:rPr>
                <w:rFonts w:hint="eastAsia"/>
              </w:rPr>
            </w:pPr>
          </w:p>
        </w:tc>
      </w:tr>
      <w:tr w14:paraId="46A4BE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0" w:hRule="atLeast"/>
          <w:jc w:val="center"/>
        </w:trPr>
        <w:tc>
          <w:tcPr>
            <w:tcW w:w="466" w:type="dxa"/>
            <w:vMerge w:val="continue"/>
            <w:noWrap w:val="0"/>
            <w:textDirection w:val="tbRlV"/>
            <w:vAlign w:val="center"/>
          </w:tcPr>
          <w:p w14:paraId="2B0A30D4">
            <w:pPr>
              <w:ind w:left="113" w:right="113"/>
              <w:jc w:val="center"/>
              <w:rPr>
                <w:rFonts w:hint="eastAsia" w:ascii="黑体" w:hAnsi="黑体" w:eastAsia="黑体"/>
              </w:rPr>
            </w:pPr>
          </w:p>
        </w:tc>
        <w:tc>
          <w:tcPr>
            <w:tcW w:w="1082" w:type="dxa"/>
            <w:gridSpan w:val="2"/>
            <w:tcBorders>
              <w:top w:val="single" w:color="auto" w:sz="4" w:space="0"/>
              <w:bottom w:val="single" w:color="auto" w:sz="4" w:space="0"/>
            </w:tcBorders>
            <w:noWrap w:val="0"/>
            <w:vAlign w:val="center"/>
          </w:tcPr>
          <w:p w14:paraId="72B6C025">
            <w:pPr>
              <w:jc w:val="center"/>
              <w:rPr>
                <w:rFonts w:hint="eastAsia" w:ascii="黑体" w:hAnsi="黑体" w:eastAsia="黑体"/>
              </w:rPr>
            </w:pPr>
            <w:r>
              <w:rPr>
                <w:rFonts w:hint="eastAsia" w:ascii="黑体" w:hAnsi="黑体" w:eastAsia="黑体"/>
              </w:rPr>
              <w:t>所在学院</w:t>
            </w:r>
          </w:p>
        </w:tc>
        <w:tc>
          <w:tcPr>
            <w:tcW w:w="3602" w:type="dxa"/>
            <w:gridSpan w:val="3"/>
            <w:tcBorders>
              <w:top w:val="single" w:color="auto" w:sz="4" w:space="0"/>
              <w:bottom w:val="single" w:color="auto" w:sz="4" w:space="0"/>
            </w:tcBorders>
            <w:noWrap w:val="0"/>
            <w:vAlign w:val="center"/>
          </w:tcPr>
          <w:p w14:paraId="66AFBB3B">
            <w:pPr>
              <w:jc w:val="center"/>
              <w:rPr>
                <w:rFonts w:hint="eastAsia"/>
              </w:rPr>
            </w:pPr>
          </w:p>
        </w:tc>
        <w:tc>
          <w:tcPr>
            <w:tcW w:w="1447" w:type="dxa"/>
            <w:gridSpan w:val="2"/>
            <w:tcBorders>
              <w:top w:val="single" w:color="auto" w:sz="4" w:space="0"/>
              <w:bottom w:val="single" w:color="auto" w:sz="4" w:space="0"/>
            </w:tcBorders>
            <w:noWrap w:val="0"/>
            <w:vAlign w:val="center"/>
          </w:tcPr>
          <w:p w14:paraId="5E7D4A52">
            <w:pPr>
              <w:jc w:val="center"/>
              <w:rPr>
                <w:rFonts w:hint="eastAsia" w:ascii="黑体" w:hAnsi="黑体" w:eastAsia="黑体"/>
                <w:lang w:val="en-US" w:eastAsia="zh-CN"/>
              </w:rPr>
            </w:pPr>
            <w:r>
              <w:rPr>
                <w:rFonts w:hint="eastAsia" w:ascii="黑体" w:hAnsi="黑体" w:eastAsia="黑体"/>
                <w:lang w:val="en-US" w:eastAsia="zh-CN"/>
              </w:rPr>
              <w:t>学历</w:t>
            </w:r>
          </w:p>
        </w:tc>
        <w:tc>
          <w:tcPr>
            <w:tcW w:w="2689" w:type="dxa"/>
            <w:tcBorders>
              <w:top w:val="single" w:color="auto" w:sz="4" w:space="0"/>
              <w:bottom w:val="single" w:color="auto" w:sz="4" w:space="0"/>
            </w:tcBorders>
            <w:noWrap w:val="0"/>
            <w:vAlign w:val="center"/>
          </w:tcPr>
          <w:p w14:paraId="2233BCCD">
            <w:pPr>
              <w:jc w:val="center"/>
              <w:rPr>
                <w:rFonts w:hint="eastAsia"/>
              </w:rPr>
            </w:pPr>
          </w:p>
        </w:tc>
      </w:tr>
      <w:tr w14:paraId="06047D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68" w:hRule="atLeast"/>
          <w:jc w:val="center"/>
        </w:trPr>
        <w:tc>
          <w:tcPr>
            <w:tcW w:w="466" w:type="dxa"/>
            <w:vMerge w:val="continue"/>
            <w:noWrap w:val="0"/>
            <w:textDirection w:val="tbRlV"/>
            <w:vAlign w:val="center"/>
          </w:tcPr>
          <w:p w14:paraId="34E36FC0">
            <w:pPr>
              <w:ind w:left="113" w:right="113"/>
              <w:jc w:val="center"/>
              <w:rPr>
                <w:rFonts w:hint="eastAsia"/>
              </w:rPr>
            </w:pPr>
          </w:p>
        </w:tc>
        <w:tc>
          <w:tcPr>
            <w:tcW w:w="1082" w:type="dxa"/>
            <w:gridSpan w:val="2"/>
            <w:tcBorders>
              <w:top w:val="single" w:color="auto" w:sz="4" w:space="0"/>
              <w:bottom w:val="single" w:color="auto" w:sz="4" w:space="0"/>
            </w:tcBorders>
            <w:noWrap w:val="0"/>
            <w:vAlign w:val="center"/>
          </w:tcPr>
          <w:p w14:paraId="3AA05229">
            <w:pPr>
              <w:jc w:val="center"/>
              <w:rPr>
                <w:rFonts w:hint="eastAsia" w:ascii="黑体" w:hAnsi="黑体" w:eastAsia="黑体"/>
              </w:rPr>
            </w:pPr>
            <w:r>
              <w:rPr>
                <w:rFonts w:hint="eastAsia" w:ascii="黑体" w:hAnsi="黑体" w:eastAsia="黑体"/>
              </w:rPr>
              <w:t>联系电话</w:t>
            </w:r>
          </w:p>
        </w:tc>
        <w:tc>
          <w:tcPr>
            <w:tcW w:w="3602" w:type="dxa"/>
            <w:gridSpan w:val="3"/>
            <w:tcBorders>
              <w:top w:val="single" w:color="auto" w:sz="4" w:space="0"/>
              <w:bottom w:val="single" w:color="auto" w:sz="4" w:space="0"/>
            </w:tcBorders>
            <w:noWrap w:val="0"/>
            <w:vAlign w:val="center"/>
          </w:tcPr>
          <w:p w14:paraId="6916B51E">
            <w:pPr>
              <w:jc w:val="center"/>
              <w:rPr>
                <w:rFonts w:hint="eastAsia"/>
              </w:rPr>
            </w:pPr>
          </w:p>
        </w:tc>
        <w:tc>
          <w:tcPr>
            <w:tcW w:w="1447" w:type="dxa"/>
            <w:gridSpan w:val="2"/>
            <w:tcBorders>
              <w:top w:val="single" w:color="auto" w:sz="4" w:space="0"/>
              <w:bottom w:val="single" w:color="auto" w:sz="4" w:space="0"/>
            </w:tcBorders>
            <w:noWrap w:val="0"/>
            <w:vAlign w:val="center"/>
          </w:tcPr>
          <w:p w14:paraId="4049A017">
            <w:pPr>
              <w:jc w:val="center"/>
              <w:rPr>
                <w:rFonts w:hint="eastAsia" w:ascii="黑体" w:hAnsi="黑体" w:eastAsia="黑体"/>
              </w:rPr>
            </w:pPr>
            <w:r>
              <w:rPr>
                <w:rFonts w:hint="eastAsia" w:ascii="黑体" w:hAnsi="黑体" w:eastAsia="黑体"/>
              </w:rPr>
              <w:t>E-mail</w:t>
            </w:r>
          </w:p>
        </w:tc>
        <w:tc>
          <w:tcPr>
            <w:tcW w:w="2689" w:type="dxa"/>
            <w:tcBorders>
              <w:top w:val="single" w:color="auto" w:sz="4" w:space="0"/>
              <w:bottom w:val="single" w:color="auto" w:sz="4" w:space="0"/>
            </w:tcBorders>
            <w:noWrap w:val="0"/>
            <w:vAlign w:val="center"/>
          </w:tcPr>
          <w:p w14:paraId="41E9704D">
            <w:pPr>
              <w:jc w:val="center"/>
              <w:rPr>
                <w:rFonts w:hint="eastAsia"/>
              </w:rPr>
            </w:pPr>
          </w:p>
        </w:tc>
      </w:tr>
      <w:tr w14:paraId="0CCF76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0" w:hRule="atLeast"/>
          <w:jc w:val="center"/>
        </w:trPr>
        <w:tc>
          <w:tcPr>
            <w:tcW w:w="1548" w:type="dxa"/>
            <w:gridSpan w:val="3"/>
            <w:noWrap w:val="0"/>
            <w:vAlign w:val="center"/>
          </w:tcPr>
          <w:p w14:paraId="2D7E1510">
            <w:pPr>
              <w:jc w:val="center"/>
              <w:rPr>
                <w:rFonts w:hint="eastAsia" w:ascii="黑体" w:hAnsi="黑体" w:eastAsia="黑体"/>
              </w:rPr>
            </w:pPr>
            <w:r>
              <w:rPr>
                <w:rFonts w:hint="eastAsia" w:ascii="黑体" w:hAnsi="黑体" w:eastAsia="黑体"/>
              </w:rPr>
              <w:t>导师简介</w:t>
            </w:r>
          </w:p>
        </w:tc>
        <w:tc>
          <w:tcPr>
            <w:tcW w:w="7738" w:type="dxa"/>
            <w:gridSpan w:val="6"/>
            <w:tcBorders>
              <w:top w:val="single" w:color="auto" w:sz="4" w:space="0"/>
              <w:bottom w:val="single" w:color="auto" w:sz="4" w:space="0"/>
            </w:tcBorders>
            <w:noWrap w:val="0"/>
            <w:vAlign w:val="top"/>
          </w:tcPr>
          <w:p w14:paraId="13A9CE90">
            <w:pPr>
              <w:jc w:val="both"/>
              <w:rPr>
                <w:rFonts w:hint="default" w:eastAsia="宋体"/>
                <w:lang w:val="en-US" w:eastAsia="zh-CN"/>
              </w:rPr>
            </w:pPr>
            <w:r>
              <w:rPr>
                <w:rFonts w:hint="eastAsia" w:ascii="黑体" w:hAnsi="黑体" w:eastAsia="黑体" w:cs="Times New Roman"/>
                <w:lang w:val="en-US" w:eastAsia="zh-CN"/>
              </w:rPr>
              <w:t>待指导教师据实填写科研、教学及指导情况。</w:t>
            </w:r>
          </w:p>
        </w:tc>
      </w:tr>
      <w:tr w14:paraId="38E27C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0" w:hRule="atLeast"/>
          <w:jc w:val="center"/>
        </w:trPr>
        <w:tc>
          <w:tcPr>
            <w:tcW w:w="1548" w:type="dxa"/>
            <w:gridSpan w:val="3"/>
            <w:noWrap w:val="0"/>
            <w:vAlign w:val="center"/>
          </w:tcPr>
          <w:p w14:paraId="2B7B51D5">
            <w:pPr>
              <w:jc w:val="center"/>
              <w:rPr>
                <w:rFonts w:hint="default" w:ascii="黑体" w:hAnsi="黑体" w:eastAsia="黑体"/>
                <w:lang w:val="en-US" w:eastAsia="zh-CN"/>
              </w:rPr>
            </w:pPr>
            <w:r>
              <w:rPr>
                <w:rFonts w:hint="eastAsia" w:ascii="黑体" w:hAnsi="黑体" w:eastAsia="黑体"/>
                <w:lang w:val="en-US" w:eastAsia="zh-CN"/>
              </w:rPr>
              <w:t>指导教师可对本项目的支持情况</w:t>
            </w:r>
          </w:p>
        </w:tc>
        <w:tc>
          <w:tcPr>
            <w:tcW w:w="7738" w:type="dxa"/>
            <w:gridSpan w:val="6"/>
            <w:tcBorders>
              <w:top w:val="single" w:color="auto" w:sz="4" w:space="0"/>
              <w:bottom w:val="single" w:color="auto" w:sz="4" w:space="0"/>
            </w:tcBorders>
            <w:noWrap w:val="0"/>
            <w:vAlign w:val="top"/>
          </w:tcPr>
          <w:p w14:paraId="11A5485F">
            <w:pPr>
              <w:jc w:val="both"/>
              <w:rPr>
                <w:rFonts w:hint="eastAsia" w:eastAsia="宋体"/>
                <w:lang w:eastAsia="zh-CN"/>
              </w:rPr>
            </w:pPr>
            <w:r>
              <w:rPr>
                <w:rFonts w:hint="eastAsia"/>
                <w:lang w:eastAsia="zh-CN"/>
              </w:rPr>
              <w:t>待教师确认可提供的实验空间、参考仪器、开发及研究指导条件。</w:t>
            </w:r>
          </w:p>
        </w:tc>
      </w:tr>
      <w:tr w14:paraId="1A4E2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9286" w:type="dxa"/>
            <w:gridSpan w:val="9"/>
            <w:noWrap w:val="0"/>
            <w:vAlign w:val="top"/>
          </w:tcPr>
          <w:p w14:paraId="024B392D">
            <w:pPr>
              <w:keepNext/>
              <w:keepLines/>
              <w:spacing w:beforeLines="50" w:after="100" w:line="240" w:lineRule="auto"/>
              <w:jc w:val="both"/>
              <w:rPr>
                <w:rFonts w:hint="default" w:ascii="Times New Roman" w:hAnsi="Times New Roman" w:eastAsia="宋体" w:cs="Times New Roman"/>
                <w:b/>
                <w:sz w:val="21"/>
                <w:szCs w:val="28"/>
                <w:lang w:eastAsia="zh-CN"/>
              </w:rPr>
            </w:pPr>
            <w:r>
              <w:rPr>
                <w:rFonts w:hint="default" w:ascii="Times New Roman" w:hAnsi="Times New Roman" w:eastAsia="宋体" w:cs="Times New Roman"/>
                <w:b/>
                <w:sz w:val="21"/>
                <w:szCs w:val="28"/>
                <w:lang w:eastAsia="zh-CN"/>
              </w:rPr>
              <w:t>一、项目简介（300字左右）</w:t>
            </w:r>
          </w:p>
          <w:p w14:paraId="4FE4265A">
            <w:pPr>
              <w:keepNext w:val="0"/>
              <w:keepLines/>
              <w:spacing w:beforeLines="50" w:after="100" w:line="240" w:lineRule="auto"/>
              <w:jc w:val="both"/>
              <w:rPr>
                <w:rFonts w:hint="default" w:ascii="Times New Roman" w:hAnsi="Times New Roman" w:eastAsia="宋体" w:cs="Times New Roman"/>
                <w:sz w:val="21"/>
                <w:szCs w:val="28"/>
                <w:lang w:eastAsia="zh-CN"/>
              </w:rPr>
            </w:pPr>
            <w:r>
              <w:rPr>
                <w:rFonts w:hint="default" w:ascii="Times New Roman" w:hAnsi="Times New Roman" w:eastAsia="宋体" w:cs="Times New Roman"/>
                <w:sz w:val="21"/>
                <w:szCs w:val="28"/>
                <w:lang w:eastAsia="zh-CN"/>
              </w:rPr>
              <w:t>本项目面向南疆滴灌支管运行巡检，拟研制由双压力流量感知节点、LoRa接收端和本地管理软件构成的早期故障诊断物联网原型系统。针对供压变化、轮灌切换与渐进故障容易混淆的问题，研究入口压力、下游压力及总流量联合观测下等效泄漏、等效受限的识别条件，建立包含故障程度、独立失效参照、误报和提前量的评价方法；结合事件缓存、确认与去重，研究有限通信量下告警及时送达的取舍。项目将建设双支路清水台架，开展标定、独立重复、跨批次对照和真实无线测试，形成可演示原型、可追溯数据及研究报告，贯通支管监测、告警核查、处置复测与记录归档，为运行维护提供变化证据。当前已完成文献分析、未标定水力模型、合成试验与离线网页，实物及田间验证拟在实施期开展。</w:t>
            </w:r>
          </w:p>
        </w:tc>
      </w:tr>
      <w:tr w14:paraId="308D54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9286" w:type="dxa"/>
            <w:gridSpan w:val="9"/>
            <w:noWrap w:val="0"/>
            <w:vAlign w:val="top"/>
          </w:tcPr>
          <w:p w14:paraId="3528DE74">
            <w:pPr>
              <w:keepNext/>
              <w:keepLines/>
              <w:spacing w:beforeLines="50" w:after="100" w:line="240" w:lineRule="auto"/>
              <w:jc w:val="both"/>
              <w:rPr>
                <w:rFonts w:hint="default" w:ascii="Times New Roman" w:hAnsi="Times New Roman" w:eastAsia="宋体" w:cs="Times New Roman"/>
                <w:b/>
                <w:sz w:val="21"/>
                <w:szCs w:val="28"/>
                <w:lang w:eastAsia="zh-CN"/>
              </w:rPr>
            </w:pPr>
            <w:r>
              <w:rPr>
                <w:rFonts w:hint="default" w:ascii="Times New Roman" w:hAnsi="Times New Roman" w:eastAsia="宋体" w:cs="Times New Roman"/>
                <w:b/>
                <w:sz w:val="21"/>
                <w:szCs w:val="28"/>
                <w:lang w:eastAsia="zh-CN"/>
              </w:rPr>
              <w:t>二、申请理由（包括自身/团队具备的知识条件、特长、兴趣等）</w:t>
            </w:r>
          </w:p>
          <w:p w14:paraId="56D314A9">
            <w:pPr>
              <w:keepNext/>
              <w:keepLines/>
              <w:spacing w:before="140" w:beforeLines="50" w:after="100" w:line="240" w:lineRule="auto"/>
              <w:jc w:val="both"/>
              <w:rPr>
                <w:rFonts w:hint="default" w:ascii="Times New Roman" w:hAnsi="Times New Roman" w:eastAsia="宋体" w:cs="Times New Roman"/>
                <w:b w:val="0"/>
                <w:sz w:val="21"/>
                <w:szCs w:val="28"/>
                <w:lang w:eastAsia="zh-CN"/>
              </w:rPr>
            </w:pPr>
            <w:r>
              <w:rPr>
                <w:rFonts w:hint="default" w:ascii="Times New Roman" w:hAnsi="Times New Roman" w:eastAsia="宋体" w:cs="Times New Roman"/>
                <w:b/>
                <w:sz w:val="21"/>
                <w:szCs w:val="28"/>
                <w:lang w:eastAsia="zh-CN"/>
              </w:rPr>
              <w:t>1 研究目的与应用场景</w:t>
            </w:r>
            <w:r>
              <w:rPr>
                <w:rFonts w:hint="default" w:ascii="Times New Roman" w:hAnsi="Times New Roman" w:eastAsia="宋体" w:cs="Times New Roman"/>
                <w:b w:val="0"/>
                <w:sz w:val="21"/>
                <w:szCs w:val="28"/>
                <w:lang w:eastAsia="zh-CN"/>
              </w:rPr>
              <w:br w:type="textWrapping"/>
            </w:r>
            <w:r>
              <w:rPr>
                <w:rFonts w:hint="default" w:ascii="Times New Roman" w:hAnsi="Times New Roman" w:eastAsia="宋体" w:cs="Times New Roman"/>
                <w:b w:val="0"/>
                <w:sz w:val="21"/>
                <w:szCs w:val="28"/>
                <w:lang w:eastAsia="zh-CN"/>
              </w:rPr>
              <w:t>滴灌支管的渐进变化可能同时受到供压、运行负载、操作状态和故障影响。一个流量下降提示只能说明观测发生了变化，难以直接告诉管理者应检查供水、阀门还是管路。本项目把研究对象放在支管运行巡检：在可观测的变化出现后，及时提供有证据的检查线索，并保留处理前后的数据，支持管理者核查。</w:t>
            </w:r>
          </w:p>
          <w:p w14:paraId="1F52DDAD">
            <w:pPr>
              <w:keepNext w:val="0"/>
              <w:keepLines/>
              <w:spacing w:beforeLines="50" w:after="100" w:line="240" w:lineRule="auto"/>
              <w:jc w:val="both"/>
              <w:rPr>
                <w:rFonts w:hint="default" w:ascii="Times New Roman" w:hAnsi="Times New Roman" w:eastAsia="宋体" w:cs="Times New Roman"/>
                <w:sz w:val="21"/>
                <w:szCs w:val="28"/>
                <w:lang w:eastAsia="zh-CN"/>
              </w:rPr>
            </w:pPr>
            <w:r>
              <w:rPr>
                <w:rFonts w:hint="default" w:ascii="Times New Roman" w:hAnsi="Times New Roman" w:eastAsia="宋体" w:cs="Times New Roman"/>
                <w:sz w:val="21"/>
                <w:szCs w:val="28"/>
                <w:lang w:eastAsia="zh-CN"/>
              </w:rPr>
              <w:t>拟以支管及压力点包围区段作为位置范围，研究水力响应可观测的等效泄漏和等效受限。项目的农业意义在于辅助运行排查；节水、增产等效益还需要独立农学试验，不作为本期已证实结论。南疆场景的实际轮灌方式、供压范围、安装位置与通信条件，将通过后续联系和现场调查校核。</w:t>
            </w:r>
          </w:p>
          <w:p w14:paraId="411350C0">
            <w:pPr>
              <w:keepNext/>
              <w:keepLines/>
              <w:spacing w:before="140" w:beforeLines="50" w:after="100" w:line="240" w:lineRule="auto"/>
              <w:jc w:val="both"/>
              <w:rPr>
                <w:rFonts w:hint="default" w:ascii="Times New Roman" w:hAnsi="Times New Roman" w:eastAsia="宋体" w:cs="Times New Roman"/>
                <w:b w:val="0"/>
                <w:sz w:val="21"/>
                <w:szCs w:val="28"/>
                <w:lang w:eastAsia="zh-CN"/>
              </w:rPr>
            </w:pPr>
            <w:r>
              <w:rPr>
                <w:rFonts w:hint="default" w:ascii="Times New Roman" w:hAnsi="Times New Roman" w:eastAsia="宋体" w:cs="Times New Roman"/>
                <w:b/>
                <w:sz w:val="21"/>
                <w:szCs w:val="28"/>
                <w:lang w:eastAsia="zh-CN"/>
              </w:rPr>
              <w:t>2 专业结合与人员安排</w:t>
            </w:r>
            <w:r>
              <w:rPr>
                <w:rFonts w:hint="default" w:ascii="Times New Roman" w:hAnsi="Times New Roman" w:eastAsia="宋体" w:cs="Times New Roman"/>
                <w:b w:val="0"/>
                <w:sz w:val="21"/>
                <w:szCs w:val="28"/>
                <w:lang w:eastAsia="zh-CN"/>
              </w:rPr>
              <w:br w:type="textWrapping"/>
            </w:r>
            <w:r>
              <w:rPr>
                <w:rFonts w:hint="default" w:ascii="Times New Roman" w:hAnsi="Times New Roman" w:eastAsia="宋体" w:cs="Times New Roman"/>
                <w:b w:val="0"/>
                <w:sz w:val="21"/>
                <w:szCs w:val="28"/>
                <w:lang w:eastAsia="zh-CN"/>
              </w:rPr>
              <w:t>传感采集、嵌入式处理、无线协议和管理软件共同构成通信专业可参与的系统任务。负责人为塔里木大学信息工程学院通信专业大二学生，目前确认具备焊接能力。拟按系统与实验、嵌入式与通信、数据与管理软件配置三个岗位，在导师指导下完成原理学习、程序复现、分工开发和实验审查，团队总人数不超过模板规定的5人。</w:t>
            </w:r>
          </w:p>
          <w:p w14:paraId="7BF0A72F">
            <w:pPr>
              <w:keepNext w:val="0"/>
              <w:keepLines/>
              <w:spacing w:beforeLines="50" w:after="100" w:line="240" w:lineRule="auto"/>
              <w:jc w:val="both"/>
              <w:rPr>
                <w:rFonts w:hint="default" w:ascii="Times New Roman" w:hAnsi="Times New Roman" w:eastAsia="宋体" w:cs="Times New Roman"/>
                <w:sz w:val="21"/>
                <w:szCs w:val="28"/>
                <w:lang w:eastAsia="zh-CN"/>
              </w:rPr>
            </w:pPr>
            <w:r>
              <w:rPr>
                <w:rFonts w:hint="default" w:ascii="Times New Roman" w:hAnsi="Times New Roman" w:eastAsia="宋体" w:cs="Times New Roman"/>
                <w:sz w:val="21"/>
                <w:szCs w:val="28"/>
                <w:lang w:eastAsia="zh-CN"/>
              </w:rPr>
              <w:t>申报前需落实实际成员及开发能力，完成一次核心模型和网页流程的现场讲解与复现。成员经历、导师简介、实验室支持及仪器借用按实际情况填写。当前生成的程序与材料是前期方案基础，成员独立掌握和实施能力仍需训练与验证。</w:t>
            </w:r>
          </w:p>
        </w:tc>
      </w:tr>
      <w:tr w14:paraId="5FA7A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9286" w:type="dxa"/>
            <w:gridSpan w:val="9"/>
            <w:noWrap w:val="0"/>
            <w:vAlign w:val="top"/>
          </w:tcPr>
          <w:p w14:paraId="5B7EDF9A">
            <w:pPr>
              <w:keepNext/>
              <w:keepLines/>
              <w:spacing w:beforeLines="50" w:after="100" w:line="240" w:lineRule="auto"/>
              <w:jc w:val="both"/>
              <w:rPr>
                <w:rFonts w:hint="default" w:ascii="Times New Roman" w:hAnsi="Times New Roman" w:eastAsia="宋体" w:cs="Times New Roman"/>
                <w:b/>
                <w:sz w:val="21"/>
                <w:szCs w:val="28"/>
                <w:lang w:val="en-US" w:eastAsia="zh-CN"/>
              </w:rPr>
            </w:pPr>
            <w:r>
              <w:rPr>
                <w:rFonts w:hint="default" w:ascii="Times New Roman" w:hAnsi="Times New Roman" w:eastAsia="宋体" w:cs="Times New Roman"/>
                <w:b/>
                <w:sz w:val="21"/>
                <w:szCs w:val="28"/>
                <w:lang w:val="en-US" w:eastAsia="zh-CN"/>
              </w:rPr>
              <w:t>三、项目方案（项目内容、项目目标、技术路线、实验方案、要解决的主要问题）</w:t>
            </w:r>
          </w:p>
          <w:p w14:paraId="5AF903BA">
            <w:pPr>
              <w:keepNext/>
              <w:keepLines/>
              <w:spacing w:before="140" w:beforeLines="50" w:after="100" w:line="240" w:lineRule="auto"/>
              <w:jc w:val="both"/>
              <w:rPr>
                <w:rFonts w:hint="default" w:ascii="Times New Roman" w:hAnsi="Times New Roman" w:eastAsia="宋体" w:cs="Times New Roman"/>
                <w:b w:val="0"/>
                <w:sz w:val="21"/>
                <w:szCs w:val="28"/>
                <w:lang w:val="en-US" w:eastAsia="zh-CN"/>
              </w:rPr>
            </w:pPr>
            <w:r>
              <w:rPr>
                <w:rFonts w:hint="default" w:ascii="Times New Roman" w:hAnsi="Times New Roman" w:eastAsia="宋体" w:cs="Times New Roman"/>
                <w:b/>
                <w:sz w:val="21"/>
                <w:szCs w:val="28"/>
                <w:lang w:val="en-US" w:eastAsia="zh-CN"/>
              </w:rPr>
              <w:t>1 系统组成与任务分工</w:t>
            </w:r>
            <w:r>
              <w:rPr>
                <w:rFonts w:hint="default" w:ascii="Times New Roman" w:hAnsi="Times New Roman" w:eastAsia="宋体" w:cs="Times New Roman"/>
                <w:b w:val="0"/>
                <w:sz w:val="21"/>
                <w:szCs w:val="28"/>
                <w:lang w:val="en-US" w:eastAsia="zh-CN"/>
              </w:rPr>
              <w:br w:type="textWrapping"/>
            </w:r>
            <w:r>
              <w:rPr>
                <w:rFonts w:hint="default" w:ascii="Times New Roman" w:hAnsi="Times New Roman" w:eastAsia="宋体" w:cs="Times New Roman"/>
                <w:b w:val="0"/>
                <w:sz w:val="21"/>
                <w:szCs w:val="28"/>
                <w:lang w:val="en-US" w:eastAsia="zh-CN"/>
              </w:rPr>
              <w:t>本项目建设面向支管巡检的感知、诊断、无线告警与管理原型，基础配置为1个P0/P1/Q感知节点、1个LoRa接收端、1套双支路清水台架和1套本地Web管理软件。节点将有效测量与运行状态关联，给出有条件的故障模式或待检查提示；接收端保存事件证据，管理者据此核查、记录处置并复测；复测证据不足时保留待检查状态。独立参考测量和操作日志用于检验提示是否正确、是否提前以及何时送达，不能用检测器自己的输出替代实验标签。图1给出系统组成及评价数据的来源。</w:t>
            </w:r>
          </w:p>
          <w:p w14:paraId="65673C3C">
            <w:pPr>
              <w:keepNext w:val="0"/>
              <w:keepLines/>
              <w:spacing w:beforeLines="50" w:after="100" w:line="240" w:lineRule="auto"/>
              <w:jc w:val="center"/>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pict>
                <v:shape id="_x0000_i1026" o:spt="75" alt="图1 支管巡检系统组成与独立评价关系 设计方案" type="#_x0000_t75" style="height:267.25pt;width:425pt;" filled="f" o:preferrelative="t" stroked="f" coordsize="21600,21600">
                  <v:path/>
                  <v:fill on="f" focussize="0,0"/>
                  <v:stroke on="f"/>
                  <v:imagedata r:id="rId6" o:title="system_scope"/>
                  <o:lock v:ext="edit" aspectratio="t"/>
                  <w10:wrap type="none"/>
                  <w10:anchorlock/>
                </v:shape>
              </w:pict>
            </w:r>
            <w:r>
              <w:rPr>
                <w:rFonts w:hint="eastAsia" w:ascii="Times New Roman" w:hAnsi="Times New Roman" w:cs="Times New Roman"/>
                <w:sz w:val="21"/>
                <w:szCs w:val="28"/>
                <w:lang w:val="en-US" w:eastAsia="zh-CN"/>
              </w:rPr>
              <w:br w:type="textWrapping"/>
            </w:r>
            <w:r>
              <w:rPr>
                <w:rFonts w:hint="eastAsia" w:ascii="Times New Roman" w:hAnsi="Times New Roman" w:cs="Times New Roman"/>
                <w:sz w:val="18"/>
                <w:szCs w:val="28"/>
                <w:lang w:val="en-US" w:eastAsia="zh-CN"/>
              </w:rPr>
              <w:t>图1 支管巡检系统组成与独立评价关系 设计方案</w:t>
            </w:r>
          </w:p>
          <w:p w14:paraId="22C1C5A1">
            <w:pPr>
              <w:keepNext w:val="0"/>
              <w:keepLines/>
              <w:spacing w:beforeLines="50" w:after="100" w:line="240" w:lineRule="auto"/>
              <w:jc w:val="both"/>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系统按感知测量、有限诊断、可靠告警和管理核查四项任务组织，表2分别规定其验证证据。系统运行链贯通监测、告警、人工核查、处置记录和同工况复测；软件按证据归档事件，自动阀控不列入本期基础任务。人工标记已查看不能代替异常解除或实物修复。一个节点用于研究一个被监测区段，双支路用于制造共同供水与正常切换条件；它们并不代表已完成多节点田间部署。增加节点和现场适应性试验以资助、许可和测量质量为条件。</w:t>
            </w:r>
          </w:p>
          <w:p w14:paraId="526A3BCE">
            <w:pPr>
              <w:keepNext/>
              <w:keepLines/>
              <w:spacing w:before="140" w:beforeLines="50" w:after="100" w:line="240" w:lineRule="auto"/>
              <w:jc w:val="both"/>
              <w:rPr>
                <w:rFonts w:hint="default" w:ascii="Times New Roman" w:hAnsi="Times New Roman" w:eastAsia="宋体" w:cs="Times New Roman"/>
                <w:b w:val="0"/>
                <w:sz w:val="21"/>
                <w:szCs w:val="28"/>
                <w:lang w:val="en-US" w:eastAsia="zh-CN"/>
              </w:rPr>
            </w:pPr>
            <w:r>
              <w:rPr>
                <w:rFonts w:hint="default" w:ascii="Times New Roman" w:hAnsi="Times New Roman" w:eastAsia="宋体" w:cs="Times New Roman"/>
                <w:b/>
                <w:sz w:val="21"/>
                <w:szCs w:val="28"/>
                <w:lang w:val="en-US" w:eastAsia="zh-CN"/>
              </w:rPr>
              <w:t>2 水力感知与台架设计</w:t>
            </w:r>
          </w:p>
          <w:p w14:paraId="453CB917">
            <w:pPr>
              <w:keepNext/>
              <w:keepLines/>
              <w:spacing w:before="140" w:beforeLines="50" w:after="100" w:line="240" w:lineRule="auto"/>
              <w:jc w:val="both"/>
              <w:rPr>
                <w:rFonts w:hint="default" w:ascii="Times New Roman" w:hAnsi="Times New Roman" w:eastAsia="宋体" w:cs="Times New Roman"/>
                <w:b w:val="0"/>
                <w:sz w:val="21"/>
                <w:szCs w:val="28"/>
                <w:lang w:val="en-US" w:eastAsia="zh-CN"/>
              </w:rPr>
            </w:pPr>
            <w:r>
              <w:rPr>
                <w:rFonts w:hint="default" w:ascii="Times New Roman" w:hAnsi="Times New Roman" w:eastAsia="宋体" w:cs="Times New Roman"/>
                <w:b/>
                <w:sz w:val="21"/>
                <w:szCs w:val="28"/>
                <w:lang w:val="en-US" w:eastAsia="zh-CN"/>
              </w:rPr>
              <w:t>2.1 布点与故障注入</w:t>
            </w:r>
            <w:r>
              <w:rPr>
                <w:rFonts w:hint="default" w:ascii="Times New Roman" w:hAnsi="Times New Roman" w:eastAsia="宋体" w:cs="Times New Roman"/>
                <w:b w:val="0"/>
                <w:sz w:val="21"/>
                <w:szCs w:val="28"/>
                <w:lang w:val="en-US" w:eastAsia="zh-CN"/>
              </w:rPr>
              <w:br w:type="textWrapping"/>
            </w:r>
            <w:r>
              <w:rPr>
                <w:rFonts w:hint="default" w:ascii="Times New Roman" w:hAnsi="Times New Roman" w:eastAsia="宋体" w:cs="Times New Roman"/>
                <w:b w:val="0"/>
                <w:sz w:val="21"/>
                <w:szCs w:val="28"/>
                <w:lang w:val="en-US" w:eastAsia="zh-CN"/>
              </w:rPr>
              <w:t>P0位于监测区段入口，P1位于集中受限元件下游，Q位于泄漏旁路与A负载分流之前，记录两者的总流量；B支路连接同一供水源，用于模拟其他轮灌负载或正常切换。A支路逐步打开泄漏旁路模拟等效泄漏，逐步调节受限元件模拟局部阻力增加，分别记录操作、收集量和参考读数。图2用蓝色、绿色、橙色分别区分供水、正常负载与泄漏路径，限定观测区段与两种故障的注入位置。</w:t>
            </w:r>
          </w:p>
          <w:p w14:paraId="4F423894">
            <w:pPr>
              <w:keepNext w:val="0"/>
              <w:keepLines/>
              <w:spacing w:beforeLines="50" w:after="100" w:line="240" w:lineRule="auto"/>
              <w:jc w:val="center"/>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pict>
                <v:shape id="_x0000_i1027" o:spt="75" alt="图2 双压力流量布点与双支路台架设计" type="#_x0000_t75" style="height:294.45pt;width:425pt;" filled="f" o:preferrelative="t" stroked="f" coordsize="21600,21600">
                  <v:path/>
                  <v:fill on="f" focussize="0,0"/>
                  <v:stroke on="f"/>
                  <v:imagedata r:id="rId7" o:title="dual_pressure_layout"/>
                  <o:lock v:ext="edit" aspectratio="t"/>
                  <w10:wrap type="none"/>
                  <w10:anchorlock/>
                </v:shape>
              </w:pict>
            </w:r>
            <w:r>
              <w:rPr>
                <w:rFonts w:hint="eastAsia" w:ascii="Times New Roman" w:hAnsi="Times New Roman" w:cs="Times New Roman"/>
                <w:sz w:val="21"/>
                <w:szCs w:val="28"/>
                <w:lang w:val="en-US" w:eastAsia="zh-CN"/>
              </w:rPr>
              <w:br w:type="textWrapping"/>
            </w:r>
            <w:r>
              <w:rPr>
                <w:rFonts w:hint="eastAsia" w:ascii="Times New Roman" w:hAnsi="Times New Roman" w:cs="Times New Roman"/>
                <w:sz w:val="18"/>
                <w:szCs w:val="28"/>
                <w:lang w:val="en-US" w:eastAsia="zh-CN"/>
              </w:rPr>
              <w:t>图2 双压力流量布点与双支路台架设计</w:t>
            </w:r>
          </w:p>
          <w:p w14:paraId="2AC20E98">
            <w:pPr>
              <w:keepNext w:val="0"/>
              <w:keepLines/>
              <w:spacing w:beforeLines="50" w:after="100" w:line="240" w:lineRule="auto"/>
              <w:jc w:val="both"/>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台架拟采用可调供水、支管、调节阀、三通、回水及泄漏收集装置。装配时先校核螺纹、密封、排气和传感器安装位置，再检查稳定供水与回水条件，最后开展切换和故障操作。泄漏支路保留独立收集与计时，以校核故障程度；B支路只承担正常负载切换，不注入第二类故障。节流阀用于模拟水力受限，所得结论不延伸到滴头沉积、生物膜或真实堵塞材料的形成机理。</w:t>
            </w:r>
          </w:p>
          <w:p w14:paraId="165041DC">
            <w:pPr>
              <w:keepNext w:val="0"/>
              <w:keepLines/>
              <w:spacing w:beforeLines="50" w:after="100" w:line="240" w:lineRule="auto"/>
              <w:jc w:val="both"/>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台架的物理布置与水力关系分别论证。图3按暂定900×520mm底板、140mm管中心高度建立参数化装配概念，补充弯头、三通、活接、侧向取压、管夹支撑及采集盒。正常回水与泄漏收集分开，泄漏出口高于容器口20mm。模型保留STEP实体及彩色网格，另附俯视与局部交互视图。该模型用于实施前核对水路、测点及检修空间，为标定、可控故障注入和重复实验提供布置依据；900×520mm不是必须采购的定制平台规格。管径、器件包络及接头尺寸暂定，采购后须核定，尚未制造或实测。</w:t>
            </w:r>
          </w:p>
          <w:p w14:paraId="1F4B8FDB">
            <w:pPr>
              <w:keepNext w:val="0"/>
              <w:keepLines/>
              <w:spacing w:beforeLines="50" w:after="100" w:line="240" w:lineRule="auto"/>
              <w:jc w:val="center"/>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pict>
                <v:shape id="_x0000_i1028" o:spt="75" alt="图3 双支路清水台架参数化装配布局 器件与安装尺寸待核定" type="#_x0000_t75" style="height:366.95pt;width:425pt;" filled="f" o:preferrelative="t" stroked="f" coordsize="21600,21600">
                  <v:path/>
                  <v:fill on="f" focussize="0,0"/>
                  <v:stroke on="f"/>
                  <v:imagedata r:id="rId8" o:title="bench_model"/>
                  <o:lock v:ext="edit" aspectratio="t"/>
                  <w10:wrap type="none"/>
                  <w10:anchorlock/>
                </v:shape>
              </w:pict>
            </w:r>
            <w:r>
              <w:rPr>
                <w:rFonts w:hint="eastAsia" w:ascii="Times New Roman" w:hAnsi="Times New Roman" w:cs="Times New Roman"/>
                <w:sz w:val="21"/>
                <w:szCs w:val="28"/>
                <w:lang w:val="en-US" w:eastAsia="zh-CN"/>
              </w:rPr>
              <w:br w:type="textWrapping"/>
            </w:r>
            <w:r>
              <w:rPr>
                <w:rFonts w:hint="eastAsia" w:ascii="Times New Roman" w:hAnsi="Times New Roman" w:cs="Times New Roman"/>
                <w:sz w:val="18"/>
                <w:szCs w:val="28"/>
                <w:lang w:val="en-US" w:eastAsia="zh-CN"/>
              </w:rPr>
              <w:t>图3 双支路清水台架参数化装配布局 器件与安装尺寸待核定</w:t>
            </w:r>
          </w:p>
          <w:p w14:paraId="2FB06B75">
            <w:pPr>
              <w:keepNext w:val="0"/>
              <w:keepLines/>
              <w:spacing w:beforeLines="50" w:after="100" w:line="240" w:lineRule="auto"/>
              <w:jc w:val="both"/>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泄漏出口采用自由出流，独立收集装置不得形成背压或淹没出口。图中小容器仅表示收集位置，不能直接用于长时间计量；实际按最大泄漏流量与计量时长确定容积，并配置托盘和回水操作。供水稳定性、排气、流量计要求的安装条件及电子盒与水路的隔离需在装配前核查。田间部署保留P0/P1/Q与节点接口，另设计固定和防护，不搬用整套实验台架作为田间成品。</w:t>
            </w:r>
          </w:p>
          <w:p w14:paraId="7C58F4D3">
            <w:pPr>
              <w:keepNext/>
              <w:keepLines/>
              <w:spacing w:before="140" w:beforeLines="50" w:after="100" w:line="240" w:lineRule="auto"/>
              <w:jc w:val="both"/>
              <w:rPr>
                <w:rFonts w:hint="default" w:ascii="Times New Roman" w:hAnsi="Times New Roman" w:eastAsia="宋体" w:cs="Times New Roman"/>
                <w:b w:val="0"/>
                <w:sz w:val="21"/>
                <w:szCs w:val="28"/>
                <w:lang w:val="en-US" w:eastAsia="zh-CN"/>
              </w:rPr>
            </w:pPr>
            <w:r>
              <w:rPr>
                <w:rFonts w:hint="default" w:ascii="Times New Roman" w:hAnsi="Times New Roman" w:eastAsia="宋体" w:cs="Times New Roman"/>
                <w:b/>
                <w:sz w:val="21"/>
                <w:szCs w:val="28"/>
                <w:lang w:val="en-US" w:eastAsia="zh-CN"/>
              </w:rPr>
              <w:t>2.2 节点硬件与数据采集</w:t>
            </w:r>
            <w:r>
              <w:rPr>
                <w:rFonts w:hint="default" w:ascii="Times New Roman" w:hAnsi="Times New Roman" w:eastAsia="宋体" w:cs="Times New Roman"/>
                <w:b w:val="0"/>
                <w:sz w:val="21"/>
                <w:szCs w:val="28"/>
                <w:lang w:val="en-US" w:eastAsia="zh-CN"/>
              </w:rPr>
              <w:br w:type="textWrapping"/>
            </w:r>
            <w:r>
              <w:rPr>
                <w:rFonts w:hint="default" w:ascii="Times New Roman" w:hAnsi="Times New Roman" w:eastAsia="宋体" w:cs="Times New Roman"/>
                <w:b w:val="0"/>
                <w:sz w:val="21"/>
                <w:szCs w:val="28"/>
                <w:lang w:val="en-US" w:eastAsia="zh-CN"/>
              </w:rPr>
              <w:t>节点主控拟采用STM32F103C8T6最小系统板，压力经电流采样电阻和ADS1115接入I²C，流量经电平转换接入定时计数，LoRa经UART连接，microSD经SPI保存原始记录。接收端采用另一只LoRa模块与3.3V USB-TTL连接已有电脑，以Python串口接收、SQLite存储和本地Web提供查看确认。该配置先完成开发板原型，减少自制PCB与第二主控的开发负担。各接口及采购约束集中列于表1，图4专门论证双压力模拟前端。</w:t>
            </w:r>
          </w:p>
          <w:p w14:paraId="5D2DD179">
            <w:pPr>
              <w:keepNext w:val="0"/>
              <w:keepLines/>
              <w:spacing w:beforeLines="50" w:after="100" w:line="240" w:lineRule="auto"/>
              <w:jc w:val="center"/>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pict>
                <v:shape id="_x0000_i1029" o:spt="75" alt="图4 两线制压力变送器与双通道ADC采集原理 保护元件待验证" type="#_x0000_t75" style="height:271.8pt;width:425pt;" filled="f" o:preferrelative="t" stroked="f" coordsize="21600,21600">
                  <v:path/>
                  <v:fill on="f" focussize="0,0"/>
                  <v:stroke on="f"/>
                  <v:imagedata r:id="rId9" o:title="pressure_frontend"/>
                  <o:lock v:ext="edit" aspectratio="t"/>
                  <w10:wrap type="none"/>
                  <w10:anchorlock/>
                </v:shape>
              </w:pict>
            </w:r>
            <w:r>
              <w:rPr>
                <w:rFonts w:hint="eastAsia" w:ascii="Times New Roman" w:hAnsi="Times New Roman" w:cs="Times New Roman"/>
                <w:sz w:val="21"/>
                <w:szCs w:val="28"/>
                <w:lang w:val="en-US" w:eastAsia="zh-CN"/>
              </w:rPr>
              <w:br w:type="textWrapping"/>
            </w:r>
            <w:r>
              <w:rPr>
                <w:rFonts w:hint="eastAsia" w:ascii="Times New Roman" w:hAnsi="Times New Roman" w:cs="Times New Roman"/>
                <w:sz w:val="18"/>
                <w:szCs w:val="28"/>
                <w:lang w:val="en-US" w:eastAsia="zh-CN"/>
              </w:rPr>
              <w:t>图4 两线制压力变送器与双通道ADC采集原理 保护元件待验证</w:t>
            </w:r>
          </w:p>
          <w:p w14:paraId="13372AE5">
            <w:pPr>
              <w:keepNext w:val="0"/>
              <w:keepLines/>
              <w:spacing w:beforeLines="50" w:after="100" w:line="240" w:lineRule="auto"/>
              <w:jc w:val="both"/>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依据MPM489选型资料的两线制4—20mA输出，拟用24V供电及150Ω精密采样电阻，把电流转换为0.6—3.0V；满量程电阻耗散为0.06W。候选电阻暂按0.1%公差、额定功率不低于0.25W选取，误差与温漂仍纳入标定。ADS1115拟以3.3V供电、±4.096V增益档分时采集，两路保留各自转换时间。增益档不扩大引脚允许电压范围，限流、保护、故障电流及共地布局需按器件手册设计并实测。图4是台架采集原理，尚非已验证PCB或现场隔离防雷设计。</w:t>
            </w:r>
          </w:p>
          <w:p w14:paraId="4509C9ED">
            <w:pPr>
              <w:keepNext w:val="0"/>
              <w:keepLines/>
              <w:spacing w:beforeLines="50" w:after="100" w:line="240" w:lineRule="auto"/>
              <w:jc w:val="both"/>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表1列出国内有供应资料的候选器件。型号按接口、测量范围和报价核定后冻结，尚未采购或完成接线。厂家资料、候选产品配图和国内采购入口保留在配套选型记录与网站，产品外观不作为本项目样机成果。</w:t>
            </w:r>
          </w:p>
          <w:tbl>
            <w:tblPr>
              <w:tblStyle w:val="6"/>
              <w:tblW w:w="8500" w:type="dxa"/>
              <w:tblInd w:w="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500"/>
            </w:tblGrid>
            <w:tr w14:paraId="60C440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9070" w:type="dxa"/>
                  <w:tcBorders>
                    <w:tl2br w:val="nil"/>
                    <w:tr2bl w:val="nil"/>
                  </w:tcBorders>
                </w:tcPr>
                <w:p w14:paraId="3EB62577">
                  <w:pPr>
                    <w:keepNext w:val="0"/>
                    <w:keepLines/>
                    <w:spacing w:beforeLines="50" w:after="140" w:line="240" w:lineRule="auto"/>
                    <w:jc w:val="both"/>
                    <w:rPr>
                      <w:rFonts w:hint="eastAsia" w:ascii="Times New Roman" w:hAnsi="Times New Roman" w:cs="Times New Roman"/>
                      <w:b/>
                      <w:sz w:val="21"/>
                      <w:szCs w:val="28"/>
                      <w:vertAlign w:val="baseline"/>
                      <w:lang w:val="en-US" w:eastAsia="zh-CN"/>
                    </w:rPr>
                  </w:pPr>
                  <w:r>
                    <w:rPr>
                      <w:rFonts w:hint="eastAsia" w:ascii="Times New Roman" w:hAnsi="Times New Roman" w:cs="Times New Roman"/>
                      <w:b/>
                      <w:sz w:val="21"/>
                      <w:szCs w:val="28"/>
                      <w:vertAlign w:val="baseline"/>
                      <w:lang w:val="en-US" w:eastAsia="zh-CN"/>
                    </w:rPr>
                    <w:t>表1 基础原型候选器件与接口</w:t>
                  </w:r>
                </w:p>
                <w:tbl>
                  <w:tblPr>
                    <w:tblStyle w:val="6"/>
                    <w:tblW w:w="8500" w:type="dxa"/>
                    <w:tblInd w:w="3" w:type="dxa"/>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Layout w:type="fixed"/>
                    <w:tblCellMar>
                      <w:top w:w="60" w:type="dxa"/>
                      <w:left w:w="100" w:type="dxa"/>
                      <w:bottom w:w="60" w:type="dxa"/>
                      <w:right w:w="100" w:type="dxa"/>
                    </w:tblCellMar>
                  </w:tblPr>
                  <w:tblGrid>
                    <w:gridCol w:w="1700"/>
                    <w:gridCol w:w="3300"/>
                    <w:gridCol w:w="3500"/>
                  </w:tblGrid>
                  <w:tr w14:paraId="1448A1EA">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60" w:type="dxa"/>
                        <w:left w:w="100" w:type="dxa"/>
                        <w:bottom w:w="60" w:type="dxa"/>
                        <w:right w:w="100" w:type="dxa"/>
                      </w:tblCellMar>
                    </w:tblPrEx>
                    <w:trPr>
                      <w:cantSplit/>
                      <w:tblHeader/>
                    </w:trPr>
                    <w:tc>
                      <w:tcPr>
                        <w:tcW w:w="1700" w:type="dxa"/>
                        <w:tcBorders>
                          <w:tl2br w:val="nil"/>
                          <w:tr2bl w:val="nil"/>
                        </w:tcBorders>
                        <w:shd w:val="clear" w:color="auto" w:fill="EDEDED"/>
                        <w:vAlign w:val="center"/>
                      </w:tcPr>
                      <w:p w14:paraId="082904CE">
                        <w:pPr>
                          <w:keepNext/>
                          <w:keepLines/>
                          <w:spacing w:beforeLines="50" w:after="40" w:line="240" w:lineRule="auto"/>
                          <w:jc w:val="both"/>
                          <w:rPr>
                            <w:rFonts w:hint="default" w:ascii="Times New Roman" w:hAnsi="Times New Roman" w:eastAsia="宋体" w:cs="Times New Roman"/>
                            <w:b/>
                            <w:sz w:val="19"/>
                            <w:szCs w:val="28"/>
                            <w:vertAlign w:val="baseline"/>
                            <w:lang w:val="en-US" w:eastAsia="zh-CN"/>
                          </w:rPr>
                        </w:pPr>
                        <w:r>
                          <w:rPr>
                            <w:rFonts w:hint="eastAsia" w:ascii="Times New Roman" w:hAnsi="Times New Roman" w:cs="Times New Roman"/>
                            <w:b/>
                            <w:sz w:val="19"/>
                            <w:szCs w:val="28"/>
                            <w:vertAlign w:val="baseline"/>
                            <w:lang w:val="en-US" w:eastAsia="zh-CN"/>
                          </w:rPr>
                          <w:t>器件与数量</w:t>
                        </w:r>
                      </w:p>
                    </w:tc>
                    <w:tc>
                      <w:tcPr>
                        <w:tcW w:w="3300" w:type="dxa"/>
                        <w:tcBorders>
                          <w:tl2br w:val="nil"/>
                          <w:tr2bl w:val="nil"/>
                        </w:tcBorders>
                        <w:shd w:val="clear" w:color="auto" w:fill="EDEDED"/>
                        <w:vAlign w:val="center"/>
                      </w:tcPr>
                      <w:p w14:paraId="7B2E648B">
                        <w:pPr>
                          <w:keepNext/>
                          <w:keepLines/>
                          <w:spacing w:beforeLines="50" w:after="40" w:line="240" w:lineRule="auto"/>
                          <w:jc w:val="both"/>
                          <w:rPr>
                            <w:rFonts w:hint="default" w:ascii="Times New Roman" w:hAnsi="Times New Roman" w:eastAsia="宋体" w:cs="Times New Roman"/>
                            <w:b/>
                            <w:sz w:val="19"/>
                            <w:szCs w:val="28"/>
                            <w:vertAlign w:val="baseline"/>
                            <w:lang w:val="en-US" w:eastAsia="zh-CN"/>
                          </w:rPr>
                        </w:pPr>
                        <w:r>
                          <w:rPr>
                            <w:rFonts w:hint="eastAsia" w:ascii="Times New Roman" w:hAnsi="Times New Roman" w:cs="Times New Roman"/>
                            <w:b/>
                            <w:sz w:val="19"/>
                            <w:szCs w:val="28"/>
                            <w:vertAlign w:val="baseline"/>
                            <w:lang w:val="en-US" w:eastAsia="zh-CN"/>
                          </w:rPr>
                          <w:t>候选配置</w:t>
                        </w:r>
                      </w:p>
                    </w:tc>
                    <w:tc>
                      <w:tcPr>
                        <w:tcW w:w="3500" w:type="dxa"/>
                        <w:tcBorders>
                          <w:tl2br w:val="nil"/>
                          <w:tr2bl w:val="nil"/>
                        </w:tcBorders>
                        <w:shd w:val="clear" w:color="auto" w:fill="EDEDED"/>
                        <w:vAlign w:val="center"/>
                      </w:tcPr>
                      <w:p w14:paraId="1AB33792">
                        <w:pPr>
                          <w:keepNext/>
                          <w:keepLines/>
                          <w:spacing w:beforeLines="50" w:after="40" w:line="240" w:lineRule="auto"/>
                          <w:jc w:val="both"/>
                          <w:rPr>
                            <w:rFonts w:hint="default" w:ascii="Times New Roman" w:hAnsi="Times New Roman" w:eastAsia="宋体" w:cs="Times New Roman"/>
                            <w:b/>
                            <w:sz w:val="19"/>
                            <w:szCs w:val="28"/>
                            <w:vertAlign w:val="baseline"/>
                            <w:lang w:val="en-US" w:eastAsia="zh-CN"/>
                          </w:rPr>
                        </w:pPr>
                        <w:r>
                          <w:rPr>
                            <w:rFonts w:hint="eastAsia" w:ascii="Times New Roman" w:hAnsi="Times New Roman" w:cs="Times New Roman"/>
                            <w:b/>
                            <w:sz w:val="19"/>
                            <w:szCs w:val="28"/>
                            <w:vertAlign w:val="baseline"/>
                            <w:lang w:val="en-US" w:eastAsia="zh-CN"/>
                          </w:rPr>
                          <w:t>接入与核对条件</w:t>
                        </w:r>
                      </w:p>
                    </w:tc>
                  </w:tr>
                  <w:tr w14:paraId="15D47316">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60" w:type="dxa"/>
                        <w:left w:w="100" w:type="dxa"/>
                        <w:bottom w:w="60" w:type="dxa"/>
                        <w:right w:w="100" w:type="dxa"/>
                      </w:tblCellMar>
                    </w:tblPrEx>
                    <w:trPr>
                      <w:cantSplit/>
                    </w:trPr>
                    <w:tc>
                      <w:tcPr>
                        <w:tcW w:w="1700" w:type="dxa"/>
                        <w:tcBorders>
                          <w:tl2br w:val="nil"/>
                          <w:tr2bl w:val="nil"/>
                        </w:tcBorders>
                        <w:shd w:val="clear" w:color="auto" w:fill="FFFFFF"/>
                        <w:vAlign w:val="center"/>
                      </w:tcPr>
                      <w:p w14:paraId="5B767018">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主控与日志</w:t>
                        </w:r>
                      </w:p>
                    </w:tc>
                    <w:tc>
                      <w:tcPr>
                        <w:tcW w:w="3300" w:type="dxa"/>
                        <w:tcBorders>
                          <w:tl2br w:val="nil"/>
                          <w:tr2bl w:val="nil"/>
                        </w:tcBorders>
                        <w:shd w:val="clear" w:color="auto" w:fill="FFFFFF"/>
                        <w:vAlign w:val="center"/>
                      </w:tcPr>
                      <w:p w14:paraId="23D7B458">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STM32F103C8T6×1及microSD</w:t>
                        </w:r>
                      </w:p>
                    </w:tc>
                    <w:tc>
                      <w:tcPr>
                        <w:tcW w:w="3500" w:type="dxa"/>
                        <w:tcBorders>
                          <w:tl2br w:val="nil"/>
                          <w:tr2bl w:val="nil"/>
                        </w:tcBorders>
                        <w:shd w:val="clear" w:color="auto" w:fill="FFFFFF"/>
                        <w:vAlign w:val="center"/>
                      </w:tcPr>
                      <w:p w14:paraId="342C3479">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I²C、计数、UART、SPI资源；存储与掉电恢复</w:t>
                        </w:r>
                      </w:p>
                    </w:tc>
                  </w:tr>
                  <w:tr w14:paraId="1AE344F8">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60" w:type="dxa"/>
                        <w:left w:w="100" w:type="dxa"/>
                        <w:bottom w:w="60" w:type="dxa"/>
                        <w:right w:w="100" w:type="dxa"/>
                      </w:tblCellMar>
                    </w:tblPrEx>
                    <w:trPr>
                      <w:cantSplit/>
                    </w:trPr>
                    <w:tc>
                      <w:tcPr>
                        <w:tcW w:w="1700" w:type="dxa"/>
                        <w:tcBorders>
                          <w:tl2br w:val="nil"/>
                          <w:tr2bl w:val="nil"/>
                        </w:tcBorders>
                        <w:shd w:val="clear" w:color="auto" w:fill="FFFFFF"/>
                        <w:vAlign w:val="center"/>
                      </w:tcPr>
                      <w:p w14:paraId="3C34F240">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双压力</w:t>
                        </w:r>
                      </w:p>
                    </w:tc>
                    <w:tc>
                      <w:tcPr>
                        <w:tcW w:w="3300" w:type="dxa"/>
                        <w:tcBorders>
                          <w:tl2br w:val="nil"/>
                          <w:tr2bl w:val="nil"/>
                        </w:tcBorders>
                        <w:shd w:val="clear" w:color="auto" w:fill="FFFFFF"/>
                        <w:vAlign w:val="center"/>
                      </w:tcPr>
                      <w:p w14:paraId="1059B761">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MPM489系列×2，K200表压</w:t>
                        </w:r>
                      </w:p>
                    </w:tc>
                    <w:tc>
                      <w:tcPr>
                        <w:tcW w:w="3500" w:type="dxa"/>
                        <w:tcBorders>
                          <w:tl2br w:val="nil"/>
                          <w:tr2bl w:val="nil"/>
                        </w:tcBorders>
                        <w:shd w:val="clear" w:color="auto" w:fill="FFFFFF"/>
                        <w:vAlign w:val="center"/>
                      </w:tcPr>
                      <w:p w14:paraId="0B884386">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0—200kPa、4—20mA，按目录±0.25%FS核对；待询价</w:t>
                        </w:r>
                      </w:p>
                    </w:tc>
                  </w:tr>
                  <w:tr w14:paraId="7DD5CB0D">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60" w:type="dxa"/>
                        <w:left w:w="100" w:type="dxa"/>
                        <w:bottom w:w="60" w:type="dxa"/>
                        <w:right w:w="100" w:type="dxa"/>
                      </w:tblCellMar>
                    </w:tblPrEx>
                    <w:trPr>
                      <w:cantSplit/>
                    </w:trPr>
                    <w:tc>
                      <w:tcPr>
                        <w:tcW w:w="1700" w:type="dxa"/>
                        <w:tcBorders>
                          <w:tl2br w:val="nil"/>
                          <w:tr2bl w:val="nil"/>
                        </w:tcBorders>
                        <w:shd w:val="clear" w:color="auto" w:fill="FFFFFF"/>
                        <w:vAlign w:val="center"/>
                      </w:tcPr>
                      <w:p w14:paraId="47D90790">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流量</w:t>
                        </w:r>
                      </w:p>
                    </w:tc>
                    <w:tc>
                      <w:tcPr>
                        <w:tcW w:w="3300" w:type="dxa"/>
                        <w:tcBorders>
                          <w:tl2br w:val="nil"/>
                          <w:tr2bl w:val="nil"/>
                        </w:tcBorders>
                        <w:shd w:val="clear" w:color="auto" w:fill="FFFFFF"/>
                        <w:vAlign w:val="center"/>
                      </w:tcPr>
                      <w:p w14:paraId="00F4899B">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SEN0549 G1/4×1</w:t>
                        </w:r>
                      </w:p>
                    </w:tc>
                    <w:tc>
                      <w:tcPr>
                        <w:tcW w:w="3500" w:type="dxa"/>
                        <w:tcBorders>
                          <w:tl2br w:val="nil"/>
                          <w:tr2bl w:val="nil"/>
                        </w:tcBorders>
                        <w:shd w:val="clear" w:color="auto" w:fill="FFFFFF"/>
                        <w:vAlign w:val="center"/>
                      </w:tcPr>
                      <w:p w14:paraId="2F580E14">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0.3—5L/min；5V脉冲需转换至3.3V</w:t>
                        </w:r>
                      </w:p>
                    </w:tc>
                  </w:tr>
                  <w:tr w14:paraId="3EF970D8">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60" w:type="dxa"/>
                        <w:left w:w="100" w:type="dxa"/>
                        <w:bottom w:w="60" w:type="dxa"/>
                        <w:right w:w="100" w:type="dxa"/>
                      </w:tblCellMar>
                    </w:tblPrEx>
                    <w:trPr>
                      <w:cantSplit/>
                    </w:trPr>
                    <w:tc>
                      <w:tcPr>
                        <w:tcW w:w="1700" w:type="dxa"/>
                        <w:tcBorders>
                          <w:tl2br w:val="nil"/>
                          <w:tr2bl w:val="nil"/>
                        </w:tcBorders>
                        <w:shd w:val="clear" w:color="auto" w:fill="FFFFFF"/>
                        <w:vAlign w:val="center"/>
                      </w:tcPr>
                      <w:p w14:paraId="04973B21">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压力ADC</w:t>
                        </w:r>
                      </w:p>
                    </w:tc>
                    <w:tc>
                      <w:tcPr>
                        <w:tcW w:w="3300" w:type="dxa"/>
                        <w:tcBorders>
                          <w:tl2br w:val="nil"/>
                          <w:tr2bl w:val="nil"/>
                        </w:tcBorders>
                        <w:shd w:val="clear" w:color="auto" w:fill="FFFFFF"/>
                        <w:vAlign w:val="center"/>
                      </w:tcPr>
                      <w:p w14:paraId="6346E46A">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ADS1115模块×1</w:t>
                        </w:r>
                      </w:p>
                    </w:tc>
                    <w:tc>
                      <w:tcPr>
                        <w:tcW w:w="3500" w:type="dxa"/>
                        <w:tcBorders>
                          <w:tl2br w:val="nil"/>
                          <w:tr2bl w:val="nil"/>
                        </w:tcBorders>
                        <w:shd w:val="clear" w:color="auto" w:fill="FFFFFF"/>
                        <w:vAlign w:val="center"/>
                      </w:tcPr>
                      <w:p w14:paraId="1831AEB7">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两路150Ω采样，0.6—3.0V；分时转换需记录错位</w:t>
                        </w:r>
                      </w:p>
                    </w:tc>
                  </w:tr>
                  <w:tr w14:paraId="2D923B10">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60" w:type="dxa"/>
                        <w:left w:w="100" w:type="dxa"/>
                        <w:bottom w:w="60" w:type="dxa"/>
                        <w:right w:w="100" w:type="dxa"/>
                      </w:tblCellMar>
                    </w:tblPrEx>
                    <w:trPr>
                      <w:cantSplit/>
                    </w:trPr>
                    <w:tc>
                      <w:tcPr>
                        <w:tcW w:w="1700" w:type="dxa"/>
                        <w:tcBorders>
                          <w:tl2br w:val="nil"/>
                          <w:tr2bl w:val="nil"/>
                        </w:tcBorders>
                        <w:shd w:val="clear" w:color="auto" w:fill="FFFFFF"/>
                        <w:vAlign w:val="center"/>
                      </w:tcPr>
                      <w:p w14:paraId="04DD1102">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无线接收</w:t>
                        </w:r>
                      </w:p>
                    </w:tc>
                    <w:tc>
                      <w:tcPr>
                        <w:tcW w:w="3300" w:type="dxa"/>
                        <w:tcBorders>
                          <w:tl2br w:val="nil"/>
                          <w:tr2bl w:val="nil"/>
                        </w:tcBorders>
                        <w:shd w:val="clear" w:color="auto" w:fill="FFFFFF"/>
                        <w:vAlign w:val="center"/>
                      </w:tcPr>
                      <w:p w14:paraId="34BA31AF">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E220-400T22D×2及天线</w:t>
                        </w:r>
                      </w:p>
                    </w:tc>
                    <w:tc>
                      <w:tcPr>
                        <w:tcW w:w="3500" w:type="dxa"/>
                        <w:tcBorders>
                          <w:tl2br w:val="nil"/>
                          <w:tr2bl w:val="nil"/>
                        </w:tcBorders>
                        <w:shd w:val="clear" w:color="auto" w:fill="FFFFFF"/>
                        <w:vAlign w:val="center"/>
                      </w:tcPr>
                      <w:p w14:paraId="7B313276">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UART；接收端USB-TTL接电脑，射频参数实测冻结</w:t>
                        </w:r>
                      </w:p>
                    </w:tc>
                  </w:tr>
                  <w:tr w14:paraId="72FC461D">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60" w:type="dxa"/>
                        <w:left w:w="100" w:type="dxa"/>
                        <w:bottom w:w="60" w:type="dxa"/>
                        <w:right w:w="100" w:type="dxa"/>
                      </w:tblCellMar>
                    </w:tblPrEx>
                    <w:trPr>
                      <w:cantSplit/>
                    </w:trPr>
                    <w:tc>
                      <w:tcPr>
                        <w:tcW w:w="1700" w:type="dxa"/>
                        <w:tcBorders>
                          <w:tl2br w:val="nil"/>
                          <w:tr2bl w:val="nil"/>
                        </w:tcBorders>
                        <w:shd w:val="clear" w:color="auto" w:fill="FFFFFF"/>
                        <w:vAlign w:val="center"/>
                      </w:tcPr>
                      <w:p w14:paraId="4C5B6966">
                        <w:pPr>
                          <w:keepNext w:val="0"/>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水路与参考</w:t>
                        </w:r>
                      </w:p>
                    </w:tc>
                    <w:tc>
                      <w:tcPr>
                        <w:tcW w:w="3300" w:type="dxa"/>
                        <w:tcBorders>
                          <w:tl2br w:val="nil"/>
                          <w:tr2bl w:val="nil"/>
                        </w:tcBorders>
                        <w:shd w:val="clear" w:color="auto" w:fill="FFFFFF"/>
                        <w:vAlign w:val="center"/>
                      </w:tcPr>
                      <w:p w14:paraId="065D13E1">
                        <w:pPr>
                          <w:keepNext w:val="0"/>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双支路、阀、回水、独立参考</w:t>
                        </w:r>
                      </w:p>
                    </w:tc>
                    <w:tc>
                      <w:tcPr>
                        <w:tcW w:w="3500" w:type="dxa"/>
                        <w:tcBorders>
                          <w:tl2br w:val="nil"/>
                          <w:tr2bl w:val="nil"/>
                        </w:tcBorders>
                        <w:shd w:val="clear" w:color="auto" w:fill="FFFFFF"/>
                        <w:vAlign w:val="center"/>
                      </w:tcPr>
                      <w:p w14:paraId="27525DB8">
                        <w:pPr>
                          <w:keepNext w:val="0"/>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优先借可调连续水源；核对工作点、精度及螺纹</w:t>
                        </w:r>
                      </w:p>
                    </w:tc>
                  </w:tr>
                </w:tbl>
                <w:p w14:paraId="197C57CC">
                  <w:pPr>
                    <w:keepNext w:val="0"/>
                    <w:keepLines/>
                    <w:spacing w:beforeLines="50" w:after="100" w:line="240" w:lineRule="auto"/>
                    <w:jc w:val="both"/>
                    <w:rPr>
                      <w:rFonts w:hint="default" w:ascii="Times New Roman" w:hAnsi="Times New Roman" w:cs="Times New Roman"/>
                      <w:sz w:val="21"/>
                      <w:szCs w:val="28"/>
                      <w:vertAlign w:val="baseline"/>
                      <w:lang w:val="en-US" w:eastAsia="zh-CN"/>
                    </w:rPr>
                  </w:pPr>
                </w:p>
              </w:tc>
            </w:tr>
          </w:tbl>
          <w:p w14:paraId="76C2375D">
            <w:pPr>
              <w:keepNext w:val="0"/>
              <w:keepLines/>
              <w:spacing w:beforeLines="50" w:after="100" w:line="240" w:lineRule="auto"/>
              <w:jc w:val="both"/>
              <w:rPr>
                <w:rFonts w:hint="default" w:ascii="Times New Roman" w:hAnsi="Times New Roman" w:eastAsia="宋体" w:cs="Times New Roman"/>
                <w:sz w:val="21"/>
                <w:szCs w:val="28"/>
                <w:lang w:val="en-US" w:eastAsia="zh-CN"/>
              </w:rPr>
            </w:pPr>
          </w:p>
          <w:p w14:paraId="030115A1">
            <w:pPr>
              <w:keepNext w:val="0"/>
              <w:keepLines/>
              <w:spacing w:beforeLines="50" w:after="100" w:line="240" w:lineRule="auto"/>
              <w:jc w:val="both"/>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软件拟以1秒为首轮记录间隔保存P0、P1、Q及阀态，记录原始值、标定后值、转换时间和无效原因。流量拟采用10秒滚动脉冲计数并保留原始计数；时间窗与压力分时采集带来的延迟、错位纳入评价。整机供电与连接按台架先实现，现场安装另做适应性检查。采购入口和厂家资料另附《国内硬件选型与可行性核对》，淘宝入口不作为已购或现货证据。</w:t>
            </w:r>
          </w:p>
          <w:p w14:paraId="17E6C523">
            <w:pPr>
              <w:keepNext w:val="0"/>
              <w:keepLines/>
              <w:spacing w:beforeLines="50" w:after="100" w:line="240" w:lineRule="auto"/>
              <w:jc w:val="both"/>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采集程序按启动恢复、定时采样、质量检查、窗口对齐、状态关联和日志追加执行，质量及状态分支与诊断统一见图6。量程外、缺测和明显非物理读数输出无效原因；状态未知或切换等待期间继续保存原始记录，暂缓单一故障原因判断。质量筛选条件、等待时间和健康参照编号均写入配置，后续评价同时报告被暂缓判断的时间比例及该时段发生的异常。</w:t>
            </w:r>
          </w:p>
          <w:p w14:paraId="202240AE">
            <w:pPr>
              <w:keepNext/>
              <w:keepLines/>
              <w:spacing w:before="140" w:beforeLines="50" w:after="100" w:line="240" w:lineRule="auto"/>
              <w:jc w:val="both"/>
              <w:rPr>
                <w:rFonts w:hint="default" w:ascii="Times New Roman" w:hAnsi="Times New Roman" w:eastAsia="宋体" w:cs="Times New Roman"/>
                <w:b w:val="0"/>
                <w:sz w:val="21"/>
                <w:szCs w:val="28"/>
                <w:lang w:val="en-US" w:eastAsia="zh-CN"/>
              </w:rPr>
            </w:pPr>
            <w:r>
              <w:rPr>
                <w:rFonts w:hint="default" w:ascii="Times New Roman" w:hAnsi="Times New Roman" w:eastAsia="宋体" w:cs="Times New Roman"/>
                <w:b/>
                <w:sz w:val="21"/>
                <w:szCs w:val="28"/>
                <w:lang w:val="en-US" w:eastAsia="zh-CN"/>
              </w:rPr>
              <w:t>2.3 标定与等效模型</w:t>
            </w:r>
            <w:r>
              <w:rPr>
                <w:rFonts w:hint="default" w:ascii="Times New Roman" w:hAnsi="Times New Roman" w:eastAsia="宋体" w:cs="Times New Roman"/>
                <w:b w:val="0"/>
                <w:sz w:val="21"/>
                <w:szCs w:val="28"/>
                <w:lang w:val="en-US" w:eastAsia="zh-CN"/>
              </w:rPr>
              <w:br w:type="textWrapping"/>
            </w:r>
            <w:r>
              <w:rPr>
                <w:rFonts w:hint="default" w:ascii="Times New Roman" w:hAnsi="Times New Roman" w:eastAsia="宋体" w:cs="Times New Roman"/>
                <w:b w:val="0"/>
                <w:sz w:val="21"/>
                <w:szCs w:val="28"/>
                <w:lang w:val="en-US" w:eastAsia="zh-CN"/>
              </w:rPr>
              <w:t>压力采用参考表进行多点校核，流量采用容积或称重计时形成独立参照，记录零点、重复性、有效量程及同步误差。双压力的收益取决于健康压降是否大于差压不确定度；压差小于测量误差时，先调整量程、布点或试验程度，再进入辨识研究。</w:t>
            </w:r>
          </w:p>
          <w:p w14:paraId="53C3A278">
            <w:pPr>
              <w:keepNext w:val="0"/>
              <w:keepLines/>
              <w:spacing w:beforeLines="50" w:after="100" w:line="240" w:lineRule="auto"/>
              <w:jc w:val="both"/>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借鉴丁法龙等“建模—测压测流校核”的论证方式[2]，对图2区段采用P0−P1=R·Q²、Q=(Cₙ+Cₗ)·√P1，共同供水阻力连接A、B支路。R增加模拟受限，Cₗ增加模拟泄漏；未知正常负载Cₙ增加也可能产生同样观测。模型假定非压力补偿负载、理想同步和单故障，仅用于测点筛选、量程核对与反例分析，参数尚未实物标定。P用kPa、Q用L/min，R及C单位分别为kPa/(L/min)²、(L/min)/√kPa。</w:t>
            </w:r>
          </w:p>
          <w:p w14:paraId="43A819BC">
            <w:pPr>
              <w:keepNext w:val="0"/>
              <w:keepLines/>
              <w:spacing w:beforeLines="50" w:after="100" w:line="240" w:lineRule="auto"/>
              <w:jc w:val="both"/>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预实验在多档健康供压和B状态下测定压力—流量关系，检验残差与重复性，再冻结健康参照及适用范围。流量计、接头和阀门压损计入测量，不沿用理想系数。负载为压力补偿型或实测不符合平方律时，修订模型及特征；本期不代替CFD、水锤或完整管网标定。</w:t>
            </w:r>
          </w:p>
          <w:p w14:paraId="66E47491">
            <w:pPr>
              <w:keepNext w:val="0"/>
              <w:keepLines/>
              <w:spacing w:beforeLines="50" w:after="100" w:line="240" w:lineRule="auto"/>
              <w:jc w:val="both"/>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据候选目录，200kPa、±0.25%FS压力通道单项界限为±0.5kPa，两通道差分最不利界限为1kPa，完整采集误差还须计入调理、ADC、温漂及参考条件。大量程1.6MPa、0.5—1%FS方案单通道界限达8—16kPa，不适合直接承担本项目主要差压测量。1秒流量窗的一个脉冲对应0.111L/min，10秒窗对应0.0111L/min；分辨率和窗口延迟必须同时权衡。</w:t>
            </w:r>
          </w:p>
          <w:p w14:paraId="0D3C157F">
            <w:pPr>
              <w:keepNext w:val="0"/>
              <w:keepLines/>
              <w:spacing w:beforeLines="50" w:after="100" w:line="240" w:lineRule="auto"/>
              <w:jc w:val="both"/>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另以C=0.28作为台架健康设计负载，C至0.37、R为0.8或8.0，结合三档供压及B开关做24组模型边界计算，A流量为1.85—4.34L/min，落在候选流量计范围内，如图5。原480次合成试验仍保留原参数，不能用此计算代替实测。模型最大总流量约7.95L/min；水源需按流量—压力工作曲线核定，不能将商品开口流量与截止压力合并为工作点。基础预算以借用可调连续水源为前提，落实前不宣称已经具备台架。</w:t>
            </w:r>
          </w:p>
          <w:p w14:paraId="00B4E416">
            <w:pPr>
              <w:keepNext w:val="0"/>
              <w:keepLines/>
              <w:spacing w:beforeLines="50" w:after="100" w:line="240" w:lineRule="auto"/>
              <w:jc w:val="center"/>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pict>
                <v:shape id="_x0000_i1030" o:spt="75" alt="图5 候选量程与测量界限的模型核对 非实测" type="#_x0000_t75" style="height:417.2pt;width:425pt;" filled="f" o:preferrelative="t" stroked="f" coordsize="21600,21600">
                  <v:path/>
                  <v:fill on="f" focussize="0,0"/>
                  <v:stroke on="f"/>
                  <v:imagedata r:id="rId10" o:title="hardware_feasibility"/>
                  <o:lock v:ext="edit" aspectratio="t"/>
                  <w10:wrap type="none"/>
                  <w10:anchorlock/>
                </v:shape>
              </w:pict>
            </w:r>
            <w:r>
              <w:rPr>
                <w:rFonts w:hint="eastAsia" w:ascii="Times New Roman" w:hAnsi="Times New Roman" w:cs="Times New Roman"/>
                <w:sz w:val="21"/>
                <w:szCs w:val="28"/>
                <w:lang w:val="en-US" w:eastAsia="zh-CN"/>
              </w:rPr>
              <w:br w:type="textWrapping"/>
            </w:r>
            <w:r>
              <w:rPr>
                <w:rFonts w:hint="eastAsia" w:ascii="Times New Roman" w:hAnsi="Times New Roman" w:cs="Times New Roman"/>
                <w:sz w:val="18"/>
                <w:szCs w:val="28"/>
                <w:lang w:val="en-US" w:eastAsia="zh-CN"/>
              </w:rPr>
              <w:t>图5 候选量程与测量界限的模型核对 非实测</w:t>
            </w:r>
          </w:p>
          <w:tbl>
            <w:tblPr>
              <w:tblStyle w:val="6"/>
              <w:tblW w:w="9100" w:type="dxa"/>
              <w:tblInd w:w="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9100"/>
            </w:tblGrid>
            <w:tr w14:paraId="710396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9100" w:type="dxa"/>
                  <w:tcBorders>
                    <w:tl2br w:val="nil"/>
                    <w:tr2bl w:val="nil"/>
                  </w:tcBorders>
                </w:tcPr>
                <w:p w14:paraId="419D20E4">
                  <w:pPr>
                    <w:keepNext w:val="0"/>
                    <w:keepLines/>
                    <w:pageBreakBefore w:val="0"/>
                    <w:spacing w:beforeLines="50" w:after="100" w:line="240" w:lineRule="auto"/>
                    <w:jc w:val="both"/>
                    <w:rPr>
                      <w:rFonts w:hint="default" w:ascii="Times New Roman" w:hAnsi="Times New Roman" w:eastAsia="宋体" w:cs="Times New Roman"/>
                      <w:sz w:val="21"/>
                      <w:szCs w:val="28"/>
                      <w:vertAlign w:val="baseline"/>
                      <w:lang w:val="en-US" w:eastAsia="zh-CN"/>
                    </w:rPr>
                  </w:pPr>
                  <w:r>
                    <w:rPr>
                      <w:rFonts w:hint="default" w:ascii="Times New Roman" w:hAnsi="Times New Roman" w:eastAsia="宋体" w:cs="Times New Roman"/>
                      <w:b w:val="0"/>
                      <w:sz w:val="21"/>
                      <w:szCs w:val="28"/>
                      <w:vertAlign w:val="baseline"/>
                      <w:lang w:val="en-US" w:eastAsia="zh-CN"/>
                    </w:rPr>
                    <w:t>另检查两故障、三供压、B开关及三程度共36组目标，修正受限范围后均可在模型内达到。仅按压力标称界限、10秒计数量化及流量±1%读数分析，健康与故障特征区间分离；若保守按5L/min满量程的1%分析，80kPa下两个5%泄漏组合区间重叠，弱异常不保证可分。流量精度定义须进一步核对，温漂、ADC、调理及安装误差尚未计入，不能转成实物检出率。</w:t>
                  </w:r>
                </w:p>
              </w:tc>
            </w:tr>
          </w:tbl>
          <w:p w14:paraId="124AECBC">
            <w:pPr>
              <w:keepNext w:val="0"/>
              <w:keepLines/>
              <w:spacing w:beforeLines="50" w:after="100" w:line="240" w:lineRule="auto"/>
              <w:jc w:val="both"/>
              <w:rPr>
                <w:rFonts w:hint="default" w:ascii="Times New Roman" w:hAnsi="Times New Roman" w:eastAsia="宋体" w:cs="Times New Roman"/>
                <w:sz w:val="21"/>
                <w:szCs w:val="28"/>
                <w:lang w:val="en-US" w:eastAsia="zh-CN"/>
              </w:rPr>
            </w:pPr>
          </w:p>
          <w:p w14:paraId="34F13B70">
            <w:pPr>
              <w:keepNext/>
              <w:keepLines/>
              <w:pageBreakBefore/>
              <w:spacing w:before="140" w:beforeLines="50" w:after="100" w:line="240" w:lineRule="auto"/>
              <w:jc w:val="both"/>
              <w:rPr>
                <w:rFonts w:hint="default" w:ascii="Times New Roman" w:hAnsi="Times New Roman" w:eastAsia="宋体" w:cs="Times New Roman"/>
                <w:b w:val="0"/>
                <w:sz w:val="21"/>
                <w:szCs w:val="28"/>
                <w:lang w:val="en-US" w:eastAsia="zh-CN"/>
              </w:rPr>
            </w:pPr>
            <w:r>
              <w:rPr>
                <w:rFonts w:hint="default" w:ascii="Times New Roman" w:hAnsi="Times New Roman" w:eastAsia="宋体" w:cs="Times New Roman"/>
                <w:b/>
                <w:sz w:val="21"/>
                <w:szCs w:val="28"/>
                <w:lang w:val="en-US" w:eastAsia="zh-CN"/>
              </w:rPr>
              <w:t>3 渐进故障诊断与早期评价</w:t>
            </w:r>
            <w:r>
              <w:rPr>
                <w:rFonts w:hint="default" w:ascii="Times New Roman" w:hAnsi="Times New Roman" w:eastAsia="宋体" w:cs="Times New Roman"/>
                <w:b w:val="0"/>
                <w:sz w:val="21"/>
                <w:szCs w:val="28"/>
                <w:lang w:val="en-US" w:eastAsia="zh-CN"/>
              </w:rPr>
              <w:br w:type="textWrapping"/>
            </w:r>
            <w:r>
              <w:rPr>
                <w:rFonts w:hint="default" w:ascii="Times New Roman" w:hAnsi="Times New Roman" w:eastAsia="宋体" w:cs="Times New Roman"/>
                <w:b w:val="0"/>
                <w:sz w:val="21"/>
                <w:szCs w:val="28"/>
                <w:lang w:val="en-US" w:eastAsia="zh-CN"/>
              </w:rPr>
              <w:t>拟采用压力归一化流量K=Q/√P1和区段阻力估计R̂=(P0−P1)/Q²，分别描述下游等效负载及监测区段的阻力变化。程序在测量有效、P1与Q高于误差下限且运行状态明确后，比较同工况健康特征及误差区间，再检验偏离是否持续，处理分支见图6。健康参照、偏离阈值和持续条件由标定小试确定并在验证前冻结；故障期间不以自动更新参照消除异常。切换等待段仍保留原始数据，单独报告暂缓判断的时间、误报和漏检。</w:t>
            </w:r>
          </w:p>
          <w:p w14:paraId="1589FFCB">
            <w:pPr>
              <w:keepNext w:val="0"/>
              <w:keepLines/>
              <w:spacing w:beforeLines="50" w:after="100" w:line="240" w:lineRule="auto"/>
              <w:jc w:val="center"/>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pict>
                <v:shape id="_x0000_i1031" o:spt="75" alt="图6 状态辅助与有限故障模式诊断流程设计" type="#_x0000_t75" style="height:294.45pt;width:425pt;" filled="f" o:preferrelative="t" stroked="f" coordsize="21600,21600">
                  <v:path/>
                  <v:fill on="f" focussize="0,0"/>
                  <v:stroke on="f"/>
                  <v:imagedata r:id="rId11" o:title="diagnosis_flow"/>
                  <o:lock v:ext="edit" aspectratio="t"/>
                  <w10:wrap type="none"/>
                  <w10:anchorlock/>
                </v:shape>
              </w:pict>
            </w:r>
            <w:r>
              <w:rPr>
                <w:rFonts w:hint="eastAsia" w:ascii="Times New Roman" w:hAnsi="Times New Roman" w:cs="Times New Roman"/>
                <w:sz w:val="21"/>
                <w:szCs w:val="28"/>
                <w:lang w:val="en-US" w:eastAsia="zh-CN"/>
              </w:rPr>
              <w:br w:type="textWrapping"/>
            </w:r>
            <w:r>
              <w:rPr>
                <w:rFonts w:hint="eastAsia" w:ascii="Times New Roman" w:hAnsi="Times New Roman" w:cs="Times New Roman"/>
                <w:sz w:val="18"/>
                <w:szCs w:val="28"/>
                <w:lang w:val="en-US" w:eastAsia="zh-CN"/>
              </w:rPr>
              <w:t>图6 状态辅助与有限故障模式诊断流程设计</w:t>
            </w:r>
          </w:p>
          <w:p w14:paraId="371C621A">
            <w:pPr>
              <w:keepNext w:val="0"/>
              <w:keepLines/>
              <w:spacing w:beforeLines="50" w:after="100" w:line="240" w:lineRule="auto"/>
              <w:jc w:val="both"/>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输出分为等效泄漏模式、等效受限模式、异常待检查和数据无效。未知正常负载可能与泄漏同形，压力差分偏置可能与受限混淆；这类条件下保留异常证据并提示核查，不强制给出单一原因。定位精度限于被监测支管或压力点包围区段。</w:t>
            </w:r>
          </w:p>
          <w:p w14:paraId="463979B6">
            <w:pPr>
              <w:keepNext w:val="0"/>
              <w:keepLines/>
              <w:spacing w:beforeLines="50" w:after="100" w:line="240" w:lineRule="auto"/>
              <w:jc w:val="both"/>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模式提示附带P0/P1/Q、特征偏离、阀态、质量标志及参照编号。K增大而区段阻力稳定时检查等效泄漏或负载变化；区段阻力增大时检查等效受限，同时核查压力偏置。两个特征同时变化、状态不明或证据不足时，提示异常待检查。管理者据此确定核查顺序，真实原因最终以独立操作记录、参考测量及现场检查为依据。</w:t>
            </w:r>
          </w:p>
          <w:p w14:paraId="164DCBEF">
            <w:pPr>
              <w:keepNext w:val="0"/>
              <w:keepLines/>
              <w:spacing w:beforeLines="50" w:after="100" w:line="240" w:lineRule="auto"/>
              <w:jc w:val="both"/>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早期评价以独立参考测量确定的预设失效判据为终点，同时记录故障操作起点、本地首次可靠提示和远端首次接收。考察相对同工况健康流量偏离5%、10%、15%的暂定程度，绘制检出、误报及提前量随程度变化的关系。15%目前是模型演示参照，实际程度与失效判据由导师结合预实验审核后冻结。研究目标是找出可测、可判、可提前的条件及失败边界，性能阈值由有独立标签的小试确定。</w:t>
            </w:r>
          </w:p>
          <w:tbl>
            <w:tblPr>
              <w:tblStyle w:val="6"/>
              <w:tblW w:w="9100" w:type="dxa"/>
              <w:tblInd w:w="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9100"/>
            </w:tblGrid>
            <w:tr w14:paraId="43827B7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cantSplit/>
              </w:trPr>
              <w:tc>
                <w:tcPr>
                  <w:tcW w:w="9100" w:type="dxa"/>
                  <w:tcBorders>
                    <w:tl2br w:val="nil"/>
                    <w:tr2bl w:val="nil"/>
                  </w:tcBorders>
                </w:tcPr>
                <w:p w14:paraId="41DFC69A">
                  <w:pPr>
                    <w:keepNext w:val="0"/>
                    <w:keepLines/>
                    <w:pageBreakBefore w:val="0"/>
                    <w:spacing w:beforeLines="50" w:after="100" w:line="240" w:lineRule="auto"/>
                    <w:jc w:val="both"/>
                    <w:rPr>
                      <w:rFonts w:hint="default" w:ascii="Times New Roman" w:hAnsi="Times New Roman" w:eastAsia="宋体" w:cs="Times New Roman"/>
                      <w:b w:val="0"/>
                      <w:sz w:val="21"/>
                      <w:szCs w:val="28"/>
                      <w:vertAlign w:val="baseline"/>
                      <w:lang w:val="en-US" w:eastAsia="zh-CN"/>
                    </w:rPr>
                  </w:pPr>
                  <w:r>
                    <w:rPr>
                      <w:rFonts w:hint="default" w:ascii="Times New Roman" w:hAnsi="Times New Roman" w:eastAsia="宋体" w:cs="Times New Roman"/>
                      <w:b/>
                      <w:sz w:val="21"/>
                      <w:szCs w:val="28"/>
                      <w:vertAlign w:val="baseline"/>
                      <w:lang w:val="en-US" w:eastAsia="zh-CN"/>
                    </w:rPr>
                    <w:t>4 LoRa可靠告警与通信对照</w:t>
                  </w:r>
                  <w:r>
                    <w:rPr>
                      <w:rFonts w:hint="default" w:ascii="Times New Roman" w:hAnsi="Times New Roman" w:eastAsia="宋体" w:cs="Times New Roman"/>
                      <w:b w:val="0"/>
                      <w:sz w:val="21"/>
                      <w:szCs w:val="28"/>
                      <w:vertAlign w:val="baseline"/>
                      <w:lang w:val="en-US" w:eastAsia="zh-CN"/>
                    </w:rPr>
                    <w:br w:type="textWrapping"/>
                  </w:r>
                  <w:r>
                    <w:rPr>
                      <w:rFonts w:hint="default" w:ascii="Times New Roman" w:hAnsi="Times New Roman" w:eastAsia="宋体" w:cs="Times New Roman"/>
                      <w:b w:val="0"/>
                      <w:sz w:val="21"/>
                      <w:szCs w:val="28"/>
                      <w:vertAlign w:val="baseline"/>
                      <w:lang w:val="en-US" w:eastAsia="zh-CN"/>
                    </w:rPr>
                    <w:t>比较快周期、慢周期、原始事件与滤波限频事件四种上报策略，协议见图7。</w:t>
                  </w:r>
                </w:p>
              </w:tc>
            </w:tr>
          </w:tbl>
          <w:p w14:paraId="24C19104">
            <w:pPr>
              <w:keepNext/>
              <w:keepLines/>
              <w:spacing w:before="140" w:beforeLines="50" w:after="100" w:line="240" w:lineRule="auto"/>
              <w:jc w:val="both"/>
              <w:rPr>
                <w:rFonts w:hint="default" w:ascii="Times New Roman" w:hAnsi="Times New Roman" w:eastAsia="宋体" w:cs="Times New Roman"/>
                <w:b w:val="0"/>
                <w:sz w:val="21"/>
                <w:szCs w:val="28"/>
                <w:lang w:val="en-US" w:eastAsia="zh-CN"/>
              </w:rPr>
            </w:pPr>
          </w:p>
          <w:p w14:paraId="742E5886">
            <w:pPr>
              <w:keepNext w:val="0"/>
              <w:keepLines/>
              <w:spacing w:beforeLines="50" w:after="100" w:line="240" w:lineRule="auto"/>
              <w:jc w:val="center"/>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pict>
                <v:shape id="_x0000_i1032" o:spt="75" alt="图7 事件持久化、确认与重试时序设计" type="#_x0000_t75" style="height:262.75pt;width:425pt;" filled="f" o:preferrelative="t" stroked="f" coordsize="21600,21600">
                  <v:path/>
                  <v:fill on="f" focussize="0,0"/>
                  <v:stroke on="f"/>
                  <v:imagedata r:id="rId12" o:title="protocol_sequence"/>
                  <o:lock v:ext="edit" aspectratio="t"/>
                  <w10:wrap type="none"/>
                  <w10:anchorlock/>
                </v:shape>
              </w:pict>
            </w:r>
            <w:r>
              <w:rPr>
                <w:rFonts w:hint="eastAsia" w:ascii="Times New Roman" w:hAnsi="Times New Roman" w:cs="Times New Roman"/>
                <w:sz w:val="21"/>
                <w:szCs w:val="28"/>
                <w:lang w:val="en-US" w:eastAsia="zh-CN"/>
              </w:rPr>
              <w:br w:type="textWrapping"/>
            </w:r>
            <w:r>
              <w:rPr>
                <w:rFonts w:hint="eastAsia" w:ascii="Times New Roman" w:hAnsi="Times New Roman" w:cs="Times New Roman"/>
                <w:sz w:val="18"/>
                <w:szCs w:val="28"/>
                <w:lang w:val="en-US" w:eastAsia="zh-CN"/>
              </w:rPr>
              <w:t>图7 事件持久化、确认与重试时序设计</w:t>
            </w:r>
          </w:p>
          <w:p w14:paraId="77BB94DF">
            <w:pPr>
              <w:keepNext w:val="0"/>
              <w:keepLines/>
              <w:spacing w:beforeLines="50" w:after="100" w:line="240" w:lineRule="auto"/>
              <w:jc w:val="both"/>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四策略保持采样、检测器、载荷及链路设置一致。事件包含设备、会话、序号、发生时间、状态、测量及质量；本地保存原始日志，经LoRa发送摘要。实物试验冻结缓存容量、超时、重试及掉电策略，并记录发收与确认时间。回放中的1秒ACK、4秒超时及16条队列仅为模型假设，实际值须依据模块与空中时间核定。</w:t>
            </w:r>
          </w:p>
          <w:p w14:paraId="7A23115D">
            <w:pPr>
              <w:keepNext w:val="0"/>
              <w:keepLines/>
              <w:spacing w:beforeLines="50" w:after="100" w:line="240" w:lineRule="auto"/>
              <w:jc w:val="both"/>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接收端持久化后发送匹配ACK，重复事件再次确认但不重复存储，管理者的处理确认另记。节点仅移除已确认事件；重试耗尽仍保留待确认状态，队列满时记录丢弃或拒绝及缺口。掉电后恢复队列和会话，或明确标记无法恢复的记录。上述拟实施要求通过丢包、阻断和重启试验核对。</w:t>
            </w:r>
          </w:p>
          <w:p w14:paraId="6E052269">
            <w:pPr>
              <w:keepNext w:val="0"/>
              <w:keepLines/>
              <w:spacing w:beforeLines="50" w:after="100" w:line="240" w:lineRule="auto"/>
              <w:jc w:val="both"/>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通信评价分别测量故障至本地提示、本地提示至远端接收的延迟，统计上行与确认帧数及字节，并独立计量整机能量。射频配置、干扰、遮挡与静态功耗一并记录，不能以帧数代替续航结论。断链时显示离线及待补发，未收到事件不判为正常。</w:t>
            </w:r>
          </w:p>
          <w:p w14:paraId="37BDC1A8">
            <w:pPr>
              <w:keepNext/>
              <w:keepLines/>
              <w:spacing w:before="140" w:beforeLines="50" w:after="100" w:line="240" w:lineRule="auto"/>
              <w:jc w:val="both"/>
              <w:rPr>
                <w:rFonts w:hint="default" w:ascii="Times New Roman" w:hAnsi="Times New Roman" w:eastAsia="宋体" w:cs="Times New Roman"/>
                <w:b w:val="0"/>
                <w:sz w:val="21"/>
                <w:szCs w:val="28"/>
                <w:lang w:val="en-US" w:eastAsia="zh-CN"/>
              </w:rPr>
            </w:pPr>
            <w:r>
              <w:rPr>
                <w:rFonts w:hint="default" w:ascii="Times New Roman" w:hAnsi="Times New Roman" w:eastAsia="宋体" w:cs="Times New Roman"/>
                <w:b/>
                <w:sz w:val="21"/>
                <w:szCs w:val="28"/>
                <w:lang w:val="en-US" w:eastAsia="zh-CN"/>
              </w:rPr>
              <w:t>5 管理软件与系统集成</w:t>
            </w:r>
            <w:r>
              <w:rPr>
                <w:rFonts w:hint="default" w:ascii="Times New Roman" w:hAnsi="Times New Roman" w:eastAsia="宋体" w:cs="Times New Roman"/>
                <w:b w:val="0"/>
                <w:sz w:val="21"/>
                <w:szCs w:val="28"/>
                <w:lang w:val="en-US" w:eastAsia="zh-CN"/>
              </w:rPr>
              <w:br w:type="textWrapping"/>
            </w:r>
            <w:r>
              <w:rPr>
                <w:rFonts w:hint="default" w:ascii="Times New Roman" w:hAnsi="Times New Roman" w:eastAsia="宋体" w:cs="Times New Roman"/>
                <w:b w:val="0"/>
                <w:sz w:val="21"/>
                <w:szCs w:val="28"/>
                <w:lang w:val="en-US" w:eastAsia="zh-CN"/>
              </w:rPr>
              <w:t>本地Web拟提供设备档案、支管位置示意、P0/P1/Q趋势、事件证据、质量状态、核查处置、复测归档、历史回放与CSV导出。网页将区分测量时间、接收时间、模型回放和实际设备状态，提示检查供压、阀态、传感器与目标管路。接收端的数据持久化和真实节点接入是实施任务；已有离线页面提供合成回放和人工维护流程演示，浏览器本地记录与导出用于检查交互设计，其管理面板局部截图见图8；这类演示记录不属于实物维护证据。</w:t>
            </w:r>
          </w:p>
          <w:p w14:paraId="564373AE">
            <w:pPr>
              <w:keepNext w:val="0"/>
              <w:keepLines/>
              <w:spacing w:beforeLines="50" w:after="100" w:line="240" w:lineRule="auto"/>
              <w:jc w:val="center"/>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pict>
                <v:shape id="_x0000_i1033" o:spt="75" alt="图8 已实现离线网页管理面板局部截图 合成回放 未连接实物" type="#_x0000_t75" style="height:583.9pt;width:425pt;" filled="f" o:preferrelative="t" stroked="f" coordsize="21600,21600">
                  <v:path/>
                  <v:fill on="f" focussize="0,0"/>
                  <v:stroke on="f"/>
                  <v:imagedata r:id="rId13" o:title="platform_replay"/>
                  <o:lock v:ext="edit" aspectratio="t"/>
                  <w10:wrap type="none"/>
                  <w10:anchorlock/>
                </v:shape>
              </w:pict>
            </w:r>
            <w:r>
              <w:rPr>
                <w:rFonts w:hint="eastAsia" w:ascii="Times New Roman" w:hAnsi="Times New Roman" w:cs="Times New Roman"/>
                <w:sz w:val="21"/>
                <w:szCs w:val="28"/>
                <w:lang w:val="en-US" w:eastAsia="zh-CN"/>
              </w:rPr>
              <w:br w:type="textWrapping"/>
            </w:r>
            <w:r>
              <w:rPr>
                <w:rFonts w:hint="eastAsia" w:ascii="Times New Roman" w:hAnsi="Times New Roman" w:cs="Times New Roman"/>
                <w:sz w:val="18"/>
                <w:szCs w:val="28"/>
                <w:lang w:val="en-US" w:eastAsia="zh-CN"/>
              </w:rPr>
              <w:t>图8 已实现离线网页管理面板局部截图 合成回放 未连接实物</w:t>
            </w:r>
          </w:p>
          <w:p w14:paraId="76A25E5A">
            <w:pPr>
              <w:keepNext w:val="0"/>
              <w:keepLines/>
              <w:spacing w:beforeLines="50" w:after="100" w:line="240" w:lineRule="auto"/>
              <w:jc w:val="both"/>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集成先完成有线原始日志，再连接LoRa和本地网页，以事件记录贯通节点判定、接收存储和人工维护。事件以设备、掉电会话、序号标识，另关联试次、配置及健康参照版本；测量、本地提示、远端接收和人工操作时间分开记录，操作标签独立保存。展示页面只是系统的一部分，验收同时检查原始记录、协议日志和对应实验标签，不能仅凭页面数值变化认定系统可用。</w:t>
            </w:r>
          </w:p>
          <w:p w14:paraId="6AF8A1DC">
            <w:pPr>
              <w:keepNext w:val="0"/>
              <w:keepLines/>
              <w:spacing w:beforeLines="50" w:after="100" w:line="240" w:lineRule="auto"/>
              <w:jc w:val="both"/>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维护流程区分待核查、已查看、已记录处置、待复测和已归档。核查记录须说明供压、阀态及传感器检查结果；处置后保留同工况复测窗口、参考读数和前后变化。数据无效、工况不可比或异常仍持续时不得标记恢复。通信ACK只确认接收持久化，网页的已查看与人工归档分别留痕。验收安排一次误报核查和两类等效故障的处置复测，检查日志能否重建全过程。</w:t>
            </w:r>
          </w:p>
          <w:p w14:paraId="3469286D">
            <w:pPr>
              <w:keepNext/>
              <w:keepLines/>
              <w:spacing w:before="140" w:beforeLines="50" w:after="100" w:line="240" w:lineRule="auto"/>
              <w:jc w:val="both"/>
              <w:rPr>
                <w:rFonts w:hint="default" w:ascii="Times New Roman" w:hAnsi="Times New Roman" w:eastAsia="宋体" w:cs="Times New Roman"/>
                <w:b w:val="0"/>
                <w:sz w:val="21"/>
                <w:szCs w:val="28"/>
                <w:lang w:val="en-US" w:eastAsia="zh-CN"/>
              </w:rPr>
            </w:pPr>
            <w:r>
              <w:rPr>
                <w:rFonts w:hint="default" w:ascii="Times New Roman" w:hAnsi="Times New Roman" w:eastAsia="宋体" w:cs="Times New Roman"/>
                <w:b/>
                <w:sz w:val="21"/>
                <w:szCs w:val="28"/>
                <w:lang w:val="en-US" w:eastAsia="zh-CN"/>
              </w:rPr>
              <w:t>6 项目目标与分层实验</w:t>
            </w:r>
            <w:r>
              <w:rPr>
                <w:rFonts w:hint="default" w:ascii="Times New Roman" w:hAnsi="Times New Roman" w:eastAsia="宋体" w:cs="Times New Roman"/>
                <w:b w:val="0"/>
                <w:sz w:val="21"/>
                <w:szCs w:val="28"/>
                <w:lang w:val="en-US" w:eastAsia="zh-CN"/>
              </w:rPr>
              <w:br w:type="textWrapping"/>
            </w:r>
            <w:r>
              <w:rPr>
                <w:rFonts w:hint="default" w:ascii="Times New Roman" w:hAnsi="Times New Roman" w:eastAsia="宋体" w:cs="Times New Roman"/>
                <w:b w:val="0"/>
                <w:sz w:val="21"/>
                <w:szCs w:val="28"/>
                <w:lang w:val="en-US" w:eastAsia="zh-CN"/>
              </w:rPr>
              <w:t>总体目标是完成可采集、可有限诊断、可可靠传输、可追溯验证的支管原型，并给出渐进故障辨识条件和通信取舍。四个工作包分别负责测量与建模、诊断与边界、可靠告警、系统集成与验证。表2把交付、评价指标和验证证据对应起来，作为任务书细化依据。</w:t>
            </w:r>
          </w:p>
          <w:tbl>
            <w:tblPr>
              <w:tblStyle w:val="6"/>
              <w:tblW w:w="8500" w:type="dxa"/>
              <w:tblInd w:w="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500"/>
            </w:tblGrid>
            <w:tr w14:paraId="389C21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9070" w:type="dxa"/>
                  <w:tcBorders>
                    <w:tl2br w:val="nil"/>
                    <w:tr2bl w:val="nil"/>
                  </w:tcBorders>
                </w:tcPr>
                <w:p w14:paraId="637E1DE3">
                  <w:pPr>
                    <w:keepNext w:val="0"/>
                    <w:keepLines/>
                    <w:spacing w:beforeLines="50" w:after="140" w:line="240" w:lineRule="auto"/>
                    <w:jc w:val="both"/>
                    <w:rPr>
                      <w:rFonts w:hint="eastAsia" w:ascii="Times New Roman" w:hAnsi="Times New Roman" w:cs="Times New Roman"/>
                      <w:b/>
                      <w:sz w:val="21"/>
                      <w:szCs w:val="28"/>
                      <w:vertAlign w:val="baseline"/>
                      <w:lang w:val="en-US" w:eastAsia="zh-CN"/>
                    </w:rPr>
                  </w:pPr>
                  <w:r>
                    <w:rPr>
                      <w:rFonts w:hint="eastAsia" w:ascii="Times New Roman" w:hAnsi="Times New Roman" w:cs="Times New Roman"/>
                      <w:b/>
                      <w:sz w:val="21"/>
                      <w:szCs w:val="28"/>
                      <w:vertAlign w:val="baseline"/>
                      <w:lang w:val="en-US" w:eastAsia="zh-CN"/>
                    </w:rPr>
                    <w:t>表2 研究任务与计划验证证据</w:t>
                  </w:r>
                </w:p>
                <w:tbl>
                  <w:tblPr>
                    <w:tblStyle w:val="6"/>
                    <w:tblW w:w="8500" w:type="dxa"/>
                    <w:tblInd w:w="3" w:type="dxa"/>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Layout w:type="fixed"/>
                    <w:tblCellMar>
                      <w:top w:w="60" w:type="dxa"/>
                      <w:left w:w="100" w:type="dxa"/>
                      <w:bottom w:w="60" w:type="dxa"/>
                      <w:right w:w="100" w:type="dxa"/>
                    </w:tblCellMar>
                  </w:tblPr>
                  <w:tblGrid>
                    <w:gridCol w:w="1700"/>
                    <w:gridCol w:w="3300"/>
                    <w:gridCol w:w="3500"/>
                  </w:tblGrid>
                  <w:tr w14:paraId="0EDC184A">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60" w:type="dxa"/>
                        <w:left w:w="100" w:type="dxa"/>
                        <w:bottom w:w="60" w:type="dxa"/>
                        <w:right w:w="100" w:type="dxa"/>
                      </w:tblCellMar>
                    </w:tblPrEx>
                    <w:trPr>
                      <w:cantSplit/>
                      <w:tblHeader/>
                    </w:trPr>
                    <w:tc>
                      <w:tcPr>
                        <w:tcW w:w="1700" w:type="dxa"/>
                        <w:tcBorders>
                          <w:tl2br w:val="nil"/>
                          <w:tr2bl w:val="nil"/>
                        </w:tcBorders>
                        <w:shd w:val="clear" w:color="auto" w:fill="EDEDED"/>
                        <w:vAlign w:val="center"/>
                      </w:tcPr>
                      <w:p w14:paraId="10CAE718">
                        <w:pPr>
                          <w:keepNext/>
                          <w:keepLines/>
                          <w:spacing w:beforeLines="50" w:after="40" w:line="240" w:lineRule="auto"/>
                          <w:jc w:val="both"/>
                          <w:rPr>
                            <w:rFonts w:hint="default" w:ascii="Times New Roman" w:hAnsi="Times New Roman" w:eastAsia="宋体" w:cs="Times New Roman"/>
                            <w:b/>
                            <w:sz w:val="19"/>
                            <w:szCs w:val="28"/>
                            <w:vertAlign w:val="baseline"/>
                            <w:lang w:val="en-US" w:eastAsia="zh-CN"/>
                          </w:rPr>
                        </w:pPr>
                        <w:r>
                          <w:rPr>
                            <w:rFonts w:hint="eastAsia" w:ascii="Times New Roman" w:hAnsi="Times New Roman" w:cs="Times New Roman"/>
                            <w:b/>
                            <w:sz w:val="19"/>
                            <w:szCs w:val="28"/>
                            <w:vertAlign w:val="baseline"/>
                            <w:lang w:val="en-US" w:eastAsia="zh-CN"/>
                          </w:rPr>
                          <w:t>任务</w:t>
                        </w:r>
                      </w:p>
                    </w:tc>
                    <w:tc>
                      <w:tcPr>
                        <w:tcW w:w="3300" w:type="dxa"/>
                        <w:tcBorders>
                          <w:tl2br w:val="nil"/>
                          <w:tr2bl w:val="nil"/>
                        </w:tcBorders>
                        <w:shd w:val="clear" w:color="auto" w:fill="EDEDED"/>
                        <w:vAlign w:val="center"/>
                      </w:tcPr>
                      <w:p w14:paraId="18B06353">
                        <w:pPr>
                          <w:keepNext/>
                          <w:keepLines/>
                          <w:spacing w:beforeLines="50" w:after="40" w:line="240" w:lineRule="auto"/>
                          <w:jc w:val="both"/>
                          <w:rPr>
                            <w:rFonts w:hint="default" w:ascii="Times New Roman" w:hAnsi="Times New Roman" w:eastAsia="宋体" w:cs="Times New Roman"/>
                            <w:b/>
                            <w:sz w:val="19"/>
                            <w:szCs w:val="28"/>
                            <w:vertAlign w:val="baseline"/>
                            <w:lang w:val="en-US" w:eastAsia="zh-CN"/>
                          </w:rPr>
                        </w:pPr>
                        <w:r>
                          <w:rPr>
                            <w:rFonts w:hint="eastAsia" w:ascii="Times New Roman" w:hAnsi="Times New Roman" w:cs="Times New Roman"/>
                            <w:b/>
                            <w:sz w:val="19"/>
                            <w:szCs w:val="28"/>
                            <w:vertAlign w:val="baseline"/>
                            <w:lang w:val="en-US" w:eastAsia="zh-CN"/>
                          </w:rPr>
                          <w:t>计划交付或实验</w:t>
                        </w:r>
                      </w:p>
                    </w:tc>
                    <w:tc>
                      <w:tcPr>
                        <w:tcW w:w="3500" w:type="dxa"/>
                        <w:tcBorders>
                          <w:tl2br w:val="nil"/>
                          <w:tr2bl w:val="nil"/>
                        </w:tcBorders>
                        <w:shd w:val="clear" w:color="auto" w:fill="EDEDED"/>
                        <w:vAlign w:val="center"/>
                      </w:tcPr>
                      <w:p w14:paraId="1FA3D9C7">
                        <w:pPr>
                          <w:keepNext/>
                          <w:keepLines/>
                          <w:spacing w:beforeLines="50" w:after="40" w:line="240" w:lineRule="auto"/>
                          <w:jc w:val="both"/>
                          <w:rPr>
                            <w:rFonts w:hint="default" w:ascii="Times New Roman" w:hAnsi="Times New Roman" w:eastAsia="宋体" w:cs="Times New Roman"/>
                            <w:b/>
                            <w:sz w:val="19"/>
                            <w:szCs w:val="28"/>
                            <w:vertAlign w:val="baseline"/>
                            <w:lang w:val="en-US" w:eastAsia="zh-CN"/>
                          </w:rPr>
                        </w:pPr>
                        <w:r>
                          <w:rPr>
                            <w:rFonts w:hint="eastAsia" w:ascii="Times New Roman" w:hAnsi="Times New Roman" w:cs="Times New Roman"/>
                            <w:b/>
                            <w:sz w:val="19"/>
                            <w:szCs w:val="28"/>
                            <w:vertAlign w:val="baseline"/>
                            <w:lang w:val="en-US" w:eastAsia="zh-CN"/>
                          </w:rPr>
                          <w:t>评价量与证据</w:t>
                        </w:r>
                      </w:p>
                    </w:tc>
                  </w:tr>
                  <w:tr w14:paraId="397A30ED">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60" w:type="dxa"/>
                        <w:left w:w="100" w:type="dxa"/>
                        <w:bottom w:w="60" w:type="dxa"/>
                        <w:right w:w="100" w:type="dxa"/>
                      </w:tblCellMar>
                    </w:tblPrEx>
                    <w:trPr>
                      <w:cantSplit/>
                    </w:trPr>
                    <w:tc>
                      <w:tcPr>
                        <w:tcW w:w="1700" w:type="dxa"/>
                        <w:tcBorders>
                          <w:tl2br w:val="nil"/>
                          <w:tr2bl w:val="nil"/>
                        </w:tcBorders>
                        <w:shd w:val="clear" w:color="auto" w:fill="FFFFFF"/>
                        <w:vAlign w:val="center"/>
                      </w:tcPr>
                      <w:p w14:paraId="0D76F40A">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测量与建模</w:t>
                        </w:r>
                      </w:p>
                    </w:tc>
                    <w:tc>
                      <w:tcPr>
                        <w:tcW w:w="3300" w:type="dxa"/>
                        <w:tcBorders>
                          <w:tl2br w:val="nil"/>
                          <w:tr2bl w:val="nil"/>
                        </w:tcBorders>
                        <w:shd w:val="clear" w:color="auto" w:fill="FFFFFF"/>
                        <w:vAlign w:val="center"/>
                      </w:tcPr>
                      <w:p w14:paraId="6692C16D">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双压力流量节点及参考标定</w:t>
                        </w:r>
                      </w:p>
                    </w:tc>
                    <w:tc>
                      <w:tcPr>
                        <w:tcW w:w="3500" w:type="dxa"/>
                        <w:tcBorders>
                          <w:tl2br w:val="nil"/>
                          <w:tr2bl w:val="nil"/>
                        </w:tcBorders>
                        <w:shd w:val="clear" w:color="auto" w:fill="FFFFFF"/>
                        <w:vAlign w:val="center"/>
                      </w:tcPr>
                      <w:p w14:paraId="362801A3">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误差、重复性、同步、健康压降与差压不确定度</w:t>
                        </w:r>
                      </w:p>
                    </w:tc>
                  </w:tr>
                  <w:tr w14:paraId="5DCC7391">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60" w:type="dxa"/>
                        <w:left w:w="100" w:type="dxa"/>
                        <w:bottom w:w="60" w:type="dxa"/>
                        <w:right w:w="100" w:type="dxa"/>
                      </w:tblCellMar>
                    </w:tblPrEx>
                    <w:trPr>
                      <w:cantSplit/>
                    </w:trPr>
                    <w:tc>
                      <w:tcPr>
                        <w:tcW w:w="1700" w:type="dxa"/>
                        <w:tcBorders>
                          <w:tl2br w:val="nil"/>
                          <w:tr2bl w:val="nil"/>
                        </w:tcBorders>
                        <w:shd w:val="clear" w:color="auto" w:fill="FFFFFF"/>
                        <w:vAlign w:val="center"/>
                      </w:tcPr>
                      <w:p w14:paraId="3886668F">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渐进诊断</w:t>
                        </w:r>
                      </w:p>
                    </w:tc>
                    <w:tc>
                      <w:tcPr>
                        <w:tcW w:w="3300" w:type="dxa"/>
                        <w:tcBorders>
                          <w:tl2br w:val="nil"/>
                          <w:tr2bl w:val="nil"/>
                        </w:tcBorders>
                        <w:shd w:val="clear" w:color="auto" w:fill="FFFFFF"/>
                        <w:vAlign w:val="center"/>
                      </w:tcPr>
                      <w:p w14:paraId="33DC414F">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2类型×3供压×3程度×至少3独立操作，主要试验至少54次</w:t>
                        </w:r>
                      </w:p>
                    </w:tc>
                    <w:tc>
                      <w:tcPr>
                        <w:tcW w:w="3500" w:type="dxa"/>
                        <w:tcBorders>
                          <w:tl2br w:val="nil"/>
                          <w:tr2bl w:val="nil"/>
                        </w:tcBorders>
                        <w:shd w:val="clear" w:color="auto" w:fill="FFFFFF"/>
                        <w:vAlign w:val="center"/>
                      </w:tcPr>
                      <w:p w14:paraId="5AD11A56">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正确模式、独立试次漏检、每小时误报、提前量分布</w:t>
                        </w:r>
                      </w:p>
                    </w:tc>
                  </w:tr>
                  <w:tr w14:paraId="0455A6E0">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60" w:type="dxa"/>
                        <w:left w:w="100" w:type="dxa"/>
                        <w:bottom w:w="60" w:type="dxa"/>
                        <w:right w:w="100" w:type="dxa"/>
                      </w:tblCellMar>
                    </w:tblPrEx>
                    <w:trPr>
                      <w:cantSplit/>
                    </w:trPr>
                    <w:tc>
                      <w:tcPr>
                        <w:tcW w:w="1700" w:type="dxa"/>
                        <w:tcBorders>
                          <w:tl2br w:val="nil"/>
                          <w:tr2bl w:val="nil"/>
                        </w:tcBorders>
                        <w:shd w:val="clear" w:color="auto" w:fill="FFFFFF"/>
                        <w:vAlign w:val="center"/>
                      </w:tcPr>
                      <w:p w14:paraId="54378631">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可靠告警</w:t>
                        </w:r>
                      </w:p>
                    </w:tc>
                    <w:tc>
                      <w:tcPr>
                        <w:tcW w:w="3300" w:type="dxa"/>
                        <w:tcBorders>
                          <w:tl2br w:val="nil"/>
                          <w:tr2bl w:val="nil"/>
                        </w:tcBorders>
                        <w:shd w:val="clear" w:color="auto" w:fill="FFFFFF"/>
                        <w:vAlign w:val="center"/>
                      </w:tcPr>
                      <w:p w14:paraId="03487DF5">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同检测与确认下的四策略真实LoRa对照</w:t>
                        </w:r>
                      </w:p>
                    </w:tc>
                    <w:tc>
                      <w:tcPr>
                        <w:tcW w:w="3500" w:type="dxa"/>
                        <w:tcBorders>
                          <w:tl2br w:val="nil"/>
                          <w:tr2bl w:val="nil"/>
                        </w:tcBorders>
                        <w:shd w:val="clear" w:color="auto" w:fill="FFFFFF"/>
                        <w:vAlign w:val="center"/>
                      </w:tcPr>
                      <w:p w14:paraId="0E16B1CA">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发收与ACK日志、两段延迟、帧与字节、整机能量</w:t>
                        </w:r>
                      </w:p>
                    </w:tc>
                  </w:tr>
                  <w:tr w14:paraId="798C6B97">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60" w:type="dxa"/>
                        <w:left w:w="100" w:type="dxa"/>
                        <w:bottom w:w="60" w:type="dxa"/>
                        <w:right w:w="100" w:type="dxa"/>
                      </w:tblCellMar>
                    </w:tblPrEx>
                    <w:trPr>
                      <w:cantSplit/>
                    </w:trPr>
                    <w:tc>
                      <w:tcPr>
                        <w:tcW w:w="1700" w:type="dxa"/>
                        <w:tcBorders>
                          <w:tl2br w:val="nil"/>
                          <w:tr2bl w:val="nil"/>
                        </w:tcBorders>
                        <w:shd w:val="clear" w:color="auto" w:fill="FFFFFF"/>
                        <w:vAlign w:val="center"/>
                      </w:tcPr>
                      <w:p w14:paraId="02DCD89D">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系统集成</w:t>
                        </w:r>
                      </w:p>
                    </w:tc>
                    <w:tc>
                      <w:tcPr>
                        <w:tcW w:w="3300" w:type="dxa"/>
                        <w:tcBorders>
                          <w:tl2br w:val="nil"/>
                          <w:tr2bl w:val="nil"/>
                        </w:tcBorders>
                        <w:shd w:val="clear" w:color="auto" w:fill="FFFFFF"/>
                        <w:vAlign w:val="center"/>
                      </w:tcPr>
                      <w:p w14:paraId="773B900B">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节点、接收端、本地Web及维护复测贯通</w:t>
                        </w:r>
                      </w:p>
                    </w:tc>
                    <w:tc>
                      <w:tcPr>
                        <w:tcW w:w="3500" w:type="dxa"/>
                        <w:tcBorders>
                          <w:tl2br w:val="nil"/>
                          <w:tr2bl w:val="nil"/>
                        </w:tcBorders>
                        <w:shd w:val="clear" w:color="auto" w:fill="FFFFFF"/>
                        <w:vAlign w:val="center"/>
                      </w:tcPr>
                      <w:p w14:paraId="001AF454">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事件标识与版本、离线/无效、处置前后记录、回放导出</w:t>
                        </w:r>
                      </w:p>
                    </w:tc>
                  </w:tr>
                  <w:tr w14:paraId="6291D332">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60" w:type="dxa"/>
                        <w:left w:w="100" w:type="dxa"/>
                        <w:bottom w:w="60" w:type="dxa"/>
                        <w:right w:w="100" w:type="dxa"/>
                      </w:tblCellMar>
                    </w:tblPrEx>
                    <w:trPr>
                      <w:cantSplit/>
                    </w:trPr>
                    <w:tc>
                      <w:tcPr>
                        <w:tcW w:w="1700" w:type="dxa"/>
                        <w:tcBorders>
                          <w:tl2br w:val="nil"/>
                          <w:tr2bl w:val="nil"/>
                        </w:tcBorders>
                        <w:shd w:val="clear" w:color="auto" w:fill="FFFFFF"/>
                        <w:vAlign w:val="center"/>
                      </w:tcPr>
                      <w:p w14:paraId="74506206">
                        <w:pPr>
                          <w:keepNext w:val="0"/>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连续运行</w:t>
                        </w:r>
                      </w:p>
                    </w:tc>
                    <w:tc>
                      <w:tcPr>
                        <w:tcW w:w="3300" w:type="dxa"/>
                        <w:tcBorders>
                          <w:tl2br w:val="nil"/>
                          <w:tr2bl w:val="nil"/>
                        </w:tcBorders>
                        <w:shd w:val="clear" w:color="auto" w:fill="FFFFFF"/>
                        <w:vAlign w:val="center"/>
                      </w:tcPr>
                      <w:p w14:paraId="7E7629BC">
                        <w:pPr>
                          <w:keepNext w:val="0"/>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单次至少8小时台架记录，至少3次掉电恢复检查</w:t>
                        </w:r>
                      </w:p>
                    </w:tc>
                    <w:tc>
                      <w:tcPr>
                        <w:tcW w:w="3500" w:type="dxa"/>
                        <w:tcBorders>
                          <w:tl2br w:val="nil"/>
                          <w:tr2bl w:val="nil"/>
                        </w:tcBorders>
                        <w:shd w:val="clear" w:color="auto" w:fill="FFFFFF"/>
                        <w:vAlign w:val="center"/>
                      </w:tcPr>
                      <w:p w14:paraId="6B4D2EF8">
                        <w:pPr>
                          <w:keepNext w:val="0"/>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连续原始日志、停机/缺失段、恢复会话与缓存记录</w:t>
                        </w:r>
                      </w:p>
                    </w:tc>
                  </w:tr>
                </w:tbl>
                <w:p w14:paraId="190CFA6D">
                  <w:pPr>
                    <w:keepNext w:val="0"/>
                    <w:keepLines/>
                    <w:spacing w:beforeLines="50" w:after="100" w:line="240" w:lineRule="auto"/>
                    <w:jc w:val="both"/>
                    <w:rPr>
                      <w:rFonts w:hint="default" w:ascii="Times New Roman" w:hAnsi="Times New Roman" w:cs="Times New Roman"/>
                      <w:sz w:val="21"/>
                      <w:szCs w:val="28"/>
                      <w:vertAlign w:val="baseline"/>
                      <w:lang w:val="en-US" w:eastAsia="zh-CN"/>
                    </w:rPr>
                  </w:pPr>
                </w:p>
              </w:tc>
            </w:tr>
          </w:tbl>
          <w:p w14:paraId="6052A5A4">
            <w:pPr>
              <w:keepNext w:val="0"/>
              <w:keepLines/>
              <w:spacing w:beforeLines="50" w:after="100" w:line="240" w:lineRule="auto"/>
              <w:jc w:val="both"/>
              <w:rPr>
                <w:rFonts w:hint="default" w:ascii="Times New Roman" w:hAnsi="Times New Roman" w:eastAsia="宋体" w:cs="Times New Roman"/>
                <w:sz w:val="21"/>
                <w:szCs w:val="28"/>
                <w:lang w:val="en-US" w:eastAsia="zh-CN"/>
              </w:rPr>
            </w:pPr>
          </w:p>
          <w:p w14:paraId="7BEE6218">
            <w:pPr>
              <w:keepNext w:val="0"/>
              <w:keepLines/>
              <w:spacing w:beforeLines="50" w:after="100" w:line="240" w:lineRule="auto"/>
              <w:jc w:val="both"/>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验证分为以下四层，与表2的任务、证据和表3的阶段进度对应。预实验决定测量和判据能否进入验证；正式验证同时支撑结项演示与论文论证。主要故障网格的重复次数按独立操作计算，通信策略比较使用同一组本地检测记录，以减少检测差异对链路结论的干扰。</w:t>
            </w:r>
          </w:p>
          <w:p w14:paraId="6178C9E7">
            <w:pPr>
              <w:keepNext w:val="0"/>
              <w:keepLines/>
              <w:spacing w:beforeLines="50" w:after="100" w:line="240" w:lineRule="auto"/>
              <w:jc w:val="both"/>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第一层为测量预实验：完成水路稳定性、参考标定及操作标签。暂定供压80/120/160kPa，实际范围依据设备能力冻结。若目标变化被测量误差覆盖，调整设计后重复校核，不用检测算法掩盖测量问题。</w:t>
            </w:r>
          </w:p>
          <w:p w14:paraId="1F4C7028">
            <w:pPr>
              <w:keepNext w:val="0"/>
              <w:keepLines/>
              <w:spacing w:beforeLines="50" w:after="100" w:line="240" w:lineRule="auto"/>
              <w:jc w:val="both"/>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第二层为水力与方法实验：安排正常稳定、正常切换、渐进泄漏、渐进受限和切换期间异常五组工况。以独立操作日志、参考流量和泄漏收集量确定故障时间与程度；主要故障网格至少54次，正常及切换对照另行安排。小试用于调参，验证按独立日或批次留出，相邻采样点不算独立重复。</w:t>
            </w:r>
          </w:p>
          <w:p w14:paraId="3191EC87">
            <w:pPr>
              <w:keepNext w:val="0"/>
              <w:keepLines/>
              <w:spacing w:beforeLines="50" w:after="100" w:line="240" w:lineRule="auto"/>
              <w:jc w:val="both"/>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同信息条件下比较固定阈值、切换等待、压力归一化、双点特征和候选方法，并做单点/双点、阀态及持续判据消融。评价以试次为单位，保留漂移、未知负载与错误模式实例。方法未超过强基线时如实报告，将贡献转向可观测范围或测量边界。</w:t>
            </w:r>
          </w:p>
          <w:p w14:paraId="6D5AC2E8">
            <w:pPr>
              <w:keepNext w:val="0"/>
              <w:keepLines/>
              <w:spacing w:beforeLines="50" w:after="100" w:line="240" w:lineRule="auto"/>
              <w:jc w:val="both"/>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第三层为通信与系统实验：先保持本地检测结果相同，再测试四种上报策略；加入短时事件、阻断、掉电和溢出，检验重试、去重及离线显示。连续运行检验软硬件一致性和记录完整性；整机能量由电流设备独立测量。</w:t>
            </w:r>
          </w:p>
          <w:p w14:paraId="726CDC6F">
            <w:pPr>
              <w:keepNext w:val="0"/>
              <w:keepLines/>
              <w:spacing w:beforeLines="50" w:after="100" w:line="240" w:lineRule="auto"/>
              <w:jc w:val="both"/>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第四层为条件性现场试验：取得许可后调查安装、轮灌及遮挡条件，采集真实正常运行数据。只有正常数据时评价安装、链路和正常响应，不计算田间故障准确率。现场未落实时完成可重复台架作为基础交付，南疆部署适用性继续保留为待验证。</w:t>
            </w:r>
          </w:p>
          <w:p w14:paraId="39BC70D7">
            <w:pPr>
              <w:keepNext/>
              <w:keepLines/>
              <w:spacing w:before="140" w:beforeLines="50" w:after="100" w:line="240" w:lineRule="auto"/>
              <w:jc w:val="both"/>
              <w:rPr>
                <w:rFonts w:hint="default" w:ascii="Times New Roman" w:hAnsi="Times New Roman" w:eastAsia="宋体" w:cs="Times New Roman"/>
                <w:b w:val="0"/>
                <w:sz w:val="21"/>
                <w:szCs w:val="28"/>
                <w:lang w:val="en-US" w:eastAsia="zh-CN"/>
              </w:rPr>
            </w:pPr>
            <w:r>
              <w:rPr>
                <w:rFonts w:hint="default" w:ascii="Times New Roman" w:hAnsi="Times New Roman" w:eastAsia="宋体" w:cs="Times New Roman"/>
                <w:b/>
                <w:sz w:val="21"/>
                <w:szCs w:val="28"/>
                <w:lang w:val="en-US" w:eastAsia="zh-CN"/>
              </w:rPr>
              <w:t>7 主要问题与实施约束</w:t>
            </w:r>
            <w:r>
              <w:rPr>
                <w:rFonts w:hint="default" w:ascii="Times New Roman" w:hAnsi="Times New Roman" w:eastAsia="宋体" w:cs="Times New Roman"/>
                <w:b w:val="0"/>
                <w:sz w:val="21"/>
                <w:szCs w:val="28"/>
                <w:lang w:val="en-US" w:eastAsia="zh-CN"/>
              </w:rPr>
              <w:br w:type="textWrapping"/>
            </w:r>
            <w:r>
              <w:rPr>
                <w:rFonts w:hint="default" w:ascii="Times New Roman" w:hAnsi="Times New Roman" w:eastAsia="宋体" w:cs="Times New Roman"/>
                <w:b w:val="0"/>
                <w:sz w:val="21"/>
                <w:szCs w:val="28"/>
                <w:lang w:val="en-US" w:eastAsia="zh-CN"/>
              </w:rPr>
              <w:t>运行操作与故障混淆通过状态记录、强基线和有限输出研究；差压误差通过参考标定、健康校核和程度分层研究；短时事件漏送通过缓存、确认、重试及去重处理；实验不可复现通过独立标签、冻结配置、原始日志和留出批次控制。</w:t>
            </w:r>
          </w:p>
          <w:p w14:paraId="4B6B7FFA">
            <w:pPr>
              <w:keepNext w:val="0"/>
              <w:keepLines/>
              <w:spacing w:beforeLines="50" w:after="100" w:line="240" w:lineRule="auto"/>
              <w:jc w:val="both"/>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本期先解决一个监测区段的真实测量和完整运行链。2000元启动估算以已有电脑、借用参考仪器及可调连续水源为前提，两只合格压力传感器还需询价。若报价超额，优先借用或增加测量经费，不以降低精度维持原目标。团队、场地和借用仍需落实。增加资助优先改善标定、独立批次和试验质量，再考虑多节点及现场扩展。</w:t>
            </w:r>
          </w:p>
          <w:p w14:paraId="0BAE8809">
            <w:pPr>
              <w:keepNext/>
              <w:keepLines/>
              <w:spacing w:before="140" w:beforeLines="50" w:after="100" w:line="240" w:lineRule="auto"/>
              <w:jc w:val="both"/>
              <w:rPr>
                <w:rFonts w:hint="default" w:ascii="Times New Roman" w:hAnsi="Times New Roman" w:eastAsia="宋体" w:cs="Times New Roman"/>
                <w:b w:val="0"/>
                <w:sz w:val="21"/>
                <w:szCs w:val="28"/>
                <w:lang w:val="en-US" w:eastAsia="zh-CN"/>
              </w:rPr>
            </w:pPr>
            <w:r>
              <w:rPr>
                <w:rFonts w:hint="default" w:ascii="Times New Roman" w:hAnsi="Times New Roman" w:eastAsia="宋体" w:cs="Times New Roman"/>
                <w:b/>
                <w:sz w:val="21"/>
                <w:szCs w:val="28"/>
                <w:lang w:val="en-US" w:eastAsia="zh-CN"/>
              </w:rPr>
              <w:t>8 后续研究方向与扩展条件</w:t>
            </w:r>
            <w:r>
              <w:rPr>
                <w:rFonts w:hint="default" w:ascii="Times New Roman" w:hAnsi="Times New Roman" w:eastAsia="宋体" w:cs="Times New Roman"/>
                <w:b w:val="0"/>
                <w:sz w:val="21"/>
                <w:szCs w:val="28"/>
                <w:lang w:val="en-US" w:eastAsia="zh-CN"/>
              </w:rPr>
              <w:br w:type="textWrapping"/>
            </w:r>
            <w:r>
              <w:rPr>
                <w:rFonts w:hint="default" w:ascii="Times New Roman" w:hAnsi="Times New Roman" w:eastAsia="宋体" w:cs="Times New Roman"/>
                <w:b w:val="0"/>
                <w:sz w:val="21"/>
                <w:szCs w:val="28"/>
                <w:lang w:val="en-US" w:eastAsia="zh-CN"/>
              </w:rPr>
              <w:t>优先延伸为跨工况诊断与低成本测量边界研究。在完成本期标定及单区段验证后，利用同一台架增加健康负载档位和独立批次，比较冻结参照、压力归一化与少量健康重标定；按整档压力、负载或日期留出验证，评价重标定成本、误报及可检出程度。健康压力—流量关系依据实测拟合，必要时修订平方根指数或采用经验曲线，不将未知负载与泄漏的同形误认为算法可消除的问题[2,12]。这一路线不依赖先取得田间故障数据，可作为论文主线的进一步深化。</w:t>
            </w:r>
          </w:p>
          <w:p w14:paraId="533F71C1">
            <w:pPr>
              <w:keepNext w:val="0"/>
              <w:keepLines/>
              <w:spacing w:beforeLines="50" w:after="100" w:line="240" w:lineRule="auto"/>
              <w:jc w:val="both"/>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第二方向为多支管共同供压扰动与局部异常区分。只有新增实际节点、公共供压参照和对齐日志后，才研究共性变化与局部变化的判别，并联合测试节点竞争、事件拥塞和告警公平性[10,13]。B支路当前只制造正常负载切换，不能代表已完成多节点协同。新增节点与现场部署须另核定经费和许可。</w:t>
            </w:r>
          </w:p>
          <w:p w14:paraId="284DA1FF">
            <w:pPr>
              <w:keepNext w:val="0"/>
              <w:keepLines/>
              <w:spacing w:beforeLines="50" w:after="100" w:line="240" w:lineRule="auto"/>
              <w:jc w:val="both"/>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第三方向为长期运行与维护复测。通过真实维护前后配对记录，研究健康参照随安装、温漂及负载变化的稳定性，评价异常恢复判断和人工核查工作量[12,16]。本期先完成软件留痕及台架配对验证；长期田间标签与水质机理研究列为后续条件任务。由此形成从单区段可信测量、跨工况可迁移诊断到多支管运行维护的连续研究路线，各阶段以独立证据决定是否推进。</w:t>
            </w:r>
          </w:p>
        </w:tc>
      </w:tr>
      <w:tr w14:paraId="6587C5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9286" w:type="dxa"/>
            <w:gridSpan w:val="9"/>
            <w:noWrap w:val="0"/>
            <w:vAlign w:val="top"/>
          </w:tcPr>
          <w:p w14:paraId="6A860C24">
            <w:pPr>
              <w:keepNext/>
              <w:keepLines/>
              <w:pageBreakBefore w:val="0"/>
              <w:spacing w:beforeLines="50" w:after="100" w:line="240" w:lineRule="auto"/>
              <w:jc w:val="both"/>
              <w:rPr>
                <w:rFonts w:hint="default" w:ascii="Times New Roman" w:hAnsi="Times New Roman" w:eastAsia="宋体" w:cs="Times New Roman"/>
                <w:b/>
                <w:sz w:val="21"/>
                <w:szCs w:val="28"/>
                <w:lang w:val="en-US" w:eastAsia="zh-CN"/>
              </w:rPr>
            </w:pPr>
            <w:r>
              <w:rPr>
                <w:rFonts w:hint="default" w:ascii="Times New Roman" w:hAnsi="Times New Roman" w:eastAsia="宋体" w:cs="Times New Roman"/>
                <w:b/>
                <w:sz w:val="21"/>
                <w:szCs w:val="28"/>
                <w:lang w:val="en-US" w:eastAsia="zh-CN"/>
              </w:rPr>
              <w:t>四、国、内外研究现状和发展动态</w:t>
            </w:r>
          </w:p>
          <w:p w14:paraId="6FF919DC">
            <w:pPr>
              <w:keepNext/>
              <w:keepLines/>
              <w:spacing w:before="140" w:beforeLines="50" w:after="100" w:line="240" w:lineRule="auto"/>
              <w:jc w:val="both"/>
              <w:rPr>
                <w:rFonts w:hint="default" w:ascii="Times New Roman" w:hAnsi="Times New Roman" w:eastAsia="宋体" w:cs="Times New Roman"/>
                <w:b w:val="0"/>
                <w:sz w:val="21"/>
                <w:szCs w:val="28"/>
                <w:lang w:val="en-US" w:eastAsia="zh-CN"/>
              </w:rPr>
            </w:pPr>
            <w:r>
              <w:rPr>
                <w:rFonts w:hint="default" w:ascii="Times New Roman" w:hAnsi="Times New Roman" w:eastAsia="宋体" w:cs="Times New Roman"/>
                <w:b/>
                <w:sz w:val="21"/>
                <w:szCs w:val="28"/>
                <w:lang w:val="en-US" w:eastAsia="zh-CN"/>
              </w:rPr>
              <w:t>1 南疆应用需求与研究对象</w:t>
            </w:r>
            <w:r>
              <w:rPr>
                <w:rFonts w:hint="default" w:ascii="Times New Roman" w:hAnsi="Times New Roman" w:eastAsia="宋体" w:cs="Times New Roman"/>
                <w:b w:val="0"/>
                <w:sz w:val="21"/>
                <w:szCs w:val="28"/>
                <w:lang w:val="en-US" w:eastAsia="zh-CN"/>
              </w:rPr>
              <w:br w:type="textWrapping"/>
            </w:r>
            <w:r>
              <w:rPr>
                <w:rFonts w:hint="default" w:ascii="Times New Roman" w:hAnsi="Times New Roman" w:eastAsia="宋体" w:cs="Times New Roman"/>
                <w:b w:val="0"/>
                <w:sz w:val="21"/>
                <w:szCs w:val="28"/>
                <w:lang w:val="en-US" w:eastAsia="zh-CN"/>
              </w:rPr>
              <w:t>李慧琴等结合南疆棉花“滴水出苗”提出压力均匀、铺管及用水管理建议[1]，说明运行压力是区域滴灌管理中需要关注的条件。Sun等研究南疆集体滴灌棉花生产约束，涉及灌水深度和土壤条件[17]。这些工作支持选择南疆滴灌巡检场景，但不直接证明本原型能够节水或增产。本期以支管水力故障的可观测变化为对象，实际轮灌方式与安装条件仍需现场核对。</w:t>
            </w:r>
          </w:p>
          <w:p w14:paraId="4F1ADC8A">
            <w:pPr>
              <w:keepNext/>
              <w:keepLines/>
              <w:spacing w:before="140" w:beforeLines="50" w:after="100" w:line="240" w:lineRule="auto"/>
              <w:jc w:val="both"/>
              <w:rPr>
                <w:rFonts w:hint="default" w:ascii="Times New Roman" w:hAnsi="Times New Roman" w:eastAsia="宋体" w:cs="Times New Roman"/>
                <w:b w:val="0"/>
                <w:sz w:val="21"/>
                <w:szCs w:val="28"/>
                <w:lang w:val="en-US" w:eastAsia="zh-CN"/>
              </w:rPr>
            </w:pPr>
            <w:r>
              <w:rPr>
                <w:rFonts w:hint="default" w:ascii="Times New Roman" w:hAnsi="Times New Roman" w:eastAsia="宋体" w:cs="Times New Roman"/>
                <w:b/>
                <w:sz w:val="21"/>
                <w:szCs w:val="28"/>
                <w:lang w:val="en-US" w:eastAsia="zh-CN"/>
              </w:rPr>
              <w:t>2 滴灌水力模型与测量依据</w:t>
            </w:r>
            <w:r>
              <w:rPr>
                <w:rFonts w:hint="default" w:ascii="Times New Roman" w:hAnsi="Times New Roman" w:eastAsia="宋体" w:cs="Times New Roman"/>
                <w:b w:val="0"/>
                <w:sz w:val="21"/>
                <w:szCs w:val="28"/>
                <w:lang w:val="en-US" w:eastAsia="zh-CN"/>
              </w:rPr>
              <w:br w:type="textWrapping"/>
            </w:r>
            <w:r>
              <w:rPr>
                <w:rFonts w:hint="default" w:ascii="Times New Roman" w:hAnsi="Times New Roman" w:eastAsia="宋体" w:cs="Times New Roman"/>
                <w:b w:val="0"/>
                <w:sz w:val="21"/>
                <w:szCs w:val="28"/>
                <w:lang w:val="en-US" w:eastAsia="zh-CN"/>
              </w:rPr>
              <w:t>丁法龙等从变质量流动分析沿程压力，并以测压、测流试验验证模型[2]；王亚林等结合灌水试验与CFD研究不同滴头镶嵌方式对毛管水力特性的影响[3]。已有研究表明，实际滴灌压损需要考虑分布出流、结构与安装。本项目集中平方律模型仅用于监测区段的初步设计，不替代上述分布模型。实施时先检验健康压力—流量关系及残差，再冻结特征和阈值；拟通过布点、同步误差与差压不确定度的联合评价确定低成本测量的适用条件。</w:t>
            </w:r>
          </w:p>
          <w:p w14:paraId="02E40EFA">
            <w:pPr>
              <w:keepNext/>
              <w:keepLines/>
              <w:spacing w:before="140" w:beforeLines="50" w:after="100" w:line="240" w:lineRule="auto"/>
              <w:jc w:val="both"/>
              <w:rPr>
                <w:rFonts w:hint="default" w:ascii="Times New Roman" w:hAnsi="Times New Roman" w:eastAsia="宋体" w:cs="Times New Roman"/>
                <w:b w:val="0"/>
                <w:sz w:val="21"/>
                <w:szCs w:val="28"/>
                <w:lang w:val="en-US" w:eastAsia="zh-CN"/>
              </w:rPr>
            </w:pPr>
            <w:r>
              <w:rPr>
                <w:rFonts w:hint="default" w:ascii="Times New Roman" w:hAnsi="Times New Roman" w:eastAsia="宋体" w:cs="Times New Roman"/>
                <w:b/>
                <w:sz w:val="21"/>
                <w:szCs w:val="28"/>
                <w:lang w:val="en-US" w:eastAsia="zh-CN"/>
              </w:rPr>
              <w:t>3 堵塞机理与早期监测边界</w:t>
            </w:r>
            <w:r>
              <w:rPr>
                <w:rFonts w:hint="default" w:ascii="Times New Roman" w:hAnsi="Times New Roman" w:eastAsia="宋体" w:cs="Times New Roman"/>
                <w:b w:val="0"/>
                <w:sz w:val="21"/>
                <w:szCs w:val="28"/>
                <w:lang w:val="en-US" w:eastAsia="zh-CN"/>
              </w:rPr>
              <w:br w:type="textWrapping"/>
            </w:r>
            <w:r>
              <w:rPr>
                <w:rFonts w:hint="default" w:ascii="Times New Roman" w:hAnsi="Times New Roman" w:eastAsia="宋体" w:cs="Times New Roman"/>
                <w:b w:val="0"/>
                <w:sz w:val="21"/>
                <w:szCs w:val="28"/>
                <w:lang w:val="en-US" w:eastAsia="zh-CN"/>
              </w:rPr>
              <w:t>喻黎明等研究含沙水下额定流量、毛管位置与滴头堵塞的关系[4]；王惠等开展不同肥料及浓度的堵塞试验[5]；张唯一等研究近壁面水力剪切力与碳酸钙污垢的作用[6]。三类工作说明堵塞演化受水质、材料和水力条件影响。Petit等综述进一步指出，压力流量监测属于间接方法，未必反映滴头堵塞的最初阶段[12]。因此本项目用清水节流阀验证等效受限的水力响应，不把阀门操作写成泥沙、化学或生物堵塞试验；“早期”以独立测量确认的故障程度和预设失效参照评价，不宣称识别单滴头微观堵塞起点。</w:t>
            </w:r>
          </w:p>
          <w:p w14:paraId="007CC4A4">
            <w:pPr>
              <w:keepNext/>
              <w:keepLines/>
              <w:spacing w:before="140" w:beforeLines="50" w:after="100" w:line="240" w:lineRule="auto"/>
              <w:jc w:val="both"/>
              <w:rPr>
                <w:rFonts w:hint="default" w:ascii="Times New Roman" w:hAnsi="Times New Roman" w:eastAsia="宋体" w:cs="Times New Roman"/>
                <w:b w:val="0"/>
                <w:sz w:val="21"/>
                <w:szCs w:val="28"/>
                <w:lang w:val="en-US" w:eastAsia="zh-CN"/>
              </w:rPr>
            </w:pPr>
            <w:r>
              <w:rPr>
                <w:rFonts w:hint="default" w:ascii="Times New Roman" w:hAnsi="Times New Roman" w:eastAsia="宋体" w:cs="Times New Roman"/>
                <w:b/>
                <w:sz w:val="21"/>
                <w:szCs w:val="28"/>
                <w:lang w:val="en-US" w:eastAsia="zh-CN"/>
              </w:rPr>
              <w:t>4 多工况诊断与可控验证</w:t>
            </w:r>
            <w:r>
              <w:rPr>
                <w:rFonts w:hint="default" w:ascii="Times New Roman" w:hAnsi="Times New Roman" w:eastAsia="宋体" w:cs="Times New Roman"/>
                <w:b w:val="0"/>
                <w:sz w:val="21"/>
                <w:szCs w:val="28"/>
                <w:lang w:val="en-US" w:eastAsia="zh-CN"/>
              </w:rPr>
              <w:br w:type="textWrapping"/>
            </w:r>
            <w:r>
              <w:rPr>
                <w:rFonts w:hint="default" w:ascii="Times New Roman" w:hAnsi="Times New Roman" w:eastAsia="宋体" w:cs="Times New Roman"/>
                <w:b w:val="0"/>
                <w:sz w:val="21"/>
                <w:szCs w:val="28"/>
                <w:lang w:val="en-US" w:eastAsia="zh-CN"/>
              </w:rPr>
              <w:t>付建民等通过液相管道试验与模拟研究压力、流量对小孔泄漏速率的影响[7]；龚骏等研究多工况下泄漏与正常调节的区分[8]；马大中等将物理异常与信息传输异常纳入管网诊断[9]。这些输油或液相管道研究提供了耦合分析与异常分层的思路，参数、传感条件和识别率不能直接移植到滴灌。HydroNeuro研究阀态建模、嵌入式异常感知与扰动鲁棒性[13]，Loukatos等利用可控阀、压力流量及LoRa构建灌溉模拟平台[14]，也说明状态辅助和可控台架已有基础。本项目拟以同信息强基线、独立操作标签和跨批次留出验证研究渐进故障的辨识边界，保留未知负载、漂移及切换期间的失败实例。</w:t>
            </w:r>
          </w:p>
          <w:p w14:paraId="4720C384">
            <w:pPr>
              <w:keepNext/>
              <w:keepLines/>
              <w:spacing w:before="140" w:beforeLines="50" w:after="100" w:line="240" w:lineRule="auto"/>
              <w:jc w:val="both"/>
              <w:rPr>
                <w:rFonts w:hint="default" w:ascii="Times New Roman" w:hAnsi="Times New Roman" w:eastAsia="宋体" w:cs="Times New Roman"/>
                <w:b w:val="0"/>
                <w:sz w:val="21"/>
                <w:szCs w:val="28"/>
                <w:lang w:val="en-US" w:eastAsia="zh-CN"/>
              </w:rPr>
            </w:pPr>
            <w:r>
              <w:rPr>
                <w:rFonts w:hint="default" w:ascii="Times New Roman" w:hAnsi="Times New Roman" w:eastAsia="宋体" w:cs="Times New Roman"/>
                <w:b/>
                <w:sz w:val="21"/>
                <w:szCs w:val="28"/>
                <w:lang w:val="en-US" w:eastAsia="zh-CN"/>
              </w:rPr>
              <w:t>5 农业物联网与通信评价</w:t>
            </w:r>
            <w:r>
              <w:rPr>
                <w:rFonts w:hint="default" w:ascii="Times New Roman" w:hAnsi="Times New Roman" w:eastAsia="宋体" w:cs="Times New Roman"/>
                <w:b w:val="0"/>
                <w:sz w:val="21"/>
                <w:szCs w:val="28"/>
                <w:lang w:val="en-US" w:eastAsia="zh-CN"/>
              </w:rPr>
              <w:br w:type="textWrapping"/>
            </w:r>
            <w:r>
              <w:rPr>
                <w:rFonts w:hint="default" w:ascii="Times New Roman" w:hAnsi="Times New Roman" w:eastAsia="宋体" w:cs="Times New Roman"/>
                <w:b w:val="0"/>
                <w:sz w:val="21"/>
                <w:szCs w:val="28"/>
                <w:lang w:val="en-US" w:eastAsia="zh-CN"/>
              </w:rPr>
              <w:t>孟祥等完成基于LoRa的农田智能灌溉系统设计[10]；刘天翔等构建设施番茄称量反馈灌溉系统[11]，为传感、通信和软件组织提供国内系统研究实例。本项目将系统交付细化为测量节点、接收存储、有限诊断、事件证据与管理确认，不能仅以使用LoRa或增加页面作为创新。Lozoya等以田间对照评价事件通信与功耗[15]，Orihuela等开展农业事件通信的长期评估[16]。本项目拟在检测器、载荷和确认机制相同条件下比较周期与事件策略，将本地检测延迟、远端送达延迟和整机能量分别测量，不以发送帧数推算真实续航。</w:t>
            </w:r>
          </w:p>
          <w:p w14:paraId="7081A08D">
            <w:pPr>
              <w:keepNext/>
              <w:keepLines/>
              <w:spacing w:before="140" w:beforeLines="50" w:after="100" w:line="240" w:lineRule="auto"/>
              <w:jc w:val="both"/>
              <w:rPr>
                <w:rFonts w:hint="default" w:ascii="Times New Roman" w:hAnsi="Times New Roman" w:eastAsia="宋体" w:cs="Times New Roman"/>
                <w:b w:val="0"/>
                <w:sz w:val="21"/>
                <w:szCs w:val="28"/>
                <w:lang w:val="en-US" w:eastAsia="zh-CN"/>
              </w:rPr>
            </w:pPr>
            <w:r>
              <w:rPr>
                <w:rFonts w:hint="default" w:ascii="Times New Roman" w:hAnsi="Times New Roman" w:eastAsia="宋体" w:cs="Times New Roman"/>
                <w:b/>
                <w:sz w:val="21"/>
                <w:szCs w:val="28"/>
                <w:lang w:val="en-US" w:eastAsia="zh-CN"/>
              </w:rPr>
              <w:t>6 本项目拟研究的增量</w:t>
            </w:r>
            <w:r>
              <w:rPr>
                <w:rFonts w:hint="default" w:ascii="Times New Roman" w:hAnsi="Times New Roman" w:eastAsia="宋体" w:cs="Times New Roman"/>
                <w:b w:val="0"/>
                <w:sz w:val="21"/>
                <w:szCs w:val="28"/>
                <w:lang w:val="en-US" w:eastAsia="zh-CN"/>
              </w:rPr>
              <w:br w:type="textWrapping"/>
            </w:r>
            <w:r>
              <w:rPr>
                <w:rFonts w:hint="default" w:ascii="Times New Roman" w:hAnsi="Times New Roman" w:eastAsia="宋体" w:cs="Times New Roman"/>
                <w:b w:val="0"/>
                <w:sz w:val="21"/>
                <w:szCs w:val="28"/>
                <w:lang w:val="en-US" w:eastAsia="zh-CN"/>
              </w:rPr>
              <w:t>上述中文研究构成场景、水力、堵塞、诊断和系统集成的主要依据，英文研究补充间接监测边界、可控平台及通信评价。拟研究的增量集中于两个问题：低成本双压力流量与操作信息在何种故障程度和误差条件下能够改善巡检提示；在统一检测与确认机制下，减少通信是否仍能维持远端及时告警。通过可重复台架、强对照与分层评价形成结论，是否具有可发表贡献以进一步全文研读和独立实测为准。</w:t>
            </w:r>
          </w:p>
          <w:p w14:paraId="4BC9FE57">
            <w:pPr>
              <w:keepNext w:val="0"/>
              <w:keepLines/>
              <w:spacing w:beforeLines="50" w:after="100" w:line="240" w:lineRule="auto"/>
              <w:jc w:val="both"/>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参考文献</w:t>
            </w:r>
          </w:p>
          <w:tbl>
            <w:tblPr>
              <w:tblStyle w:val="6"/>
              <w:tblW w:w="8500" w:type="dxa"/>
              <w:tblInd w:w="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500"/>
            </w:tblGrid>
            <w:tr w14:paraId="47B5BB1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8500" w:type="dxa"/>
                  <w:tcBorders>
                    <w:tl2br w:val="nil"/>
                    <w:tr2bl w:val="nil"/>
                  </w:tcBorders>
                </w:tcPr>
                <w:p w14:paraId="27E307AB">
                  <w:pPr>
                    <w:keepNext w:val="0"/>
                    <w:keepLines/>
                    <w:pageBreakBefore w:val="0"/>
                    <w:spacing w:beforeLines="50" w:after="100" w:line="240" w:lineRule="auto"/>
                    <w:jc w:val="both"/>
                    <w:rPr>
                      <w:rFonts w:hint="default" w:ascii="Times New Roman" w:hAnsi="Times New Roman" w:eastAsia="宋体" w:cs="Times New Roman"/>
                      <w:b w:val="0"/>
                      <w:sz w:val="21"/>
                      <w:szCs w:val="28"/>
                      <w:vertAlign w:val="baseline"/>
                      <w:lang w:val="en-US" w:eastAsia="zh-CN"/>
                    </w:rPr>
                  </w:pPr>
                  <w:r>
                    <w:rPr>
                      <w:rFonts w:hint="default" w:ascii="Times New Roman" w:hAnsi="Times New Roman" w:eastAsia="宋体" w:cs="Times New Roman"/>
                      <w:b w:val="0"/>
                      <w:sz w:val="21"/>
                      <w:szCs w:val="28"/>
                      <w:vertAlign w:val="baseline"/>
                      <w:lang w:val="en-US" w:eastAsia="zh-CN"/>
                    </w:rPr>
                    <w:t>[1] 李慧琴, 王潭刚, 孔宪辉. 新疆南疆棉花“滴水出苗”技术问题及建议[J]. 中国棉花, 2022, 49(6): 36-38. DOI:10.11963/cc20220080.</w:t>
                  </w:r>
                </w:p>
              </w:tc>
            </w:tr>
            <w:tr w14:paraId="498724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8500" w:type="dxa"/>
                  <w:tcBorders>
                    <w:tl2br w:val="nil"/>
                    <w:tr2bl w:val="nil"/>
                  </w:tcBorders>
                </w:tcPr>
                <w:p w14:paraId="2202F853">
                  <w:pPr>
                    <w:keepNext w:val="0"/>
                    <w:keepLines/>
                    <w:pageBreakBefore w:val="0"/>
                    <w:spacing w:beforeLines="50" w:after="100" w:line="240" w:lineRule="auto"/>
                    <w:jc w:val="both"/>
                    <w:rPr>
                      <w:rFonts w:hint="default" w:ascii="Times New Roman" w:hAnsi="Times New Roman" w:eastAsia="宋体" w:cs="Times New Roman"/>
                      <w:b w:val="0"/>
                      <w:sz w:val="21"/>
                      <w:szCs w:val="28"/>
                      <w:vertAlign w:val="baseline"/>
                      <w:lang w:val="en-US" w:eastAsia="zh-CN"/>
                    </w:rPr>
                  </w:pPr>
                  <w:r>
                    <w:rPr>
                      <w:rFonts w:hint="default" w:ascii="Times New Roman" w:hAnsi="Times New Roman" w:eastAsia="宋体" w:cs="Times New Roman"/>
                      <w:b w:val="0"/>
                      <w:sz w:val="21"/>
                      <w:szCs w:val="28"/>
                      <w:vertAlign w:val="baseline"/>
                      <w:lang w:val="en-US" w:eastAsia="zh-CN"/>
                    </w:rPr>
                    <w:t>[2] 丁法龙, 茅泽育, 王文娥, 等. 滴灌管主流道沿程压力分布模型及验证[J]. 农业工程学报, 2019, 35(3): 117-124. DOI:10.11975/j.issn.1002-6819.2019.03.015.</w:t>
                  </w:r>
                </w:p>
              </w:tc>
            </w:tr>
            <w:tr w14:paraId="1A99A3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8500" w:type="dxa"/>
                  <w:tcBorders>
                    <w:tl2br w:val="nil"/>
                    <w:tr2bl w:val="nil"/>
                  </w:tcBorders>
                </w:tcPr>
                <w:p w14:paraId="76864CC7">
                  <w:pPr>
                    <w:keepNext w:val="0"/>
                    <w:keepLines/>
                    <w:pageBreakBefore w:val="0"/>
                    <w:spacing w:beforeLines="50" w:after="100" w:line="240" w:lineRule="auto"/>
                    <w:jc w:val="both"/>
                    <w:rPr>
                      <w:rFonts w:hint="default" w:ascii="Times New Roman" w:hAnsi="Times New Roman" w:eastAsia="宋体" w:cs="Times New Roman"/>
                      <w:b w:val="0"/>
                      <w:sz w:val="21"/>
                      <w:szCs w:val="28"/>
                      <w:vertAlign w:val="baseline"/>
                      <w:lang w:val="en-US" w:eastAsia="zh-CN"/>
                    </w:rPr>
                  </w:pPr>
                  <w:r>
                    <w:rPr>
                      <w:rFonts w:hint="default" w:ascii="Times New Roman" w:hAnsi="Times New Roman" w:eastAsia="宋体" w:cs="Times New Roman"/>
                      <w:b w:val="0"/>
                      <w:sz w:val="21"/>
                      <w:szCs w:val="28"/>
                      <w:vertAlign w:val="baseline"/>
                      <w:lang w:val="en-US" w:eastAsia="zh-CN"/>
                    </w:rPr>
                    <w:t>[3] 王亚林, 李京芳, 鄢锐, 等. 圆柱式滴头内镶及外包对滴灌毛管水力特性影响的模拟研究[J]. 华南农业大学学报, 2021, 42(4): 106-112. DOI:10.7671/j.issn.1001-411X.202009004.</w:t>
                  </w:r>
                </w:p>
              </w:tc>
            </w:tr>
            <w:tr w14:paraId="594539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8500" w:type="dxa"/>
                  <w:tcBorders>
                    <w:tl2br w:val="nil"/>
                    <w:tr2bl w:val="nil"/>
                  </w:tcBorders>
                </w:tcPr>
                <w:p w14:paraId="6290C2F0">
                  <w:pPr>
                    <w:keepNext w:val="0"/>
                    <w:keepLines/>
                    <w:pageBreakBefore w:val="0"/>
                    <w:spacing w:beforeLines="50" w:after="100" w:line="240" w:lineRule="auto"/>
                    <w:jc w:val="both"/>
                    <w:rPr>
                      <w:rFonts w:hint="default" w:ascii="Times New Roman" w:hAnsi="Times New Roman" w:eastAsia="宋体" w:cs="Times New Roman"/>
                      <w:b w:val="0"/>
                      <w:sz w:val="21"/>
                      <w:szCs w:val="28"/>
                      <w:vertAlign w:val="baseline"/>
                      <w:lang w:val="en-US" w:eastAsia="zh-CN"/>
                    </w:rPr>
                  </w:pPr>
                  <w:r>
                    <w:rPr>
                      <w:rFonts w:hint="default" w:ascii="Times New Roman" w:hAnsi="Times New Roman" w:eastAsia="宋体" w:cs="Times New Roman"/>
                      <w:b w:val="0"/>
                      <w:sz w:val="21"/>
                      <w:szCs w:val="28"/>
                      <w:vertAlign w:val="baseline"/>
                      <w:lang w:val="en-US" w:eastAsia="zh-CN"/>
                    </w:rPr>
                    <w:t>[4] 喻黎明, 曹丽, 李娜, 等. 额定流量与毛管位置对纽扣式滴头堵塞的影响及机理分析[J]. 农业工程学报, 2023, 39(20): 123-131. DOI:10.11975/j.issn.1002-6819.202307109.</w:t>
                  </w:r>
                </w:p>
              </w:tc>
            </w:tr>
            <w:tr w14:paraId="3E99C5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8500" w:type="dxa"/>
                  <w:tcBorders>
                    <w:tl2br w:val="nil"/>
                    <w:tr2bl w:val="nil"/>
                  </w:tcBorders>
                </w:tcPr>
                <w:p w14:paraId="5C0676EC">
                  <w:pPr>
                    <w:keepNext w:val="0"/>
                    <w:keepLines/>
                    <w:pageBreakBefore w:val="0"/>
                    <w:spacing w:beforeLines="50" w:after="100" w:line="240" w:lineRule="auto"/>
                    <w:jc w:val="both"/>
                    <w:rPr>
                      <w:rFonts w:hint="default" w:ascii="Times New Roman" w:hAnsi="Times New Roman" w:eastAsia="宋体" w:cs="Times New Roman"/>
                      <w:b w:val="0"/>
                      <w:sz w:val="21"/>
                      <w:szCs w:val="28"/>
                      <w:vertAlign w:val="baseline"/>
                      <w:lang w:val="en-US" w:eastAsia="zh-CN"/>
                    </w:rPr>
                  </w:pPr>
                  <w:r>
                    <w:rPr>
                      <w:rFonts w:hint="default" w:ascii="Times New Roman" w:hAnsi="Times New Roman" w:eastAsia="宋体" w:cs="Times New Roman"/>
                      <w:b w:val="0"/>
                      <w:sz w:val="21"/>
                      <w:szCs w:val="28"/>
                      <w:vertAlign w:val="baseline"/>
                      <w:lang w:val="en-US" w:eastAsia="zh-CN"/>
                    </w:rPr>
                    <w:t>[5] 王惠, 凌刚, 查晴, 等. 肥料种类与浓度对灌水器堵塞特征的影响及防堵策略[J]. 农业工程学报, 2023, 39(5): 53-60. DOI:10.11975/j.issn.1002-6819.202212095.</w:t>
                  </w:r>
                </w:p>
              </w:tc>
            </w:tr>
            <w:tr w14:paraId="677E8F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8500" w:type="dxa"/>
                  <w:tcBorders>
                    <w:tl2br w:val="nil"/>
                    <w:tr2bl w:val="nil"/>
                  </w:tcBorders>
                </w:tcPr>
                <w:p w14:paraId="03BB660B">
                  <w:pPr>
                    <w:keepNext w:val="0"/>
                    <w:keepLines/>
                    <w:pageBreakBefore w:val="0"/>
                    <w:spacing w:beforeLines="50" w:after="100" w:line="240" w:lineRule="auto"/>
                    <w:jc w:val="both"/>
                    <w:rPr>
                      <w:rFonts w:hint="default" w:ascii="Times New Roman" w:hAnsi="Times New Roman" w:eastAsia="宋体" w:cs="Times New Roman"/>
                      <w:b w:val="0"/>
                      <w:sz w:val="21"/>
                      <w:szCs w:val="28"/>
                      <w:vertAlign w:val="baseline"/>
                      <w:lang w:val="en-US" w:eastAsia="zh-CN"/>
                    </w:rPr>
                  </w:pPr>
                  <w:r>
                    <w:rPr>
                      <w:rFonts w:hint="default" w:ascii="Times New Roman" w:hAnsi="Times New Roman" w:eastAsia="宋体" w:cs="Times New Roman"/>
                      <w:b w:val="0"/>
                      <w:sz w:val="21"/>
                      <w:szCs w:val="28"/>
                      <w:vertAlign w:val="baseline"/>
                      <w:lang w:val="en-US" w:eastAsia="zh-CN"/>
                    </w:rPr>
                    <w:t>[6] 张唯一, 肖洋, 马长健, 等. 水流近壁面水力剪切力对滴灌系统碳酸钙污垢的影响[J]. 农业工程学报, 2023, 39(7): 137-144. DOI:10.11975/j.issn.1002-6819.202208008.</w:t>
                  </w:r>
                </w:p>
              </w:tc>
            </w:tr>
            <w:tr w14:paraId="5A082F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8500" w:type="dxa"/>
                  <w:tcBorders>
                    <w:tl2br w:val="nil"/>
                    <w:tr2bl w:val="nil"/>
                  </w:tcBorders>
                </w:tcPr>
                <w:p w14:paraId="3D47F079">
                  <w:pPr>
                    <w:keepNext w:val="0"/>
                    <w:keepLines/>
                    <w:pageBreakBefore w:val="0"/>
                    <w:spacing w:beforeLines="50" w:after="100" w:line="240" w:lineRule="auto"/>
                    <w:jc w:val="both"/>
                    <w:rPr>
                      <w:rFonts w:hint="default" w:ascii="Times New Roman" w:hAnsi="Times New Roman" w:eastAsia="宋体" w:cs="Times New Roman"/>
                      <w:b w:val="0"/>
                      <w:sz w:val="21"/>
                      <w:szCs w:val="28"/>
                      <w:vertAlign w:val="baseline"/>
                      <w:lang w:val="en-US" w:eastAsia="zh-CN"/>
                    </w:rPr>
                  </w:pPr>
                  <w:r>
                    <w:rPr>
                      <w:rFonts w:hint="default" w:ascii="Times New Roman" w:hAnsi="Times New Roman" w:eastAsia="宋体" w:cs="Times New Roman"/>
                      <w:b w:val="0"/>
                      <w:sz w:val="21"/>
                      <w:szCs w:val="28"/>
                      <w:vertAlign w:val="baseline"/>
                      <w:lang w:val="en-US" w:eastAsia="zh-CN"/>
                    </w:rPr>
                    <w:t>[7] 付建民, 赵振洋, 陈国明, 等. 液相管道流量与压力对小孔泄漏速率的影响[J]. 石油学报, 2016, 37(2): 257-265. DOI:10.7623/syxb201602013.</w:t>
                  </w:r>
                </w:p>
              </w:tc>
            </w:tr>
            <w:tr w14:paraId="7D31D1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8500" w:type="dxa"/>
                  <w:tcBorders>
                    <w:tl2br w:val="nil"/>
                    <w:tr2bl w:val="nil"/>
                  </w:tcBorders>
                </w:tcPr>
                <w:p w14:paraId="7E6F4902">
                  <w:pPr>
                    <w:keepNext w:val="0"/>
                    <w:keepLines/>
                    <w:pageBreakBefore w:val="0"/>
                    <w:spacing w:beforeLines="50" w:after="100" w:line="240" w:lineRule="auto"/>
                    <w:jc w:val="both"/>
                    <w:rPr>
                      <w:rFonts w:hint="default" w:ascii="Times New Roman" w:hAnsi="Times New Roman" w:eastAsia="宋体" w:cs="Times New Roman"/>
                      <w:b w:val="0"/>
                      <w:sz w:val="21"/>
                      <w:szCs w:val="28"/>
                      <w:vertAlign w:val="baseline"/>
                      <w:lang w:val="en-US" w:eastAsia="zh-CN"/>
                    </w:rPr>
                  </w:pPr>
                  <w:r>
                    <w:rPr>
                      <w:rFonts w:hint="default" w:ascii="Times New Roman" w:hAnsi="Times New Roman" w:eastAsia="宋体" w:cs="Times New Roman"/>
                      <w:b w:val="0"/>
                      <w:sz w:val="21"/>
                      <w:szCs w:val="28"/>
                      <w:vertAlign w:val="baseline"/>
                      <w:lang w:val="en-US" w:eastAsia="zh-CN"/>
                    </w:rPr>
                    <w:t>[8] 龚骏, 税爱社, 包建明, 等. 多工况下基于RBF神经网络的管道泄漏检测[J]. 油气储运, 2015, 34(7): 759-763. DOI:10.6047/j.issn.1000-8241.2015.07.017.</w:t>
                  </w:r>
                </w:p>
              </w:tc>
            </w:tr>
            <w:tr w14:paraId="64012F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8500" w:type="dxa"/>
                  <w:tcBorders>
                    <w:tl2br w:val="nil"/>
                    <w:tr2bl w:val="nil"/>
                  </w:tcBorders>
                </w:tcPr>
                <w:p w14:paraId="18CC7EA3">
                  <w:pPr>
                    <w:keepNext w:val="0"/>
                    <w:keepLines/>
                    <w:pageBreakBefore w:val="0"/>
                    <w:spacing w:beforeLines="50" w:after="100" w:line="240" w:lineRule="auto"/>
                    <w:jc w:val="both"/>
                    <w:rPr>
                      <w:rFonts w:hint="default" w:ascii="Times New Roman" w:hAnsi="Times New Roman" w:eastAsia="宋体" w:cs="Times New Roman"/>
                      <w:b w:val="0"/>
                      <w:sz w:val="21"/>
                      <w:szCs w:val="28"/>
                      <w:vertAlign w:val="baseline"/>
                      <w:lang w:val="en-US" w:eastAsia="zh-CN"/>
                    </w:rPr>
                  </w:pPr>
                  <w:r>
                    <w:rPr>
                      <w:rFonts w:hint="default" w:ascii="Times New Roman" w:hAnsi="Times New Roman" w:eastAsia="宋体" w:cs="Times New Roman"/>
                      <w:b w:val="0"/>
                      <w:sz w:val="21"/>
                      <w:szCs w:val="28"/>
                      <w:vertAlign w:val="baseline"/>
                      <w:lang w:val="en-US" w:eastAsia="zh-CN"/>
                    </w:rPr>
                    <w:t>[9] 马大中, 胡旭光, 孙秋野, 等. 基于数据特征融合的管网信息物理异常诊断方法[J]. 自动化学报, 2019, 45(1): 163-173. DOI:10.16383/j.aas.2018.c180383.</w:t>
                  </w:r>
                </w:p>
              </w:tc>
            </w:tr>
            <w:tr w14:paraId="19A1B3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8500" w:type="dxa"/>
                  <w:tcBorders>
                    <w:tl2br w:val="nil"/>
                    <w:tr2bl w:val="nil"/>
                  </w:tcBorders>
                </w:tcPr>
                <w:p w14:paraId="41DCFAA4">
                  <w:pPr>
                    <w:keepNext w:val="0"/>
                    <w:keepLines/>
                    <w:pageBreakBefore w:val="0"/>
                    <w:spacing w:beforeLines="50" w:after="100" w:line="240" w:lineRule="auto"/>
                    <w:jc w:val="both"/>
                    <w:rPr>
                      <w:rFonts w:hint="default" w:ascii="Times New Roman" w:hAnsi="Times New Roman" w:eastAsia="宋体" w:cs="Times New Roman"/>
                      <w:b w:val="0"/>
                      <w:sz w:val="21"/>
                      <w:szCs w:val="28"/>
                      <w:vertAlign w:val="baseline"/>
                      <w:lang w:val="en-US" w:eastAsia="zh-CN"/>
                    </w:rPr>
                  </w:pPr>
                  <w:r>
                    <w:rPr>
                      <w:rFonts w:hint="default" w:ascii="Times New Roman" w:hAnsi="Times New Roman" w:eastAsia="宋体" w:cs="Times New Roman"/>
                      <w:b w:val="0"/>
                      <w:sz w:val="21"/>
                      <w:szCs w:val="28"/>
                      <w:vertAlign w:val="baseline"/>
                      <w:lang w:val="en-US" w:eastAsia="zh-CN"/>
                    </w:rPr>
                    <w:t>[10] 孟祥, 赵莹, 徐卓威, 等. 基于LoRa技术的农田智能灌溉系统设计[J]. 中国农机化学报, 2023, 44(9): 161-168. DOI:10.13733/j.jcam.issn.2095-5553.2023.09.023.</w:t>
                  </w:r>
                </w:p>
              </w:tc>
            </w:tr>
            <w:tr w14:paraId="2390DE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8500" w:type="dxa"/>
                  <w:tcBorders>
                    <w:tl2br w:val="nil"/>
                    <w:tr2bl w:val="nil"/>
                  </w:tcBorders>
                </w:tcPr>
                <w:p w14:paraId="52715B34">
                  <w:pPr>
                    <w:keepNext w:val="0"/>
                    <w:keepLines/>
                    <w:pageBreakBefore w:val="0"/>
                    <w:spacing w:beforeLines="50" w:after="100" w:line="240" w:lineRule="auto"/>
                    <w:jc w:val="both"/>
                    <w:rPr>
                      <w:rFonts w:hint="default" w:ascii="Times New Roman" w:hAnsi="Times New Roman" w:eastAsia="宋体" w:cs="Times New Roman"/>
                      <w:b w:val="0"/>
                      <w:sz w:val="21"/>
                      <w:szCs w:val="28"/>
                      <w:vertAlign w:val="baseline"/>
                      <w:lang w:val="en-US" w:eastAsia="zh-CN"/>
                    </w:rPr>
                  </w:pPr>
                  <w:r>
                    <w:rPr>
                      <w:rFonts w:hint="default" w:ascii="Times New Roman" w:hAnsi="Times New Roman" w:eastAsia="宋体" w:cs="Times New Roman"/>
                      <w:b w:val="0"/>
                      <w:sz w:val="21"/>
                      <w:szCs w:val="28"/>
                      <w:vertAlign w:val="baseline"/>
                      <w:lang w:val="en-US" w:eastAsia="zh-CN"/>
                    </w:rPr>
                    <w:t>[11] 刘天翔, 郭文忠, 韩晓蓓, 等. 基于称量反馈的设施番茄灌溉系统的构建与应用[J]. 农业工程学报, 2024, 40(13): 85-96. DOI:10.11975/j.issn.1002-6819.202401146.</w:t>
                  </w:r>
                </w:p>
              </w:tc>
            </w:tr>
            <w:tr w14:paraId="736C8A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8500" w:type="dxa"/>
                  <w:tcBorders>
                    <w:tl2br w:val="nil"/>
                    <w:tr2bl w:val="nil"/>
                  </w:tcBorders>
                </w:tcPr>
                <w:p w14:paraId="63791C24">
                  <w:pPr>
                    <w:keepNext w:val="0"/>
                    <w:keepLines/>
                    <w:pageBreakBefore w:val="0"/>
                    <w:spacing w:beforeLines="50" w:after="100" w:line="240" w:lineRule="auto"/>
                    <w:jc w:val="both"/>
                    <w:rPr>
                      <w:rFonts w:hint="default" w:ascii="Times New Roman" w:hAnsi="Times New Roman" w:eastAsia="宋体" w:cs="Times New Roman"/>
                      <w:b w:val="0"/>
                      <w:sz w:val="21"/>
                      <w:szCs w:val="28"/>
                      <w:vertAlign w:val="baseline"/>
                      <w:lang w:val="en-US" w:eastAsia="zh-CN"/>
                    </w:rPr>
                  </w:pPr>
                  <w:r>
                    <w:rPr>
                      <w:rFonts w:hint="default" w:ascii="Times New Roman" w:hAnsi="Times New Roman" w:eastAsia="宋体" w:cs="Times New Roman"/>
                      <w:b w:val="0"/>
                      <w:sz w:val="21"/>
                      <w:szCs w:val="28"/>
                      <w:vertAlign w:val="baseline"/>
                      <w:lang w:val="en-US" w:eastAsia="zh-CN"/>
                    </w:rPr>
                    <w:t>[12] Petit J, García S M, Molle B, et al. Methods for drip irrigation clogging detection, analysis and understanding: State of the art and perspectives[J]. Agricultural Water Management, 2022, 272: 107873. DOI:10.1016/j.agwat.2022.107873.</w:t>
                  </w:r>
                </w:p>
              </w:tc>
            </w:tr>
            <w:tr w14:paraId="3CE986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8500" w:type="dxa"/>
                  <w:tcBorders>
                    <w:tl2br w:val="nil"/>
                    <w:tr2bl w:val="nil"/>
                  </w:tcBorders>
                </w:tcPr>
                <w:p w14:paraId="6A1DB8D3">
                  <w:pPr>
                    <w:keepNext w:val="0"/>
                    <w:keepLines/>
                    <w:pageBreakBefore w:val="0"/>
                    <w:spacing w:beforeLines="50" w:after="100" w:line="240" w:lineRule="auto"/>
                    <w:jc w:val="both"/>
                    <w:rPr>
                      <w:rFonts w:hint="default" w:ascii="Times New Roman" w:hAnsi="Times New Roman" w:eastAsia="宋体" w:cs="Times New Roman"/>
                      <w:b w:val="0"/>
                      <w:sz w:val="21"/>
                      <w:szCs w:val="28"/>
                      <w:vertAlign w:val="baseline"/>
                      <w:lang w:val="en-US" w:eastAsia="zh-CN"/>
                    </w:rPr>
                  </w:pPr>
                  <w:r>
                    <w:rPr>
                      <w:rFonts w:hint="default" w:ascii="Times New Roman" w:hAnsi="Times New Roman" w:eastAsia="宋体" w:cs="Times New Roman"/>
                      <w:b w:val="0"/>
                      <w:sz w:val="21"/>
                      <w:szCs w:val="28"/>
                      <w:vertAlign w:val="baseline"/>
                      <w:lang w:val="en-US" w:eastAsia="zh-CN"/>
                    </w:rPr>
                    <w:t>[13] Somaali N, Hayouni M, Sboui L, et al. HydroNeuro: A Data-Efficient IoT Sensing and Edge-AI Framework for Real-Time Hydraulic Anomaly Detection[J]. Sensors, 2026, 26(10): 3010. DOI:10.3390/s26103010.</w:t>
                  </w:r>
                </w:p>
              </w:tc>
            </w:tr>
            <w:tr w14:paraId="1C6E60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8500" w:type="dxa"/>
                  <w:tcBorders>
                    <w:tl2br w:val="nil"/>
                    <w:tr2bl w:val="nil"/>
                  </w:tcBorders>
                </w:tcPr>
                <w:p w14:paraId="55E79C67">
                  <w:pPr>
                    <w:keepNext w:val="0"/>
                    <w:keepLines/>
                    <w:pageBreakBefore w:val="0"/>
                    <w:spacing w:beforeLines="50" w:after="100" w:line="240" w:lineRule="auto"/>
                    <w:jc w:val="both"/>
                    <w:rPr>
                      <w:rFonts w:hint="default" w:ascii="Times New Roman" w:hAnsi="Times New Roman" w:eastAsia="宋体" w:cs="Times New Roman"/>
                      <w:b w:val="0"/>
                      <w:sz w:val="21"/>
                      <w:szCs w:val="28"/>
                      <w:vertAlign w:val="baseline"/>
                      <w:lang w:val="en-US" w:eastAsia="zh-CN"/>
                    </w:rPr>
                  </w:pPr>
                  <w:r>
                    <w:rPr>
                      <w:rFonts w:hint="default" w:ascii="Times New Roman" w:hAnsi="Times New Roman" w:eastAsia="宋体" w:cs="Times New Roman"/>
                      <w:b w:val="0"/>
                      <w:sz w:val="21"/>
                      <w:szCs w:val="28"/>
                      <w:vertAlign w:val="baseline"/>
                      <w:lang w:val="en-US" w:eastAsia="zh-CN"/>
                    </w:rPr>
                    <w:t>[14] Loukatos D, Fragkos A, Londra P, et al. A Simple Platform for Emulating Irrigation Scenarios and Its Applicability for Big Data Collection Toward Water Preservation via In Situ Experiments[J]. Land, 2026, 15(3): 464. DOI:10.3390/land15030464.</w:t>
                  </w:r>
                </w:p>
              </w:tc>
            </w:tr>
            <w:tr w14:paraId="0D52F4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8500" w:type="dxa"/>
                  <w:tcBorders>
                    <w:tl2br w:val="nil"/>
                    <w:tr2bl w:val="nil"/>
                  </w:tcBorders>
                </w:tcPr>
                <w:p w14:paraId="37E36BF4">
                  <w:pPr>
                    <w:keepNext w:val="0"/>
                    <w:keepLines/>
                    <w:pageBreakBefore w:val="0"/>
                    <w:spacing w:beforeLines="50" w:after="100" w:line="240" w:lineRule="auto"/>
                    <w:jc w:val="both"/>
                    <w:rPr>
                      <w:rFonts w:hint="default" w:ascii="Times New Roman" w:hAnsi="Times New Roman" w:eastAsia="宋体" w:cs="Times New Roman"/>
                      <w:b w:val="0"/>
                      <w:sz w:val="21"/>
                      <w:szCs w:val="28"/>
                      <w:vertAlign w:val="baseline"/>
                      <w:lang w:val="en-US" w:eastAsia="zh-CN"/>
                    </w:rPr>
                  </w:pPr>
                  <w:r>
                    <w:rPr>
                      <w:rFonts w:hint="default" w:ascii="Times New Roman" w:hAnsi="Times New Roman" w:eastAsia="宋体" w:cs="Times New Roman"/>
                      <w:b w:val="0"/>
                      <w:sz w:val="21"/>
                      <w:szCs w:val="28"/>
                      <w:vertAlign w:val="baseline"/>
                      <w:lang w:val="en-US" w:eastAsia="zh-CN"/>
                    </w:rPr>
                    <w:t>[15] Lozoya C, Favela-Contreras A, Aguilar-Gonzalez A, et al. Energy-Efficient Wireless Communication Strategy for Precision Agriculture Irrigation Control[J]. Sensors, 2021, 21(16): 5541. DOI:10.3390/s21165541.</w:t>
                  </w:r>
                </w:p>
              </w:tc>
            </w:tr>
            <w:tr w14:paraId="13F96B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8500" w:type="dxa"/>
                  <w:tcBorders>
                    <w:tl2br w:val="nil"/>
                    <w:tr2bl w:val="nil"/>
                  </w:tcBorders>
                </w:tcPr>
                <w:p w14:paraId="3ED63164">
                  <w:pPr>
                    <w:keepNext w:val="0"/>
                    <w:keepLines/>
                    <w:pageBreakBefore w:val="0"/>
                    <w:spacing w:beforeLines="50" w:after="100" w:line="240" w:lineRule="auto"/>
                    <w:jc w:val="both"/>
                    <w:rPr>
                      <w:rFonts w:hint="default" w:ascii="Times New Roman" w:hAnsi="Times New Roman" w:eastAsia="宋体" w:cs="Times New Roman"/>
                      <w:b w:val="0"/>
                      <w:sz w:val="21"/>
                      <w:szCs w:val="28"/>
                      <w:vertAlign w:val="baseline"/>
                      <w:lang w:val="en-US" w:eastAsia="zh-CN"/>
                    </w:rPr>
                  </w:pPr>
                  <w:r>
                    <w:rPr>
                      <w:rFonts w:hint="default" w:ascii="Times New Roman" w:hAnsi="Times New Roman" w:eastAsia="宋体" w:cs="Times New Roman"/>
                      <w:b w:val="0"/>
                      <w:sz w:val="21"/>
                      <w:szCs w:val="28"/>
                      <w:vertAlign w:val="baseline"/>
                      <w:lang w:val="en-US" w:eastAsia="zh-CN"/>
                    </w:rPr>
                    <w:t>[16] Orihuela L, Bareiro J, Reales F, et al. Long-term assessment of event-based communication for irrigation control in a bell pepper farm[J]. IFAC-PapersOnLine, 2025, 59(23): 44-49. DOI:10.1016/j.ifacol.2025.11.761.</w:t>
                  </w:r>
                </w:p>
              </w:tc>
            </w:tr>
            <w:tr w14:paraId="3E0D9A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8500" w:type="dxa"/>
                  <w:tcBorders>
                    <w:tl2br w:val="nil"/>
                    <w:tr2bl w:val="nil"/>
                  </w:tcBorders>
                </w:tcPr>
                <w:p w14:paraId="6F21F9EA">
                  <w:pPr>
                    <w:keepNext w:val="0"/>
                    <w:keepLines/>
                    <w:pageBreakBefore w:val="0"/>
                    <w:spacing w:beforeLines="50" w:after="100" w:line="240" w:lineRule="auto"/>
                    <w:jc w:val="both"/>
                    <w:rPr>
                      <w:rFonts w:hint="default" w:ascii="Times New Roman" w:hAnsi="Times New Roman" w:eastAsia="宋体" w:cs="Times New Roman"/>
                      <w:b w:val="0"/>
                      <w:sz w:val="21"/>
                      <w:szCs w:val="28"/>
                      <w:vertAlign w:val="baseline"/>
                      <w:lang w:val="en-US" w:eastAsia="zh-CN"/>
                    </w:rPr>
                  </w:pPr>
                  <w:r>
                    <w:rPr>
                      <w:rFonts w:hint="default" w:ascii="Times New Roman" w:hAnsi="Times New Roman" w:eastAsia="宋体" w:cs="Times New Roman"/>
                      <w:b w:val="0"/>
                      <w:sz w:val="21"/>
                      <w:szCs w:val="28"/>
                      <w:vertAlign w:val="baseline"/>
                      <w:lang w:val="en-US" w:eastAsia="zh-CN"/>
                    </w:rPr>
                    <w:t>[17] Sun Z, Wang Z, Li J. Identification and Evaluation of the Main Constraints on Cotton Production Within a Collective Drip Irrigation System in Southern Xinjiang, China[J]. Agronomy, 2025, 15(4): 760. DOI:10.3390/agronomy15040760.</w:t>
                  </w:r>
                </w:p>
              </w:tc>
            </w:tr>
          </w:tbl>
          <w:p w14:paraId="1635AE19">
            <w:pPr>
              <w:keepNext w:val="0"/>
              <w:keepLines/>
              <w:spacing w:beforeLines="50" w:after="100" w:line="240" w:lineRule="auto"/>
              <w:jc w:val="both"/>
              <w:rPr>
                <w:rFonts w:hint="default" w:ascii="Times New Roman" w:hAnsi="Times New Roman" w:eastAsia="宋体" w:cs="Times New Roman"/>
                <w:sz w:val="21"/>
                <w:szCs w:val="28"/>
                <w:lang w:val="en-US" w:eastAsia="zh-CN"/>
              </w:rPr>
            </w:pPr>
          </w:p>
          <w:p w14:paraId="37513BB4">
            <w:pPr>
              <w:keepNext w:val="0"/>
              <w:keepLines/>
              <w:spacing w:beforeLines="50" w:after="100" w:line="240" w:lineRule="auto"/>
              <w:jc w:val="both"/>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制度参考：塔里木大学大学生创新创业训练计划实施细则，校教发〔2025〕1号，2025-01-02，https://jwc.taru.edu.cn/info/1035/3872.htm。本批要求以正式通知为准。</w:t>
            </w:r>
          </w:p>
        </w:tc>
      </w:tr>
      <w:tr w14:paraId="6FBD81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9286" w:type="dxa"/>
            <w:gridSpan w:val="9"/>
            <w:noWrap w:val="0"/>
            <w:vAlign w:val="top"/>
          </w:tcPr>
          <w:p w14:paraId="401F12CB">
            <w:pPr>
              <w:keepNext/>
              <w:keepLines/>
              <w:spacing w:beforeLines="50" w:after="100" w:line="240" w:lineRule="auto"/>
              <w:jc w:val="both"/>
              <w:rPr>
                <w:rFonts w:hint="default" w:ascii="Times New Roman" w:hAnsi="Times New Roman" w:eastAsia="宋体" w:cs="Times New Roman"/>
                <w:b/>
                <w:sz w:val="21"/>
                <w:szCs w:val="28"/>
                <w:lang w:val="en-US" w:eastAsia="zh-CN"/>
              </w:rPr>
            </w:pPr>
            <w:r>
              <w:rPr>
                <w:rFonts w:hint="default" w:ascii="Times New Roman" w:hAnsi="Times New Roman" w:eastAsia="宋体" w:cs="Times New Roman"/>
                <w:b/>
                <w:sz w:val="21"/>
                <w:szCs w:val="28"/>
                <w:lang w:val="en-US" w:eastAsia="zh-CN"/>
              </w:rPr>
              <w:t>五、项目的特色与创新点</w:t>
            </w:r>
          </w:p>
          <w:p w14:paraId="67BAB318">
            <w:pPr>
              <w:keepNext/>
              <w:keepLines/>
              <w:spacing w:before="140" w:beforeLines="50" w:after="100" w:line="240" w:lineRule="auto"/>
              <w:jc w:val="both"/>
              <w:rPr>
                <w:rFonts w:hint="default" w:ascii="Times New Roman" w:hAnsi="Times New Roman" w:eastAsia="宋体" w:cs="Times New Roman"/>
                <w:b w:val="0"/>
                <w:sz w:val="21"/>
                <w:szCs w:val="28"/>
                <w:lang w:val="en-US" w:eastAsia="zh-CN"/>
              </w:rPr>
            </w:pPr>
            <w:r>
              <w:rPr>
                <w:rFonts w:hint="default" w:ascii="Times New Roman" w:hAnsi="Times New Roman" w:eastAsia="宋体" w:cs="Times New Roman"/>
                <w:b/>
                <w:sz w:val="21"/>
                <w:szCs w:val="28"/>
                <w:lang w:val="en-US" w:eastAsia="zh-CN"/>
              </w:rPr>
              <w:t>1 面向巡检的系统组织</w:t>
            </w:r>
            <w:r>
              <w:rPr>
                <w:rFonts w:hint="default" w:ascii="Times New Roman" w:hAnsi="Times New Roman" w:eastAsia="宋体" w:cs="Times New Roman"/>
                <w:b w:val="0"/>
                <w:sz w:val="21"/>
                <w:szCs w:val="28"/>
                <w:lang w:val="en-US" w:eastAsia="zh-CN"/>
              </w:rPr>
              <w:br w:type="textWrapping"/>
            </w:r>
            <w:r>
              <w:rPr>
                <w:rFonts w:hint="default" w:ascii="Times New Roman" w:hAnsi="Times New Roman" w:eastAsia="宋体" w:cs="Times New Roman"/>
                <w:b w:val="0"/>
                <w:sz w:val="21"/>
                <w:szCs w:val="28"/>
                <w:lang w:val="en-US" w:eastAsia="zh-CN"/>
              </w:rPr>
              <w:t>特色在于把双压力流量感知、有限故障模式、可靠告警和管理确认连接成可追溯系统，运行状态与测量质量共同参与解释。最终交付包含可操作台架、节点和接收端、软件以及对应实验资料，用户能够查看异常区段、变化证据以及核查、处置和复测记录。跨工况迁移与多支管共同扰动为后续研究预留了可检验问题和数据接口。</w:t>
            </w:r>
          </w:p>
          <w:p w14:paraId="2F405A31">
            <w:pPr>
              <w:keepNext/>
              <w:keepLines/>
              <w:spacing w:before="140" w:beforeLines="50" w:after="100" w:line="240" w:lineRule="auto"/>
              <w:jc w:val="both"/>
              <w:rPr>
                <w:rFonts w:hint="default" w:ascii="Times New Roman" w:hAnsi="Times New Roman" w:eastAsia="宋体" w:cs="Times New Roman"/>
                <w:b w:val="0"/>
                <w:sz w:val="21"/>
                <w:szCs w:val="28"/>
                <w:lang w:val="en-US" w:eastAsia="zh-CN"/>
              </w:rPr>
            </w:pPr>
            <w:r>
              <w:rPr>
                <w:rFonts w:hint="default" w:ascii="Times New Roman" w:hAnsi="Times New Roman" w:eastAsia="宋体" w:cs="Times New Roman"/>
                <w:b/>
                <w:sz w:val="21"/>
                <w:szCs w:val="28"/>
                <w:lang w:val="en-US" w:eastAsia="zh-CN"/>
              </w:rPr>
              <w:t>2 渐进故障的辨识边界与早期评价</w:t>
            </w:r>
            <w:r>
              <w:rPr>
                <w:rFonts w:hint="default" w:ascii="Times New Roman" w:hAnsi="Times New Roman" w:eastAsia="宋体" w:cs="Times New Roman"/>
                <w:b w:val="0"/>
                <w:sz w:val="21"/>
                <w:szCs w:val="28"/>
                <w:lang w:val="en-US" w:eastAsia="zh-CN"/>
              </w:rPr>
              <w:br w:type="textWrapping"/>
            </w:r>
            <w:r>
              <w:rPr>
                <w:rFonts w:hint="default" w:ascii="Times New Roman" w:hAnsi="Times New Roman" w:eastAsia="宋体" w:cs="Times New Roman"/>
                <w:b w:val="0"/>
                <w:sz w:val="21"/>
                <w:szCs w:val="28"/>
                <w:lang w:val="en-US" w:eastAsia="zh-CN"/>
              </w:rPr>
              <w:t>拟比较测点数量和状态信息对等效泄漏、受限辨识的作用，将故障程度、独立失效参照、提前量和误报同时评价。预期贡献是可检验的辨识条件与测量边界，而不是宣称双传感器本身首创。未知负载、漂移及切换期间失败结果均纳入研究。</w:t>
            </w:r>
          </w:p>
          <w:p w14:paraId="62BCDB5E">
            <w:pPr>
              <w:keepNext/>
              <w:keepLines/>
              <w:spacing w:before="140" w:beforeLines="50" w:after="100" w:line="240" w:lineRule="auto"/>
              <w:jc w:val="both"/>
              <w:rPr>
                <w:rFonts w:hint="default" w:ascii="Times New Roman" w:hAnsi="Times New Roman" w:eastAsia="宋体" w:cs="Times New Roman"/>
                <w:b w:val="0"/>
                <w:sz w:val="21"/>
                <w:szCs w:val="28"/>
                <w:lang w:val="en-US" w:eastAsia="zh-CN"/>
              </w:rPr>
            </w:pPr>
            <w:r>
              <w:rPr>
                <w:rFonts w:hint="default" w:ascii="Times New Roman" w:hAnsi="Times New Roman" w:eastAsia="宋体" w:cs="Times New Roman"/>
                <w:b/>
                <w:sz w:val="21"/>
                <w:szCs w:val="28"/>
                <w:lang w:val="en-US" w:eastAsia="zh-CN"/>
              </w:rPr>
              <w:t>3 诊断与可靠上报的联合验证</w:t>
            </w:r>
            <w:r>
              <w:rPr>
                <w:rFonts w:hint="default" w:ascii="Times New Roman" w:hAnsi="Times New Roman" w:eastAsia="宋体" w:cs="Times New Roman"/>
                <w:b w:val="0"/>
                <w:sz w:val="21"/>
                <w:szCs w:val="28"/>
                <w:lang w:val="en-US" w:eastAsia="zh-CN"/>
              </w:rPr>
              <w:br w:type="textWrapping"/>
            </w:r>
            <w:r>
              <w:rPr>
                <w:rFonts w:hint="default" w:ascii="Times New Roman" w:hAnsi="Times New Roman" w:eastAsia="宋体" w:cs="Times New Roman"/>
                <w:b w:val="0"/>
                <w:sz w:val="21"/>
                <w:szCs w:val="28"/>
                <w:lang w:val="en-US" w:eastAsia="zh-CN"/>
              </w:rPr>
              <w:t>拟在同一真实故障及本地检测记录下比较通信策略，把本地发现和远端送达分开测量，结合缓存、确认及整机能量评价取舍。当前诊断与通信分别具有模型证据，端到端联合验证为实施任务。创新点是拟研究方向，尚未证明算法优越性或取得论文、专利。</w:t>
            </w:r>
          </w:p>
        </w:tc>
      </w:tr>
      <w:tr w14:paraId="57A15E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9286" w:type="dxa"/>
            <w:gridSpan w:val="9"/>
            <w:noWrap w:val="0"/>
            <w:vAlign w:val="top"/>
          </w:tcPr>
          <w:p w14:paraId="611BE2F2">
            <w:pPr>
              <w:keepNext/>
              <w:keepLines/>
              <w:spacing w:beforeLines="50" w:after="100" w:line="240" w:lineRule="auto"/>
              <w:jc w:val="both"/>
              <w:rPr>
                <w:rFonts w:hint="default" w:ascii="Times New Roman" w:hAnsi="Times New Roman" w:eastAsia="宋体" w:cs="Times New Roman"/>
                <w:b/>
                <w:sz w:val="21"/>
                <w:szCs w:val="28"/>
                <w:lang w:val="en-US" w:eastAsia="zh-CN"/>
              </w:rPr>
            </w:pPr>
            <w:r>
              <w:rPr>
                <w:rFonts w:hint="default" w:ascii="Times New Roman" w:hAnsi="Times New Roman" w:eastAsia="宋体" w:cs="Times New Roman"/>
                <w:b/>
                <w:sz w:val="21"/>
                <w:szCs w:val="28"/>
                <w:lang w:val="en-US" w:eastAsia="zh-CN"/>
              </w:rPr>
              <w:t>六、项目预期成果</w:t>
            </w:r>
          </w:p>
          <w:p w14:paraId="7136C96C">
            <w:pPr>
              <w:keepNext w:val="0"/>
              <w:keepLines/>
              <w:spacing w:beforeLines="50" w:after="100" w:line="240" w:lineRule="auto"/>
              <w:jc w:val="both"/>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形成1套支管故障诊断原型，包含1个P0/P1/Q节点、1个LoRa接收端、1套双支路清水台架和本地Web管理软件，能够完成测量、有限提示、可靠接收、人工核查、处置复测及数据导出。</w:t>
            </w:r>
          </w:p>
          <w:p w14:paraId="1E58D39B">
            <w:pPr>
              <w:keepNext w:val="0"/>
              <w:keepLines/>
              <w:spacing w:beforeLines="50" w:after="100" w:line="240" w:lineRule="auto"/>
              <w:jc w:val="both"/>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形成1套可追溯数据和复现程序，覆盖标定、独立操作标签、主要故障网格、正常切换、跨批次强基线和消融、通信及整机测量，保留失败实例。主要独立试验至少54次，另开展正常/切换对照和连续运行检查。</w:t>
            </w:r>
          </w:p>
          <w:p w14:paraId="68F34FF5">
            <w:pPr>
              <w:keepNext w:val="0"/>
              <w:keepLines/>
              <w:spacing w:beforeLines="50" w:after="100" w:line="240" w:lineRule="auto"/>
              <w:jc w:val="both"/>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形成调研报告、研究/结题报告、技术与使用说明、过程记录和演示材料，按批准任务书及本批规则完成验收。学校2025年细则中的实物或软硬件研发选择成果可作为参考，最终以实际获批任务要求为准。</w:t>
            </w:r>
          </w:p>
          <w:p w14:paraId="42BE4540">
            <w:pPr>
              <w:keepNext w:val="0"/>
              <w:keepLines/>
              <w:spacing w:beforeLines="50" w:after="100" w:line="240" w:lineRule="auto"/>
              <w:jc w:val="both"/>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形成1篇研究论文稿，优先提炼渐进故障辨识条件或可靠告警取舍，在数据和贡献充分时经导师审核投稿。论文稿、投稿、录用、发表和收录分别记录；期刊级别及发表结果不作为已经取得的成绩。软著与专利根据实际成果另行判断。</w:t>
            </w:r>
          </w:p>
        </w:tc>
      </w:tr>
      <w:tr w14:paraId="554B71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9286" w:type="dxa"/>
            <w:gridSpan w:val="9"/>
            <w:noWrap w:val="0"/>
            <w:vAlign w:val="top"/>
          </w:tcPr>
          <w:p w14:paraId="78BCB58A">
            <w:pPr>
              <w:keepNext/>
              <w:keepLines/>
              <w:spacing w:beforeLines="50" w:after="100" w:line="240" w:lineRule="auto"/>
              <w:jc w:val="both"/>
              <w:rPr>
                <w:rFonts w:hint="default" w:ascii="Times New Roman" w:hAnsi="Times New Roman" w:eastAsia="宋体" w:cs="Times New Roman"/>
                <w:b/>
                <w:sz w:val="21"/>
                <w:szCs w:val="28"/>
                <w:lang w:val="en-US" w:eastAsia="zh-CN"/>
              </w:rPr>
            </w:pPr>
            <w:r>
              <w:rPr>
                <w:rFonts w:hint="default" w:ascii="Times New Roman" w:hAnsi="Times New Roman" w:eastAsia="宋体" w:cs="Times New Roman"/>
                <w:b/>
                <w:sz w:val="21"/>
                <w:szCs w:val="28"/>
                <w:lang w:val="en-US" w:eastAsia="zh-CN"/>
              </w:rPr>
              <w:t>七、项目年度目标和工作内容（按年度写）</w:t>
            </w:r>
          </w:p>
          <w:p w14:paraId="274FFF6C">
            <w:pPr>
              <w:keepNext w:val="0"/>
              <w:keepLines/>
              <w:spacing w:beforeLines="50" w:after="100" w:line="240" w:lineRule="auto"/>
              <w:jc w:val="both"/>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2027年度完成测量台架、主要实验、LoRa与Web集成、独立验证及论文稿；2028年1—2月补关键验证、核对任务书并办理结项。表3按阶段列出进入下一阶段的条件。</w:t>
            </w:r>
          </w:p>
          <w:tbl>
            <w:tblPr>
              <w:tblStyle w:val="6"/>
              <w:tblW w:w="8500" w:type="dxa"/>
              <w:tblInd w:w="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500"/>
            </w:tblGrid>
            <w:tr w14:paraId="5B5C68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9070" w:type="dxa"/>
                  <w:tcBorders>
                    <w:tl2br w:val="nil"/>
                    <w:tr2bl w:val="nil"/>
                  </w:tcBorders>
                </w:tcPr>
                <w:p w14:paraId="1D1CF589">
                  <w:pPr>
                    <w:keepNext w:val="0"/>
                    <w:keepLines/>
                    <w:spacing w:beforeLines="50" w:after="140" w:line="240" w:lineRule="auto"/>
                    <w:jc w:val="both"/>
                    <w:rPr>
                      <w:rFonts w:hint="eastAsia" w:ascii="Times New Roman" w:hAnsi="Times New Roman" w:cs="Times New Roman"/>
                      <w:b/>
                      <w:sz w:val="21"/>
                      <w:szCs w:val="28"/>
                      <w:vertAlign w:val="baseline"/>
                      <w:lang w:val="en-US" w:eastAsia="zh-CN"/>
                    </w:rPr>
                  </w:pPr>
                  <w:r>
                    <w:rPr>
                      <w:rFonts w:hint="eastAsia" w:ascii="Times New Roman" w:hAnsi="Times New Roman" w:cs="Times New Roman"/>
                      <w:b/>
                      <w:sz w:val="21"/>
                      <w:szCs w:val="28"/>
                      <w:vertAlign w:val="baseline"/>
                      <w:lang w:val="en-US" w:eastAsia="zh-CN"/>
                    </w:rPr>
                    <w:t>表3 实施进度及阶段交付</w:t>
                  </w:r>
                </w:p>
                <w:tbl>
                  <w:tblPr>
                    <w:tblStyle w:val="6"/>
                    <w:tblW w:w="8500" w:type="dxa"/>
                    <w:tblInd w:w="3" w:type="dxa"/>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Layout w:type="fixed"/>
                    <w:tblCellMar>
                      <w:top w:w="60" w:type="dxa"/>
                      <w:left w:w="100" w:type="dxa"/>
                      <w:bottom w:w="60" w:type="dxa"/>
                      <w:right w:w="100" w:type="dxa"/>
                    </w:tblCellMar>
                  </w:tblPr>
                  <w:tblGrid>
                    <w:gridCol w:w="1700"/>
                    <w:gridCol w:w="3300"/>
                    <w:gridCol w:w="3500"/>
                  </w:tblGrid>
                  <w:tr w14:paraId="7A3C9611">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60" w:type="dxa"/>
                        <w:left w:w="100" w:type="dxa"/>
                        <w:bottom w:w="60" w:type="dxa"/>
                        <w:right w:w="100" w:type="dxa"/>
                      </w:tblCellMar>
                    </w:tblPrEx>
                    <w:trPr>
                      <w:cantSplit/>
                      <w:tblHeader/>
                    </w:trPr>
                    <w:tc>
                      <w:tcPr>
                        <w:tcW w:w="1700" w:type="dxa"/>
                        <w:tcBorders>
                          <w:tl2br w:val="nil"/>
                          <w:tr2bl w:val="nil"/>
                        </w:tcBorders>
                        <w:shd w:val="clear" w:color="auto" w:fill="EDEDED"/>
                        <w:vAlign w:val="center"/>
                      </w:tcPr>
                      <w:p w14:paraId="67A403B2">
                        <w:pPr>
                          <w:keepNext/>
                          <w:keepLines/>
                          <w:spacing w:beforeLines="50" w:after="40" w:line="240" w:lineRule="auto"/>
                          <w:jc w:val="both"/>
                          <w:rPr>
                            <w:rFonts w:hint="default" w:ascii="Times New Roman" w:hAnsi="Times New Roman" w:eastAsia="宋体" w:cs="Times New Roman"/>
                            <w:b/>
                            <w:sz w:val="19"/>
                            <w:szCs w:val="28"/>
                            <w:vertAlign w:val="baseline"/>
                            <w:lang w:val="en-US" w:eastAsia="zh-CN"/>
                          </w:rPr>
                        </w:pPr>
                        <w:r>
                          <w:rPr>
                            <w:rFonts w:hint="eastAsia" w:ascii="Times New Roman" w:hAnsi="Times New Roman" w:cs="Times New Roman"/>
                            <w:b/>
                            <w:sz w:val="19"/>
                            <w:szCs w:val="28"/>
                            <w:vertAlign w:val="baseline"/>
                            <w:lang w:val="en-US" w:eastAsia="zh-CN"/>
                          </w:rPr>
                          <w:t>时段</w:t>
                        </w:r>
                      </w:p>
                    </w:tc>
                    <w:tc>
                      <w:tcPr>
                        <w:tcW w:w="3300" w:type="dxa"/>
                        <w:tcBorders>
                          <w:tl2br w:val="nil"/>
                          <w:tr2bl w:val="nil"/>
                        </w:tcBorders>
                        <w:shd w:val="clear" w:color="auto" w:fill="EDEDED"/>
                        <w:vAlign w:val="center"/>
                      </w:tcPr>
                      <w:p w14:paraId="5E21C6BF">
                        <w:pPr>
                          <w:keepNext/>
                          <w:keepLines/>
                          <w:spacing w:beforeLines="50" w:after="40" w:line="240" w:lineRule="auto"/>
                          <w:jc w:val="both"/>
                          <w:rPr>
                            <w:rFonts w:hint="default" w:ascii="Times New Roman" w:hAnsi="Times New Roman" w:eastAsia="宋体" w:cs="Times New Roman"/>
                            <w:b/>
                            <w:sz w:val="19"/>
                            <w:szCs w:val="28"/>
                            <w:vertAlign w:val="baseline"/>
                            <w:lang w:val="en-US" w:eastAsia="zh-CN"/>
                          </w:rPr>
                        </w:pPr>
                        <w:r>
                          <w:rPr>
                            <w:rFonts w:hint="eastAsia" w:ascii="Times New Roman" w:hAnsi="Times New Roman" w:cs="Times New Roman"/>
                            <w:b/>
                            <w:sz w:val="19"/>
                            <w:szCs w:val="28"/>
                            <w:vertAlign w:val="baseline"/>
                            <w:lang w:val="en-US" w:eastAsia="zh-CN"/>
                          </w:rPr>
                          <w:t>核心工作</w:t>
                        </w:r>
                      </w:p>
                    </w:tc>
                    <w:tc>
                      <w:tcPr>
                        <w:tcW w:w="3500" w:type="dxa"/>
                        <w:tcBorders>
                          <w:tl2br w:val="nil"/>
                          <w:tr2bl w:val="nil"/>
                        </w:tcBorders>
                        <w:shd w:val="clear" w:color="auto" w:fill="EDEDED"/>
                        <w:vAlign w:val="center"/>
                      </w:tcPr>
                      <w:p w14:paraId="0A4656A6">
                        <w:pPr>
                          <w:keepNext/>
                          <w:keepLines/>
                          <w:spacing w:beforeLines="50" w:after="40" w:line="240" w:lineRule="auto"/>
                          <w:jc w:val="both"/>
                          <w:rPr>
                            <w:rFonts w:hint="default" w:ascii="Times New Roman" w:hAnsi="Times New Roman" w:eastAsia="宋体" w:cs="Times New Roman"/>
                            <w:b/>
                            <w:sz w:val="19"/>
                            <w:szCs w:val="28"/>
                            <w:vertAlign w:val="baseline"/>
                            <w:lang w:val="en-US" w:eastAsia="zh-CN"/>
                          </w:rPr>
                        </w:pPr>
                        <w:r>
                          <w:rPr>
                            <w:rFonts w:hint="eastAsia" w:ascii="Times New Roman" w:hAnsi="Times New Roman" w:cs="Times New Roman"/>
                            <w:b/>
                            <w:sz w:val="19"/>
                            <w:szCs w:val="28"/>
                            <w:vertAlign w:val="baseline"/>
                            <w:lang w:val="en-US" w:eastAsia="zh-CN"/>
                          </w:rPr>
                          <w:t>阶段交付或进入条件</w:t>
                        </w:r>
                      </w:p>
                    </w:tc>
                  </w:tr>
                  <w:tr w14:paraId="6087D5E2">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60" w:type="dxa"/>
                        <w:left w:w="100" w:type="dxa"/>
                        <w:bottom w:w="60" w:type="dxa"/>
                        <w:right w:w="100" w:type="dxa"/>
                      </w:tblCellMar>
                    </w:tblPrEx>
                    <w:trPr>
                      <w:cantSplit/>
                    </w:trPr>
                    <w:tc>
                      <w:tcPr>
                        <w:tcW w:w="1700" w:type="dxa"/>
                        <w:tcBorders>
                          <w:tl2br w:val="nil"/>
                          <w:tr2bl w:val="nil"/>
                        </w:tcBorders>
                        <w:shd w:val="clear" w:color="auto" w:fill="FFFFFF"/>
                        <w:vAlign w:val="center"/>
                      </w:tcPr>
                      <w:p w14:paraId="24FD97DD">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2027年3—4月</w:t>
                        </w:r>
                      </w:p>
                    </w:tc>
                    <w:tc>
                      <w:tcPr>
                        <w:tcW w:w="3300" w:type="dxa"/>
                        <w:tcBorders>
                          <w:tl2br w:val="nil"/>
                          <w:tr2bl w:val="nil"/>
                        </w:tcBorders>
                        <w:shd w:val="clear" w:color="auto" w:fill="FFFFFF"/>
                        <w:vAlign w:val="center"/>
                      </w:tcPr>
                      <w:p w14:paraId="5B78A92B">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台架、标定、有线日志与差压误差</w:t>
                        </w:r>
                      </w:p>
                    </w:tc>
                    <w:tc>
                      <w:tcPr>
                        <w:tcW w:w="3500" w:type="dxa"/>
                        <w:tcBorders>
                          <w:tl2br w:val="nil"/>
                          <w:tr2bl w:val="nil"/>
                        </w:tcBorders>
                        <w:shd w:val="clear" w:color="auto" w:fill="FFFFFF"/>
                        <w:vAlign w:val="center"/>
                      </w:tcPr>
                      <w:p w14:paraId="07AC2AEA">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有独立标签、可校核且可重复的原始数据</w:t>
                        </w:r>
                      </w:p>
                    </w:tc>
                  </w:tr>
                  <w:tr w14:paraId="4F98B4CB">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60" w:type="dxa"/>
                        <w:left w:w="100" w:type="dxa"/>
                        <w:bottom w:w="60" w:type="dxa"/>
                        <w:right w:w="100" w:type="dxa"/>
                      </w:tblCellMar>
                    </w:tblPrEx>
                    <w:trPr>
                      <w:cantSplit/>
                    </w:trPr>
                    <w:tc>
                      <w:tcPr>
                        <w:tcW w:w="1700" w:type="dxa"/>
                        <w:tcBorders>
                          <w:tl2br w:val="nil"/>
                          <w:tr2bl w:val="nil"/>
                        </w:tcBorders>
                        <w:shd w:val="clear" w:color="auto" w:fill="FFFFFF"/>
                        <w:vAlign w:val="center"/>
                      </w:tcPr>
                      <w:p w14:paraId="7271C7F4">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2027年5—6月</w:t>
                        </w:r>
                      </w:p>
                    </w:tc>
                    <w:tc>
                      <w:tcPr>
                        <w:tcW w:w="3300" w:type="dxa"/>
                        <w:tcBorders>
                          <w:tl2br w:val="nil"/>
                          <w:tr2bl w:val="nil"/>
                        </w:tcBorders>
                        <w:shd w:val="clear" w:color="auto" w:fill="FFFFFF"/>
                        <w:vAlign w:val="center"/>
                      </w:tcPr>
                      <w:p w14:paraId="4B8AE715">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故障程度网格、正常切换和方法对照</w:t>
                        </w:r>
                      </w:p>
                    </w:tc>
                    <w:tc>
                      <w:tcPr>
                        <w:tcW w:w="3500" w:type="dxa"/>
                        <w:tcBorders>
                          <w:tl2br w:val="nil"/>
                          <w:tr2bl w:val="nil"/>
                        </w:tcBorders>
                        <w:shd w:val="clear" w:color="auto" w:fill="FFFFFF"/>
                        <w:vAlign w:val="center"/>
                      </w:tcPr>
                      <w:p w14:paraId="1A3900F1">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试次级误报、漏检、模式及提前量记录</w:t>
                        </w:r>
                      </w:p>
                    </w:tc>
                  </w:tr>
                  <w:tr w14:paraId="1D5A2EC0">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60" w:type="dxa"/>
                        <w:left w:w="100" w:type="dxa"/>
                        <w:bottom w:w="60" w:type="dxa"/>
                        <w:right w:w="100" w:type="dxa"/>
                      </w:tblCellMar>
                    </w:tblPrEx>
                    <w:trPr>
                      <w:cantSplit/>
                    </w:trPr>
                    <w:tc>
                      <w:tcPr>
                        <w:tcW w:w="1700" w:type="dxa"/>
                        <w:tcBorders>
                          <w:tl2br w:val="nil"/>
                          <w:tr2bl w:val="nil"/>
                        </w:tcBorders>
                        <w:shd w:val="clear" w:color="auto" w:fill="FFFFFF"/>
                        <w:vAlign w:val="center"/>
                      </w:tcPr>
                      <w:p w14:paraId="764F5F2B">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2027年7—8月</w:t>
                        </w:r>
                      </w:p>
                    </w:tc>
                    <w:tc>
                      <w:tcPr>
                        <w:tcW w:w="3300" w:type="dxa"/>
                        <w:tcBorders>
                          <w:tl2br w:val="nil"/>
                          <w:tr2bl w:val="nil"/>
                        </w:tcBorders>
                        <w:shd w:val="clear" w:color="auto" w:fill="FFFFFF"/>
                        <w:vAlign w:val="center"/>
                      </w:tcPr>
                      <w:p w14:paraId="080D1F9D">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LoRa协议、本地Web及连续运行</w:t>
                        </w:r>
                      </w:p>
                    </w:tc>
                    <w:tc>
                      <w:tcPr>
                        <w:tcW w:w="3500" w:type="dxa"/>
                        <w:tcBorders>
                          <w:tl2br w:val="nil"/>
                          <w:tr2bl w:val="nil"/>
                        </w:tcBorders>
                        <w:shd w:val="clear" w:color="auto" w:fill="FFFFFF"/>
                        <w:vAlign w:val="center"/>
                      </w:tcPr>
                      <w:p w14:paraId="4936EE51">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发收确认可追溯，恢复与整机测量记录</w:t>
                        </w:r>
                      </w:p>
                    </w:tc>
                  </w:tr>
                  <w:tr w14:paraId="292A1880">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60" w:type="dxa"/>
                        <w:left w:w="100" w:type="dxa"/>
                        <w:bottom w:w="60" w:type="dxa"/>
                        <w:right w:w="100" w:type="dxa"/>
                      </w:tblCellMar>
                    </w:tblPrEx>
                    <w:trPr>
                      <w:cantSplit/>
                    </w:trPr>
                    <w:tc>
                      <w:tcPr>
                        <w:tcW w:w="1700" w:type="dxa"/>
                        <w:tcBorders>
                          <w:tl2br w:val="nil"/>
                          <w:tr2bl w:val="nil"/>
                        </w:tcBorders>
                        <w:shd w:val="clear" w:color="auto" w:fill="FFFFFF"/>
                        <w:vAlign w:val="center"/>
                      </w:tcPr>
                      <w:p w14:paraId="58332FC4">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2027年9—10月</w:t>
                        </w:r>
                      </w:p>
                    </w:tc>
                    <w:tc>
                      <w:tcPr>
                        <w:tcW w:w="3300" w:type="dxa"/>
                        <w:tcBorders>
                          <w:tl2br w:val="nil"/>
                          <w:tr2bl w:val="nil"/>
                        </w:tcBorders>
                        <w:shd w:val="clear" w:color="auto" w:fill="FFFFFF"/>
                        <w:vAlign w:val="center"/>
                      </w:tcPr>
                      <w:p w14:paraId="509A29C1">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独立批次、消融、条件性现场、论文稿</w:t>
                        </w:r>
                      </w:p>
                    </w:tc>
                    <w:tc>
                      <w:tcPr>
                        <w:tcW w:w="3500" w:type="dxa"/>
                        <w:tcBorders>
                          <w:tl2br w:val="nil"/>
                          <w:tr2bl w:val="nil"/>
                        </w:tcBorders>
                        <w:shd w:val="clear" w:color="auto" w:fill="FFFFFF"/>
                        <w:vAlign w:val="center"/>
                      </w:tcPr>
                      <w:p w14:paraId="2E3B6CC7">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冻结数据与方法，导师审核论文贡献</w:t>
                        </w:r>
                      </w:p>
                    </w:tc>
                  </w:tr>
                  <w:tr w14:paraId="6159BDDA">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60" w:type="dxa"/>
                        <w:left w:w="100" w:type="dxa"/>
                        <w:bottom w:w="60" w:type="dxa"/>
                        <w:right w:w="100" w:type="dxa"/>
                      </w:tblCellMar>
                    </w:tblPrEx>
                    <w:trPr>
                      <w:cantSplit/>
                    </w:trPr>
                    <w:tc>
                      <w:tcPr>
                        <w:tcW w:w="1700" w:type="dxa"/>
                        <w:tcBorders>
                          <w:tl2br w:val="nil"/>
                          <w:tr2bl w:val="nil"/>
                        </w:tcBorders>
                        <w:shd w:val="clear" w:color="auto" w:fill="FFFFFF"/>
                        <w:vAlign w:val="center"/>
                      </w:tcPr>
                      <w:p w14:paraId="5841106C">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2027年11—12月</w:t>
                        </w:r>
                      </w:p>
                    </w:tc>
                    <w:tc>
                      <w:tcPr>
                        <w:tcW w:w="3300" w:type="dxa"/>
                        <w:tcBorders>
                          <w:tl2br w:val="nil"/>
                          <w:tr2bl w:val="nil"/>
                        </w:tcBorders>
                        <w:shd w:val="clear" w:color="auto" w:fill="FFFFFF"/>
                        <w:vAlign w:val="center"/>
                      </w:tcPr>
                      <w:p w14:paraId="2BCF7471">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补试验、修订原型与研究报告</w:t>
                        </w:r>
                      </w:p>
                    </w:tc>
                    <w:tc>
                      <w:tcPr>
                        <w:tcW w:w="3500" w:type="dxa"/>
                        <w:tcBorders>
                          <w:tl2br w:val="nil"/>
                          <w:tr2bl w:val="nil"/>
                        </w:tcBorders>
                        <w:shd w:val="clear" w:color="auto" w:fill="FFFFFF"/>
                        <w:vAlign w:val="center"/>
                      </w:tcPr>
                      <w:p w14:paraId="74734004">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系统演示、调研、过程及本批要求材料</w:t>
                        </w:r>
                      </w:p>
                    </w:tc>
                  </w:tr>
                  <w:tr w14:paraId="76638432">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60" w:type="dxa"/>
                        <w:left w:w="100" w:type="dxa"/>
                        <w:bottom w:w="60" w:type="dxa"/>
                        <w:right w:w="100" w:type="dxa"/>
                      </w:tblCellMar>
                    </w:tblPrEx>
                    <w:trPr>
                      <w:cantSplit/>
                    </w:trPr>
                    <w:tc>
                      <w:tcPr>
                        <w:tcW w:w="1700" w:type="dxa"/>
                        <w:tcBorders>
                          <w:tl2br w:val="nil"/>
                          <w:tr2bl w:val="nil"/>
                        </w:tcBorders>
                        <w:shd w:val="clear" w:color="auto" w:fill="FFFFFF"/>
                        <w:vAlign w:val="center"/>
                      </w:tcPr>
                      <w:p w14:paraId="07B11215">
                        <w:pPr>
                          <w:keepNext w:val="0"/>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2028年1—2月</w:t>
                        </w:r>
                      </w:p>
                    </w:tc>
                    <w:tc>
                      <w:tcPr>
                        <w:tcW w:w="3300" w:type="dxa"/>
                        <w:tcBorders>
                          <w:tl2br w:val="nil"/>
                          <w:tr2bl w:val="nil"/>
                        </w:tcBorders>
                        <w:shd w:val="clear" w:color="auto" w:fill="FFFFFF"/>
                        <w:vAlign w:val="center"/>
                      </w:tcPr>
                      <w:p w14:paraId="3467466A">
                        <w:pPr>
                          <w:keepNext w:val="0"/>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核对任务书、补验证与归档</w:t>
                        </w:r>
                      </w:p>
                    </w:tc>
                    <w:tc>
                      <w:tcPr>
                        <w:tcW w:w="3500" w:type="dxa"/>
                        <w:tcBorders>
                          <w:tl2br w:val="nil"/>
                          <w:tr2bl w:val="nil"/>
                        </w:tcBorders>
                        <w:shd w:val="clear" w:color="auto" w:fill="FFFFFF"/>
                        <w:vAlign w:val="center"/>
                      </w:tcPr>
                      <w:p w14:paraId="018DD029">
                        <w:pPr>
                          <w:keepNext w:val="0"/>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实物软件、数据、报告和结项材料对应</w:t>
                        </w:r>
                      </w:p>
                    </w:tc>
                  </w:tr>
                </w:tbl>
                <w:p w14:paraId="3DCC1C0E">
                  <w:pPr>
                    <w:keepNext w:val="0"/>
                    <w:keepLines/>
                    <w:spacing w:beforeLines="50" w:after="100" w:line="240" w:lineRule="auto"/>
                    <w:jc w:val="both"/>
                    <w:rPr>
                      <w:rFonts w:hint="default" w:ascii="Times New Roman" w:hAnsi="Times New Roman" w:cs="Times New Roman"/>
                      <w:sz w:val="21"/>
                      <w:szCs w:val="28"/>
                      <w:vertAlign w:val="baseline"/>
                      <w:lang w:val="en-US" w:eastAsia="zh-CN"/>
                    </w:rPr>
                  </w:pPr>
                </w:p>
              </w:tc>
            </w:tr>
          </w:tbl>
          <w:p w14:paraId="6099B2FF">
            <w:pPr>
              <w:keepNext w:val="0"/>
              <w:keepLines/>
              <w:spacing w:beforeLines="50" w:after="100" w:line="240" w:lineRule="auto"/>
              <w:jc w:val="both"/>
              <w:rPr>
                <w:rFonts w:hint="default" w:ascii="Times New Roman" w:hAnsi="Times New Roman" w:eastAsia="宋体" w:cs="Times New Roman"/>
                <w:sz w:val="21"/>
                <w:szCs w:val="28"/>
                <w:lang w:val="en-US" w:eastAsia="zh-CN"/>
              </w:rPr>
            </w:pPr>
          </w:p>
          <w:p w14:paraId="6A6E103F">
            <w:pPr>
              <w:keepNext w:val="0"/>
              <w:keepLines/>
              <w:spacing w:beforeLines="50" w:after="100" w:line="240" w:lineRule="auto"/>
              <w:jc w:val="both"/>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申报后至正式实施前开展C/Python学习、成员分工、器件询价和参考仪器联系。测量阶段未达到可重复、可校核条件时先修正台架；论文审稿延长时据已完成任务办理结项，论文状态据实记录。</w:t>
            </w:r>
          </w:p>
        </w:tc>
      </w:tr>
      <w:tr w14:paraId="66B42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9286" w:type="dxa"/>
            <w:gridSpan w:val="9"/>
            <w:noWrap w:val="0"/>
            <w:vAlign w:val="top"/>
          </w:tcPr>
          <w:p w14:paraId="37CD9448">
            <w:pPr>
              <w:keepNext/>
              <w:keepLines/>
              <w:numPr>
                <w:ilvl w:val="0"/>
                <w:numId w:val="0"/>
              </w:numPr>
              <w:spacing w:beforeLines="50" w:after="100" w:line="240" w:lineRule="auto"/>
              <w:jc w:val="both"/>
              <w:rPr>
                <w:rFonts w:hint="default" w:ascii="Times New Roman" w:hAnsi="Times New Roman" w:eastAsia="宋体" w:cs="Times New Roman"/>
                <w:b/>
                <w:sz w:val="21"/>
                <w:szCs w:val="28"/>
                <w:lang w:val="en-US" w:eastAsia="zh-CN"/>
              </w:rPr>
            </w:pPr>
            <w:r>
              <w:rPr>
                <w:rFonts w:hint="default" w:ascii="Times New Roman" w:hAnsi="Times New Roman" w:eastAsia="宋体" w:cs="Times New Roman"/>
                <w:b/>
                <w:sz w:val="21"/>
                <w:szCs w:val="28"/>
                <w:lang w:val="en-US" w:eastAsia="zh-CN"/>
              </w:rPr>
              <w:t>八、已有基础</w:t>
            </w:r>
          </w:p>
          <w:p w14:paraId="6DE96159">
            <w:pPr>
              <w:keepNext/>
              <w:keepLines/>
              <w:numPr>
                <w:ilvl w:val="0"/>
                <w:numId w:val="0"/>
              </w:numPr>
              <w:spacing w:before="140" w:beforeLines="50" w:after="100" w:line="240" w:lineRule="auto"/>
              <w:jc w:val="both"/>
              <w:rPr>
                <w:rFonts w:hint="default" w:ascii="Times New Roman" w:hAnsi="Times New Roman" w:eastAsia="宋体" w:cs="Times New Roman"/>
                <w:b w:val="0"/>
                <w:sz w:val="21"/>
                <w:szCs w:val="28"/>
                <w:lang w:val="en-US" w:eastAsia="zh-CN"/>
              </w:rPr>
            </w:pPr>
            <w:r>
              <w:rPr>
                <w:rFonts w:hint="default" w:ascii="Times New Roman" w:hAnsi="Times New Roman" w:eastAsia="宋体" w:cs="Times New Roman"/>
                <w:b/>
                <w:sz w:val="21"/>
                <w:szCs w:val="28"/>
                <w:lang w:val="en-US" w:eastAsia="zh-CN"/>
              </w:rPr>
              <w:t>1 与本项目有关的研究积累和已取得的成绩</w:t>
            </w:r>
            <w:r>
              <w:rPr>
                <w:rFonts w:hint="default" w:ascii="Times New Roman" w:hAnsi="Times New Roman" w:eastAsia="宋体" w:cs="Times New Roman"/>
                <w:b w:val="0"/>
                <w:sz w:val="21"/>
                <w:szCs w:val="28"/>
                <w:lang w:val="en-US" w:eastAsia="zh-CN"/>
              </w:rPr>
              <w:br w:type="textWrapping"/>
            </w:r>
            <w:r>
              <w:rPr>
                <w:rFonts w:hint="default" w:ascii="Times New Roman" w:hAnsi="Times New Roman" w:eastAsia="宋体" w:cs="Times New Roman"/>
                <w:b w:val="0"/>
                <w:sz w:val="21"/>
                <w:szCs w:val="28"/>
                <w:lang w:val="en-US" w:eastAsia="zh-CN"/>
              </w:rPr>
              <w:t>已形成文献和制度分析、等效模型、合成试验程序、国内候选器件核对及离线网站。当前基础属于方案、模型和软件，尚无硬件台架、真实无线、整机功耗或田间性能数据。图9为程序保存结果生成的模型检验图，用于说明可行条件与失败趋势。</w:t>
            </w:r>
          </w:p>
          <w:p w14:paraId="07C7525A">
            <w:pPr>
              <w:keepNext w:val="0"/>
              <w:keepLines/>
              <w:numPr>
                <w:ilvl w:val="0"/>
                <w:numId w:val="0"/>
              </w:numPr>
              <w:spacing w:beforeLines="50" w:after="100" w:line="240" w:lineRule="auto"/>
              <w:jc w:val="center"/>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pict>
                <v:shape id="_x0000_i1034" o:spt="75" alt="图9 渐进故障及噪声影响的合成模型检验 参数未标定" type="#_x0000_t75" style="height:417.2pt;width:425pt;" filled="f" o:preferrelative="t" stroked="f" coordsize="21600,21600">
                  <v:path/>
                  <v:fill on="f" focussize="0,0"/>
                  <v:stroke on="f"/>
                  <v:imagedata r:id="rId14" o:title="early_diagnosis"/>
                  <o:lock v:ext="edit" aspectratio="t"/>
                  <w10:wrap type="none"/>
                  <w10:anchorlock/>
                </v:shape>
              </w:pict>
            </w:r>
            <w:r>
              <w:rPr>
                <w:rFonts w:hint="eastAsia" w:ascii="Times New Roman" w:hAnsi="Times New Roman" w:cs="Times New Roman"/>
                <w:sz w:val="21"/>
                <w:szCs w:val="28"/>
                <w:lang w:val="en-US" w:eastAsia="zh-CN"/>
              </w:rPr>
              <w:br w:type="textWrapping"/>
            </w:r>
            <w:r>
              <w:rPr>
                <w:rFonts w:hint="eastAsia" w:ascii="Times New Roman" w:hAnsi="Times New Roman" w:cs="Times New Roman"/>
                <w:sz w:val="18"/>
                <w:szCs w:val="28"/>
                <w:lang w:val="en-US" w:eastAsia="zh-CN"/>
              </w:rPr>
              <w:t>图9 渐进故障及噪声影响的合成模型检验 参数未标定</w:t>
            </w:r>
          </w:p>
          <w:p w14:paraId="19B0E727">
            <w:pPr>
              <w:keepNext w:val="0"/>
              <w:keepLines/>
              <w:numPr>
                <w:ilvl w:val="0"/>
                <w:numId w:val="0"/>
              </w:numPr>
              <w:spacing w:beforeLines="50" w:after="100" w:line="240" w:lineRule="auto"/>
              <w:jc w:val="both"/>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已完成6场景×4压力噪声×20种子的480次双压力合成试验。理想同步、平方律及单故障假设下，低噪声两类各20/20在15%演示参照前正确提示，且无前期误报；σ=10kPa时各降为12/20。种子10300、σ=0.3kPa示例中，泄漏提示/参照为409/485秒（提前76秒），受限为396/522秒（提前126秒）。种子统计与单次示例分列，均非实物性能。</w:t>
            </w:r>
          </w:p>
          <w:p w14:paraId="2F52915A">
            <w:pPr>
              <w:keepNext w:val="0"/>
              <w:keepLines/>
              <w:numPr>
                <w:ilvl w:val="0"/>
                <w:numId w:val="0"/>
              </w:numPr>
              <w:spacing w:beforeLines="50" w:after="100" w:line="240" w:lineRule="auto"/>
              <w:jc w:val="both"/>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反例中压力漂移会误报，未知正常负载与泄漏同形。旧单压力模型12类挑战、240次合成也出现弱异常漏检及原因歧义。因此需标定、状态信息与有限输出，不能据此宣称通用辨因。</w:t>
            </w:r>
          </w:p>
          <w:tbl>
            <w:tblPr>
              <w:tblStyle w:val="6"/>
              <w:tblW w:w="9100" w:type="dxa"/>
              <w:tblInd w:w="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9100"/>
            </w:tblGrid>
            <w:tr w14:paraId="75D9BD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9100" w:type="dxa"/>
                  <w:tcBorders>
                    <w:tl2br w:val="nil"/>
                    <w:tr2bl w:val="nil"/>
                  </w:tcBorders>
                </w:tcPr>
                <w:p w14:paraId="24E1B133">
                  <w:pPr>
                    <w:keepNext w:val="0"/>
                    <w:keepLines/>
                    <w:pageBreakBefore w:val="0"/>
                    <w:numPr>
                      <w:ilvl w:val="0"/>
                      <w:numId w:val="0"/>
                    </w:numPr>
                    <w:spacing w:beforeLines="50" w:after="100" w:line="240" w:lineRule="auto"/>
                    <w:jc w:val="both"/>
                    <w:rPr>
                      <w:rFonts w:hint="default" w:ascii="Times New Roman" w:hAnsi="Times New Roman" w:eastAsia="宋体" w:cs="Times New Roman"/>
                      <w:sz w:val="21"/>
                      <w:szCs w:val="28"/>
                      <w:vertAlign w:val="baseline"/>
                      <w:lang w:val="en-US" w:eastAsia="zh-CN"/>
                    </w:rPr>
                  </w:pPr>
                  <w:r>
                    <w:rPr>
                      <w:rFonts w:hint="default" w:ascii="Times New Roman" w:hAnsi="Times New Roman" w:eastAsia="宋体" w:cs="Times New Roman"/>
                      <w:b w:val="0"/>
                      <w:sz w:val="21"/>
                      <w:szCs w:val="28"/>
                      <w:vertAlign w:val="baseline"/>
                      <w:lang w:val="en-US" w:eastAsia="zh-CN"/>
                    </w:rPr>
                    <w:t>已完成1920次公平通信回放，统一检测器、载荷、缓存、ACK与去重。慢周期具有竞争力，噪声可增加事件发送；尚无完整射频和整机能量测量。诊断与通信分开验证，联合实物系统拟在实施期完成。</w:t>
                  </w:r>
                </w:p>
              </w:tc>
            </w:tr>
          </w:tbl>
          <w:p w14:paraId="2E5F195C">
            <w:pPr>
              <w:keepNext w:val="0"/>
              <w:keepLines/>
              <w:numPr>
                <w:ilvl w:val="0"/>
                <w:numId w:val="0"/>
              </w:numPr>
              <w:spacing w:beforeLines="50" w:after="100" w:line="240" w:lineRule="auto"/>
              <w:jc w:val="both"/>
              <w:rPr>
                <w:rFonts w:hint="default" w:ascii="Times New Roman" w:hAnsi="Times New Roman" w:eastAsia="宋体" w:cs="Times New Roman"/>
                <w:sz w:val="21"/>
                <w:szCs w:val="28"/>
                <w:lang w:val="en-US" w:eastAsia="zh-CN"/>
              </w:rPr>
            </w:pPr>
          </w:p>
          <w:p w14:paraId="03735CCC">
            <w:pPr>
              <w:keepNext w:val="0"/>
              <w:keepLines/>
              <w:numPr>
                <w:ilvl w:val="0"/>
                <w:numId w:val="0"/>
              </w:numPr>
              <w:spacing w:beforeLines="50" w:after="100" w:line="240" w:lineRule="auto"/>
              <w:jc w:val="both"/>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程序、JSON/CSV和图表可追溯，图8是当前离线网页实际截图，支持合成回放、质量状态及维护流程演示，演示记录可在浏览器本地保存并导出；真实设备接入、接收数据库与实物维护记录尚未实现。目前没有已发表论文、授权专利、软著或田间成绩。</w:t>
            </w:r>
          </w:p>
          <w:p w14:paraId="24C45D66">
            <w:pPr>
              <w:keepNext/>
              <w:keepLines/>
              <w:numPr>
                <w:ilvl w:val="0"/>
                <w:numId w:val="0"/>
              </w:numPr>
              <w:spacing w:before="140" w:beforeLines="50" w:after="100" w:line="240" w:lineRule="auto"/>
              <w:jc w:val="both"/>
              <w:rPr>
                <w:rFonts w:hint="default" w:ascii="Times New Roman" w:hAnsi="Times New Roman" w:eastAsia="宋体" w:cs="Times New Roman"/>
                <w:b w:val="0"/>
                <w:sz w:val="21"/>
                <w:szCs w:val="28"/>
                <w:lang w:val="en-US" w:eastAsia="zh-CN"/>
              </w:rPr>
            </w:pPr>
            <w:r>
              <w:rPr>
                <w:rFonts w:hint="default" w:ascii="Times New Roman" w:hAnsi="Times New Roman" w:eastAsia="宋体" w:cs="Times New Roman"/>
                <w:b/>
                <w:sz w:val="21"/>
                <w:szCs w:val="28"/>
                <w:lang w:val="en-US" w:eastAsia="zh-CN"/>
              </w:rPr>
              <w:t>2 已具备的条件 尚缺少的条件及解决方法</w:t>
            </w:r>
            <w:r>
              <w:rPr>
                <w:rFonts w:hint="default" w:ascii="Times New Roman" w:hAnsi="Times New Roman" w:eastAsia="宋体" w:cs="Times New Roman"/>
                <w:b w:val="0"/>
                <w:sz w:val="21"/>
                <w:szCs w:val="28"/>
                <w:lang w:val="en-US" w:eastAsia="zh-CN"/>
              </w:rPr>
              <w:br w:type="textWrapping"/>
            </w:r>
            <w:r>
              <w:rPr>
                <w:rFonts w:hint="default" w:ascii="Times New Roman" w:hAnsi="Times New Roman" w:eastAsia="宋体" w:cs="Times New Roman"/>
                <w:b w:val="0"/>
                <w:sz w:val="21"/>
                <w:szCs w:val="28"/>
                <w:lang w:val="en-US" w:eastAsia="zh-CN"/>
              </w:rPr>
              <w:t>已确认负责人具备焊接能力及约2000元启动额度估计。实际成员、嵌入式开发能力、参考仪器、水路场地、接收电脑配置及田间许可需落实。申报前拟由老师审核分工和测量条件，完成询价与核心程序复现；实施前训练嵌入式采集和实验记录。</w:t>
            </w:r>
          </w:p>
          <w:p w14:paraId="2444794C">
            <w:pPr>
              <w:keepNext w:val="0"/>
              <w:keepLines/>
              <w:numPr>
                <w:ilvl w:val="0"/>
                <w:numId w:val="0"/>
              </w:numPr>
              <w:spacing w:beforeLines="50" w:after="100" w:line="240" w:lineRule="auto"/>
              <w:jc w:val="both"/>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参考压力表、容积/称重及电流设备拟借用，借用落实情况单独记录。现场自行联系，未获得许可时以可重复台架保证基础研究。预算不能满足必要测量时先借用或调整量程与试验范围，不用未标定数据兑现性能目标。</w:t>
            </w:r>
          </w:p>
        </w:tc>
      </w:tr>
      <w:tr w14:paraId="7A9230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9286" w:type="dxa"/>
            <w:gridSpan w:val="9"/>
            <w:noWrap w:val="0"/>
            <w:vAlign w:val="top"/>
          </w:tcPr>
          <w:p w14:paraId="391C357C">
            <w:pPr>
              <w:keepNext/>
              <w:keepLines/>
              <w:spacing w:beforeLines="50" w:after="100" w:line="240" w:lineRule="auto"/>
              <w:jc w:val="both"/>
              <w:rPr>
                <w:rFonts w:hint="default" w:ascii="Times New Roman" w:hAnsi="Times New Roman" w:eastAsia="宋体" w:cs="Times New Roman"/>
                <w:b/>
                <w:sz w:val="21"/>
                <w:szCs w:val="28"/>
                <w:lang w:val="en-US" w:eastAsia="zh-CN"/>
              </w:rPr>
            </w:pPr>
            <w:r>
              <w:rPr>
                <w:rFonts w:hint="default" w:ascii="Times New Roman" w:hAnsi="Times New Roman" w:eastAsia="宋体" w:cs="Times New Roman"/>
                <w:b/>
                <w:sz w:val="21"/>
                <w:szCs w:val="28"/>
                <w:lang w:val="en-US" w:eastAsia="zh-CN"/>
              </w:rPr>
              <w:t>九、项目经费使用计划</w:t>
            </w:r>
          </w:p>
          <w:p w14:paraId="492B7D97">
            <w:pPr>
              <w:keepNext w:val="0"/>
              <w:keepLines/>
              <w:spacing w:beforeLines="50" w:after="100" w:line="240" w:lineRule="auto"/>
              <w:jc w:val="both"/>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按2000元启动额度暂估，未获得整体报价或资助。正式申请金额、科目及可报销范围以本批通知、询价和教师审核为准。表4对应基础系统组成，扩大资助优先提升测量、标定和重复实验质量。</w:t>
            </w:r>
          </w:p>
          <w:tbl>
            <w:tblPr>
              <w:tblStyle w:val="6"/>
              <w:tblW w:w="8500" w:type="dxa"/>
              <w:tblInd w:w="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500"/>
            </w:tblGrid>
            <w:tr w14:paraId="51E27C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9070" w:type="dxa"/>
                  <w:tcBorders>
                    <w:tl2br w:val="nil"/>
                    <w:tr2bl w:val="nil"/>
                  </w:tcBorders>
                </w:tcPr>
                <w:p w14:paraId="2628CD34">
                  <w:pPr>
                    <w:keepNext w:val="0"/>
                    <w:keepLines/>
                    <w:spacing w:beforeLines="50" w:after="140" w:line="240" w:lineRule="auto"/>
                    <w:jc w:val="both"/>
                    <w:rPr>
                      <w:rFonts w:hint="eastAsia" w:ascii="Times New Roman" w:hAnsi="Times New Roman" w:cs="Times New Roman"/>
                      <w:b/>
                      <w:sz w:val="21"/>
                      <w:szCs w:val="28"/>
                      <w:vertAlign w:val="baseline"/>
                      <w:lang w:val="en-US" w:eastAsia="zh-CN"/>
                    </w:rPr>
                  </w:pPr>
                  <w:r>
                    <w:rPr>
                      <w:rFonts w:hint="eastAsia" w:ascii="Times New Roman" w:hAnsi="Times New Roman" w:cs="Times New Roman"/>
                      <w:b/>
                      <w:sz w:val="21"/>
                      <w:szCs w:val="28"/>
                      <w:vertAlign w:val="baseline"/>
                      <w:lang w:val="en-US" w:eastAsia="zh-CN"/>
                    </w:rPr>
                    <w:t>表4 启动经费估算</w:t>
                  </w:r>
                </w:p>
                <w:tbl>
                  <w:tblPr>
                    <w:tblStyle w:val="6"/>
                    <w:tblW w:w="8500" w:type="dxa"/>
                    <w:tblInd w:w="3" w:type="dxa"/>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Layout w:type="fixed"/>
                    <w:tblCellMar>
                      <w:top w:w="60" w:type="dxa"/>
                      <w:left w:w="100" w:type="dxa"/>
                      <w:bottom w:w="60" w:type="dxa"/>
                      <w:right w:w="100" w:type="dxa"/>
                    </w:tblCellMar>
                  </w:tblPr>
                  <w:tblGrid>
                    <w:gridCol w:w="2100"/>
                    <w:gridCol w:w="1200"/>
                    <w:gridCol w:w="5200"/>
                  </w:tblGrid>
                  <w:tr w14:paraId="47D291E9">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60" w:type="dxa"/>
                        <w:left w:w="100" w:type="dxa"/>
                        <w:bottom w:w="60" w:type="dxa"/>
                        <w:right w:w="100" w:type="dxa"/>
                      </w:tblCellMar>
                    </w:tblPrEx>
                    <w:trPr>
                      <w:cantSplit/>
                      <w:tblHeader/>
                    </w:trPr>
                    <w:tc>
                      <w:tcPr>
                        <w:tcW w:w="2100" w:type="dxa"/>
                        <w:tcBorders>
                          <w:tl2br w:val="nil"/>
                          <w:tr2bl w:val="nil"/>
                        </w:tcBorders>
                        <w:shd w:val="clear" w:color="auto" w:fill="EDEDED"/>
                        <w:vAlign w:val="center"/>
                      </w:tcPr>
                      <w:p w14:paraId="33727306">
                        <w:pPr>
                          <w:keepNext/>
                          <w:keepLines/>
                          <w:spacing w:beforeLines="50" w:after="40" w:line="240" w:lineRule="auto"/>
                          <w:jc w:val="both"/>
                          <w:rPr>
                            <w:rFonts w:hint="default" w:ascii="Times New Roman" w:hAnsi="Times New Roman" w:eastAsia="宋体" w:cs="Times New Roman"/>
                            <w:b/>
                            <w:sz w:val="19"/>
                            <w:szCs w:val="28"/>
                            <w:vertAlign w:val="baseline"/>
                            <w:lang w:val="en-US" w:eastAsia="zh-CN"/>
                          </w:rPr>
                        </w:pPr>
                        <w:r>
                          <w:rPr>
                            <w:rFonts w:hint="eastAsia" w:ascii="Times New Roman" w:hAnsi="Times New Roman" w:cs="Times New Roman"/>
                            <w:b/>
                            <w:sz w:val="19"/>
                            <w:szCs w:val="28"/>
                            <w:vertAlign w:val="baseline"/>
                            <w:lang w:val="en-US" w:eastAsia="zh-CN"/>
                          </w:rPr>
                          <w:t>用途</w:t>
                        </w:r>
                      </w:p>
                    </w:tc>
                    <w:tc>
                      <w:tcPr>
                        <w:tcW w:w="1200" w:type="dxa"/>
                        <w:tcBorders>
                          <w:tl2br w:val="nil"/>
                          <w:tr2bl w:val="nil"/>
                        </w:tcBorders>
                        <w:shd w:val="clear" w:color="auto" w:fill="EDEDED"/>
                        <w:vAlign w:val="center"/>
                      </w:tcPr>
                      <w:p w14:paraId="1BA9F09A">
                        <w:pPr>
                          <w:keepNext/>
                          <w:keepLines/>
                          <w:spacing w:beforeLines="50" w:after="40" w:line="240" w:lineRule="auto"/>
                          <w:jc w:val="both"/>
                          <w:rPr>
                            <w:rFonts w:hint="default" w:ascii="Times New Roman" w:hAnsi="Times New Roman" w:eastAsia="宋体" w:cs="Times New Roman"/>
                            <w:b/>
                            <w:sz w:val="19"/>
                            <w:szCs w:val="28"/>
                            <w:vertAlign w:val="baseline"/>
                            <w:lang w:val="en-US" w:eastAsia="zh-CN"/>
                          </w:rPr>
                        </w:pPr>
                        <w:r>
                          <w:rPr>
                            <w:rFonts w:hint="eastAsia" w:ascii="Times New Roman" w:hAnsi="Times New Roman" w:cs="Times New Roman"/>
                            <w:b/>
                            <w:sz w:val="19"/>
                            <w:szCs w:val="28"/>
                            <w:vertAlign w:val="baseline"/>
                            <w:lang w:val="en-US" w:eastAsia="zh-CN"/>
                          </w:rPr>
                          <w:t>金额 元</w:t>
                        </w:r>
                      </w:p>
                    </w:tc>
                    <w:tc>
                      <w:tcPr>
                        <w:tcW w:w="5200" w:type="dxa"/>
                        <w:tcBorders>
                          <w:tl2br w:val="nil"/>
                          <w:tr2bl w:val="nil"/>
                        </w:tcBorders>
                        <w:shd w:val="clear" w:color="auto" w:fill="EDEDED"/>
                        <w:vAlign w:val="center"/>
                      </w:tcPr>
                      <w:p w14:paraId="42B3B912">
                        <w:pPr>
                          <w:keepNext/>
                          <w:keepLines/>
                          <w:spacing w:beforeLines="50" w:after="40" w:line="240" w:lineRule="auto"/>
                          <w:jc w:val="both"/>
                          <w:rPr>
                            <w:rFonts w:hint="default" w:ascii="Times New Roman" w:hAnsi="Times New Roman" w:eastAsia="宋体" w:cs="Times New Roman"/>
                            <w:b/>
                            <w:sz w:val="19"/>
                            <w:szCs w:val="28"/>
                            <w:vertAlign w:val="baseline"/>
                            <w:lang w:val="en-US" w:eastAsia="zh-CN"/>
                          </w:rPr>
                        </w:pPr>
                        <w:r>
                          <w:rPr>
                            <w:rFonts w:hint="eastAsia" w:ascii="Times New Roman" w:hAnsi="Times New Roman" w:cs="Times New Roman"/>
                            <w:b/>
                            <w:sz w:val="19"/>
                            <w:szCs w:val="28"/>
                            <w:vertAlign w:val="baseline"/>
                            <w:lang w:val="en-US" w:eastAsia="zh-CN"/>
                          </w:rPr>
                          <w:t>对应任务及估算前提</w:t>
                        </w:r>
                      </w:p>
                    </w:tc>
                  </w:tr>
                  <w:tr w14:paraId="2974A429">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60" w:type="dxa"/>
                        <w:left w:w="100" w:type="dxa"/>
                        <w:bottom w:w="60" w:type="dxa"/>
                        <w:right w:w="100" w:type="dxa"/>
                      </w:tblCellMar>
                    </w:tblPrEx>
                    <w:trPr>
                      <w:cantSplit/>
                    </w:trPr>
                    <w:tc>
                      <w:tcPr>
                        <w:tcW w:w="2100" w:type="dxa"/>
                        <w:tcBorders>
                          <w:tl2br w:val="nil"/>
                          <w:tr2bl w:val="nil"/>
                        </w:tcBorders>
                        <w:shd w:val="clear" w:color="auto" w:fill="FFFFFF"/>
                        <w:vAlign w:val="center"/>
                      </w:tcPr>
                      <w:p w14:paraId="03A4BB27">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主控及LoRa电子件</w:t>
                        </w:r>
                      </w:p>
                    </w:tc>
                    <w:tc>
                      <w:tcPr>
                        <w:tcW w:w="1200" w:type="dxa"/>
                        <w:tcBorders>
                          <w:tl2br w:val="nil"/>
                          <w:tr2bl w:val="nil"/>
                        </w:tcBorders>
                        <w:shd w:val="clear" w:color="auto" w:fill="FFFFFF"/>
                        <w:vAlign w:val="center"/>
                      </w:tcPr>
                      <w:p w14:paraId="6DCBCF5B">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260</w:t>
                        </w:r>
                      </w:p>
                    </w:tc>
                    <w:tc>
                      <w:tcPr>
                        <w:tcW w:w="5200" w:type="dxa"/>
                        <w:tcBorders>
                          <w:tl2br w:val="nil"/>
                          <w:tr2bl w:val="nil"/>
                        </w:tcBorders>
                        <w:shd w:val="clear" w:color="auto" w:fill="FFFFFF"/>
                        <w:vAlign w:val="center"/>
                      </w:tcPr>
                      <w:p w14:paraId="3489A926">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一个主控、两LoRa、天线、串口、存储及调试，待询价</w:t>
                        </w:r>
                      </w:p>
                    </w:tc>
                  </w:tr>
                  <w:tr w14:paraId="615C0CDB">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60" w:type="dxa"/>
                        <w:left w:w="100" w:type="dxa"/>
                        <w:bottom w:w="60" w:type="dxa"/>
                        <w:right w:w="100" w:type="dxa"/>
                      </w:tblCellMar>
                    </w:tblPrEx>
                    <w:trPr>
                      <w:cantSplit/>
                    </w:trPr>
                    <w:tc>
                      <w:tcPr>
                        <w:tcW w:w="2100" w:type="dxa"/>
                        <w:tcBorders>
                          <w:tl2br w:val="nil"/>
                          <w:tr2bl w:val="nil"/>
                        </w:tcBorders>
                        <w:shd w:val="clear" w:color="auto" w:fill="FFFFFF"/>
                        <w:vAlign w:val="center"/>
                      </w:tcPr>
                      <w:p w14:paraId="0F1A5436">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两压力流量及调理</w:t>
                        </w:r>
                      </w:p>
                    </w:tc>
                    <w:tc>
                      <w:tcPr>
                        <w:tcW w:w="1200" w:type="dxa"/>
                        <w:tcBorders>
                          <w:tl2br w:val="nil"/>
                          <w:tr2bl w:val="nil"/>
                        </w:tcBorders>
                        <w:shd w:val="clear" w:color="auto" w:fill="FFFFFF"/>
                        <w:vAlign w:val="center"/>
                      </w:tcPr>
                      <w:p w14:paraId="1500CB40">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900</w:t>
                        </w:r>
                      </w:p>
                    </w:tc>
                    <w:tc>
                      <w:tcPr>
                        <w:tcW w:w="5200" w:type="dxa"/>
                        <w:tcBorders>
                          <w:tl2br w:val="nil"/>
                          <w:tr2bl w:val="nil"/>
                        </w:tcBorders>
                        <w:shd w:val="clear" w:color="auto" w:fill="FFFFFF"/>
                        <w:vAlign w:val="center"/>
                      </w:tcPr>
                      <w:p w14:paraId="0D9F849C">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流量109、ADC79为查阅时官网展示价；两压力采购额度约680，非报价</w:t>
                        </w:r>
                      </w:p>
                    </w:tc>
                  </w:tr>
                  <w:tr w14:paraId="21036B20">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60" w:type="dxa"/>
                        <w:left w:w="100" w:type="dxa"/>
                        <w:bottom w:w="60" w:type="dxa"/>
                        <w:right w:w="100" w:type="dxa"/>
                      </w:tblCellMar>
                    </w:tblPrEx>
                    <w:trPr>
                      <w:cantSplit/>
                    </w:trPr>
                    <w:tc>
                      <w:tcPr>
                        <w:tcW w:w="2100" w:type="dxa"/>
                        <w:tcBorders>
                          <w:tl2br w:val="nil"/>
                          <w:tr2bl w:val="nil"/>
                        </w:tcBorders>
                        <w:shd w:val="clear" w:color="auto" w:fill="FFFFFF"/>
                        <w:vAlign w:val="center"/>
                      </w:tcPr>
                      <w:p w14:paraId="3701A824">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双支路水路材料</w:t>
                        </w:r>
                      </w:p>
                    </w:tc>
                    <w:tc>
                      <w:tcPr>
                        <w:tcW w:w="1200" w:type="dxa"/>
                        <w:tcBorders>
                          <w:tl2br w:val="nil"/>
                          <w:tr2bl w:val="nil"/>
                        </w:tcBorders>
                        <w:shd w:val="clear" w:color="auto" w:fill="FFFFFF"/>
                        <w:vAlign w:val="center"/>
                      </w:tcPr>
                      <w:p w14:paraId="14FDD29B">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400</w:t>
                        </w:r>
                      </w:p>
                    </w:tc>
                    <w:tc>
                      <w:tcPr>
                        <w:tcW w:w="5200" w:type="dxa"/>
                        <w:tcBorders>
                          <w:tl2br w:val="nil"/>
                          <w:tr2bl w:val="nil"/>
                        </w:tcBorders>
                        <w:shd w:val="clear" w:color="auto" w:fill="FFFFFF"/>
                        <w:vAlign w:val="center"/>
                      </w:tcPr>
                      <w:p w14:paraId="4989EB96">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阀、接头、回水及收集；可调连续水源拟借用</w:t>
                        </w:r>
                      </w:p>
                    </w:tc>
                  </w:tr>
                  <w:tr w14:paraId="08190F06">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60" w:type="dxa"/>
                        <w:left w:w="100" w:type="dxa"/>
                        <w:bottom w:w="60" w:type="dxa"/>
                        <w:right w:w="100" w:type="dxa"/>
                      </w:tblCellMar>
                    </w:tblPrEx>
                    <w:trPr>
                      <w:cantSplit/>
                    </w:trPr>
                    <w:tc>
                      <w:tcPr>
                        <w:tcW w:w="2100" w:type="dxa"/>
                        <w:tcBorders>
                          <w:tl2br w:val="nil"/>
                          <w:tr2bl w:val="nil"/>
                        </w:tcBorders>
                        <w:shd w:val="clear" w:color="auto" w:fill="FFFFFF"/>
                        <w:vAlign w:val="center"/>
                      </w:tcPr>
                      <w:p w14:paraId="3B162A08">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供电与外壳</w:t>
                        </w:r>
                      </w:p>
                    </w:tc>
                    <w:tc>
                      <w:tcPr>
                        <w:tcW w:w="1200" w:type="dxa"/>
                        <w:tcBorders>
                          <w:tl2br w:val="nil"/>
                          <w:tr2bl w:val="nil"/>
                        </w:tcBorders>
                        <w:shd w:val="clear" w:color="auto" w:fill="FFFFFF"/>
                        <w:vAlign w:val="center"/>
                      </w:tcPr>
                      <w:p w14:paraId="4B2873E2">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200</w:t>
                        </w:r>
                      </w:p>
                    </w:tc>
                    <w:tc>
                      <w:tcPr>
                        <w:tcW w:w="5200" w:type="dxa"/>
                        <w:tcBorders>
                          <w:tl2br w:val="nil"/>
                          <w:tr2bl w:val="nil"/>
                        </w:tcBorders>
                        <w:shd w:val="clear" w:color="auto" w:fill="FFFFFF"/>
                        <w:vAlign w:val="center"/>
                      </w:tcPr>
                      <w:p w14:paraId="41255667">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台架供电、连接和安装防护，待核对</w:t>
                        </w:r>
                      </w:p>
                    </w:tc>
                  </w:tr>
                  <w:tr w14:paraId="111A9A1A">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60" w:type="dxa"/>
                        <w:left w:w="100" w:type="dxa"/>
                        <w:bottom w:w="60" w:type="dxa"/>
                        <w:right w:w="100" w:type="dxa"/>
                      </w:tblCellMar>
                    </w:tblPrEx>
                    <w:trPr>
                      <w:cantSplit/>
                    </w:trPr>
                    <w:tc>
                      <w:tcPr>
                        <w:tcW w:w="2100" w:type="dxa"/>
                        <w:tcBorders>
                          <w:tl2br w:val="nil"/>
                          <w:tr2bl w:val="nil"/>
                        </w:tcBorders>
                        <w:shd w:val="clear" w:color="auto" w:fill="FFFFFF"/>
                        <w:vAlign w:val="center"/>
                      </w:tcPr>
                      <w:p w14:paraId="620BF563">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记录耗材</w:t>
                        </w:r>
                      </w:p>
                    </w:tc>
                    <w:tc>
                      <w:tcPr>
                        <w:tcW w:w="1200" w:type="dxa"/>
                        <w:tcBorders>
                          <w:tl2br w:val="nil"/>
                          <w:tr2bl w:val="nil"/>
                        </w:tcBorders>
                        <w:shd w:val="clear" w:color="auto" w:fill="FFFFFF"/>
                        <w:vAlign w:val="center"/>
                      </w:tcPr>
                      <w:p w14:paraId="601FD22B">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100</w:t>
                        </w:r>
                      </w:p>
                    </w:tc>
                    <w:tc>
                      <w:tcPr>
                        <w:tcW w:w="5200" w:type="dxa"/>
                        <w:tcBorders>
                          <w:tl2br w:val="nil"/>
                          <w:tr2bl w:val="nil"/>
                        </w:tcBorders>
                        <w:shd w:val="clear" w:color="auto" w:fill="FFFFFF"/>
                        <w:vAlign w:val="center"/>
                      </w:tcPr>
                      <w:p w14:paraId="5A6A96EE">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实验记录与必要消耗</w:t>
                        </w:r>
                      </w:p>
                    </w:tc>
                  </w:tr>
                  <w:tr w14:paraId="3BA59B1A">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60" w:type="dxa"/>
                        <w:left w:w="100" w:type="dxa"/>
                        <w:bottom w:w="60" w:type="dxa"/>
                        <w:right w:w="100" w:type="dxa"/>
                      </w:tblCellMar>
                    </w:tblPrEx>
                    <w:trPr>
                      <w:cantSplit/>
                    </w:trPr>
                    <w:tc>
                      <w:tcPr>
                        <w:tcW w:w="2100" w:type="dxa"/>
                        <w:tcBorders>
                          <w:tl2br w:val="nil"/>
                          <w:tr2bl w:val="nil"/>
                        </w:tcBorders>
                        <w:shd w:val="clear" w:color="auto" w:fill="FFFFFF"/>
                        <w:vAlign w:val="center"/>
                      </w:tcPr>
                      <w:p w14:paraId="791F29FD">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调研及返工材料</w:t>
                        </w:r>
                      </w:p>
                    </w:tc>
                    <w:tc>
                      <w:tcPr>
                        <w:tcW w:w="1200" w:type="dxa"/>
                        <w:tcBorders>
                          <w:tl2br w:val="nil"/>
                          <w:tr2bl w:val="nil"/>
                        </w:tcBorders>
                        <w:shd w:val="clear" w:color="auto" w:fill="FFFFFF"/>
                        <w:vAlign w:val="center"/>
                      </w:tcPr>
                      <w:p w14:paraId="7A435034">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140</w:t>
                        </w:r>
                      </w:p>
                    </w:tc>
                    <w:tc>
                      <w:tcPr>
                        <w:tcW w:w="5200" w:type="dxa"/>
                        <w:tcBorders>
                          <w:tl2br w:val="nil"/>
                          <w:tr2bl w:val="nil"/>
                        </w:tcBorders>
                        <w:shd w:val="clear" w:color="auto" w:fill="FFFFFF"/>
                        <w:vAlign w:val="center"/>
                      </w:tcPr>
                      <w:p w14:paraId="773074BA">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按学校允许科目据实调整</w:t>
                        </w:r>
                      </w:p>
                    </w:tc>
                  </w:tr>
                  <w:tr w14:paraId="49FE59CC">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60" w:type="dxa"/>
                        <w:left w:w="100" w:type="dxa"/>
                        <w:bottom w:w="60" w:type="dxa"/>
                        <w:right w:w="100" w:type="dxa"/>
                      </w:tblCellMar>
                    </w:tblPrEx>
                    <w:trPr>
                      <w:cantSplit/>
                    </w:trPr>
                    <w:tc>
                      <w:tcPr>
                        <w:tcW w:w="2100" w:type="dxa"/>
                        <w:tcBorders>
                          <w:tl2br w:val="nil"/>
                          <w:tr2bl w:val="nil"/>
                        </w:tcBorders>
                        <w:shd w:val="clear" w:color="auto" w:fill="FFFFFF"/>
                        <w:vAlign w:val="center"/>
                      </w:tcPr>
                      <w:p w14:paraId="41194B7F">
                        <w:pPr>
                          <w:keepNext w:val="0"/>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合计</w:t>
                        </w:r>
                      </w:p>
                    </w:tc>
                    <w:tc>
                      <w:tcPr>
                        <w:tcW w:w="1200" w:type="dxa"/>
                        <w:tcBorders>
                          <w:tl2br w:val="nil"/>
                          <w:tr2bl w:val="nil"/>
                        </w:tcBorders>
                        <w:shd w:val="clear" w:color="auto" w:fill="FFFFFF"/>
                        <w:vAlign w:val="center"/>
                      </w:tcPr>
                      <w:p w14:paraId="0917DA47">
                        <w:pPr>
                          <w:keepNext w:val="0"/>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2000</w:t>
                        </w:r>
                      </w:p>
                    </w:tc>
                    <w:tc>
                      <w:tcPr>
                        <w:tcW w:w="5200" w:type="dxa"/>
                        <w:tcBorders>
                          <w:tl2br w:val="nil"/>
                          <w:tr2bl w:val="nil"/>
                        </w:tcBorders>
                        <w:shd w:val="clear" w:color="auto" w:fill="FFFFFF"/>
                        <w:vAlign w:val="center"/>
                      </w:tcPr>
                      <w:p w14:paraId="03CDB5D5">
                        <w:pPr>
                          <w:keepNext w:val="0"/>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启动估算，不是已获资助或报价</w:t>
                        </w:r>
                      </w:p>
                    </w:tc>
                  </w:tr>
                </w:tbl>
                <w:p w14:paraId="1CC2B510">
                  <w:pPr>
                    <w:keepNext w:val="0"/>
                    <w:keepLines/>
                    <w:spacing w:beforeLines="50" w:after="100" w:line="240" w:lineRule="auto"/>
                    <w:jc w:val="both"/>
                    <w:rPr>
                      <w:rFonts w:hint="default" w:ascii="Times New Roman" w:hAnsi="Times New Roman" w:cs="Times New Roman"/>
                      <w:sz w:val="21"/>
                      <w:szCs w:val="28"/>
                      <w:vertAlign w:val="baseline"/>
                      <w:lang w:val="en-US" w:eastAsia="zh-CN"/>
                    </w:rPr>
                  </w:pPr>
                </w:p>
              </w:tc>
            </w:tr>
          </w:tbl>
          <w:p w14:paraId="74ACAD5E">
            <w:pPr>
              <w:keepNext w:val="0"/>
              <w:keepLines/>
              <w:spacing w:beforeLines="50" w:after="100" w:line="240" w:lineRule="auto"/>
              <w:jc w:val="both"/>
              <w:rPr>
                <w:rFonts w:hint="default" w:ascii="Times New Roman" w:hAnsi="Times New Roman" w:eastAsia="宋体" w:cs="Times New Roman"/>
                <w:sz w:val="21"/>
                <w:szCs w:val="28"/>
                <w:lang w:val="en-US" w:eastAsia="zh-CN"/>
              </w:rPr>
            </w:pPr>
          </w:p>
          <w:p w14:paraId="318EC77B">
            <w:pPr>
              <w:keepNext w:val="0"/>
              <w:keepLines/>
              <w:spacing w:beforeLines="50" w:after="100" w:line="240" w:lineRule="auto"/>
              <w:jc w:val="both"/>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预算以已有电脑、借用参考仪器及可调连续水源为前提，不含整套泵站、新参考设备、论文费用与多节点。压力报价超额或水源不能借用时，须重编经费并落实条件。资源未落实不列为已具备；成员、导师及学校签字意见由本人和相应单位填写。</w:t>
            </w:r>
          </w:p>
        </w:tc>
      </w:tr>
      <w:tr w14:paraId="74745C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02" w:hRule="atLeast"/>
          <w:jc w:val="center"/>
        </w:trPr>
        <w:tc>
          <w:tcPr>
            <w:tcW w:w="2815" w:type="dxa"/>
            <w:gridSpan w:val="5"/>
            <w:noWrap w:val="0"/>
            <w:vAlign w:val="top"/>
          </w:tcPr>
          <w:p w14:paraId="78BE0BB1">
            <w:pPr>
              <w:keepNext/>
              <w:pageBreakBefore/>
              <w:spacing w:before="156" w:beforeLines="50"/>
              <w:rPr>
                <w:rFonts w:hint="eastAsia" w:eastAsia="宋体"/>
                <w:b/>
                <w:sz w:val="21"/>
                <w:lang w:eastAsia="zh-CN"/>
              </w:rPr>
            </w:pPr>
            <w:r>
              <w:rPr>
                <w:rFonts w:hint="eastAsia" w:eastAsia="宋体"/>
                <w:b/>
                <w:sz w:val="21"/>
                <w:lang w:eastAsia="zh-CN"/>
              </w:rPr>
              <w:t>项目组成员签字：</w:t>
            </w:r>
          </w:p>
        </w:tc>
        <w:tc>
          <w:tcPr>
            <w:tcW w:w="3050" w:type="dxa"/>
            <w:gridSpan w:val="2"/>
            <w:noWrap w:val="0"/>
            <w:vAlign w:val="top"/>
          </w:tcPr>
          <w:p w14:paraId="5DB49474">
            <w:pPr>
              <w:keepNext/>
              <w:spacing w:before="156" w:beforeLines="50"/>
              <w:rPr>
                <w:rFonts w:hint="eastAsia"/>
                <w:b/>
              </w:rPr>
            </w:pPr>
          </w:p>
        </w:tc>
        <w:tc>
          <w:tcPr>
            <w:tcW w:w="3421" w:type="dxa"/>
            <w:gridSpan w:val="2"/>
            <w:noWrap w:val="0"/>
            <w:vAlign w:val="top"/>
          </w:tcPr>
          <w:p w14:paraId="0301336C">
            <w:pPr>
              <w:keepNext/>
              <w:spacing w:before="156" w:beforeLines="50"/>
              <w:rPr>
                <w:rFonts w:hint="eastAsia"/>
                <w:b/>
              </w:rPr>
            </w:pPr>
          </w:p>
        </w:tc>
      </w:tr>
      <w:tr w14:paraId="6BD537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02" w:hRule="atLeast"/>
          <w:jc w:val="center"/>
        </w:trPr>
        <w:tc>
          <w:tcPr>
            <w:tcW w:w="2815" w:type="dxa"/>
            <w:gridSpan w:val="5"/>
            <w:noWrap w:val="0"/>
            <w:vAlign w:val="top"/>
          </w:tcPr>
          <w:p w14:paraId="1DAE651A">
            <w:pPr>
              <w:keepNext/>
              <w:spacing w:before="156" w:beforeLines="50"/>
              <w:rPr>
                <w:rFonts w:hint="eastAsia"/>
                <w:b/>
              </w:rPr>
            </w:pPr>
          </w:p>
        </w:tc>
        <w:tc>
          <w:tcPr>
            <w:tcW w:w="3050" w:type="dxa"/>
            <w:gridSpan w:val="2"/>
            <w:noWrap w:val="0"/>
            <w:vAlign w:val="top"/>
          </w:tcPr>
          <w:p w14:paraId="6CAFDE97">
            <w:pPr>
              <w:keepNext/>
              <w:spacing w:before="156" w:beforeLines="50"/>
              <w:rPr>
                <w:rFonts w:hint="eastAsia"/>
                <w:b/>
              </w:rPr>
            </w:pPr>
          </w:p>
        </w:tc>
        <w:tc>
          <w:tcPr>
            <w:tcW w:w="3421" w:type="dxa"/>
            <w:gridSpan w:val="2"/>
            <w:noWrap w:val="0"/>
            <w:vAlign w:val="top"/>
          </w:tcPr>
          <w:p w14:paraId="3DE50FE7">
            <w:pPr>
              <w:keepNext/>
              <w:spacing w:before="156" w:beforeLines="50"/>
              <w:rPr>
                <w:rFonts w:hint="eastAsia"/>
                <w:b/>
              </w:rPr>
            </w:pPr>
          </w:p>
        </w:tc>
      </w:tr>
      <w:tr w14:paraId="2A5B79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02" w:hRule="atLeast"/>
          <w:jc w:val="center"/>
        </w:trPr>
        <w:tc>
          <w:tcPr>
            <w:tcW w:w="2815" w:type="dxa"/>
            <w:gridSpan w:val="5"/>
            <w:noWrap w:val="0"/>
            <w:vAlign w:val="top"/>
          </w:tcPr>
          <w:p w14:paraId="0CD49076">
            <w:pPr>
              <w:keepNext w:val="0"/>
              <w:spacing w:before="156" w:beforeLines="50"/>
              <w:rPr>
                <w:rFonts w:hint="eastAsia"/>
                <w:b/>
              </w:rPr>
            </w:pPr>
          </w:p>
        </w:tc>
        <w:tc>
          <w:tcPr>
            <w:tcW w:w="3050" w:type="dxa"/>
            <w:gridSpan w:val="2"/>
            <w:noWrap w:val="0"/>
            <w:vAlign w:val="top"/>
          </w:tcPr>
          <w:p w14:paraId="4CDA015A">
            <w:pPr>
              <w:keepNext w:val="0"/>
              <w:spacing w:before="156" w:beforeLines="50"/>
              <w:rPr>
                <w:rFonts w:hint="eastAsia"/>
                <w:b/>
              </w:rPr>
            </w:pPr>
          </w:p>
        </w:tc>
        <w:tc>
          <w:tcPr>
            <w:tcW w:w="3421" w:type="dxa"/>
            <w:gridSpan w:val="2"/>
            <w:noWrap w:val="0"/>
            <w:vAlign w:val="top"/>
          </w:tcPr>
          <w:p w14:paraId="04F45B11">
            <w:pPr>
              <w:keepNext w:val="0"/>
              <w:spacing w:before="156" w:beforeLines="50"/>
              <w:rPr>
                <w:rFonts w:hint="eastAsia"/>
                <w:b/>
              </w:rPr>
            </w:pPr>
          </w:p>
        </w:tc>
      </w:tr>
      <w:tr w14:paraId="2B0235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70" w:hRule="atLeast"/>
          <w:jc w:val="center"/>
        </w:trPr>
        <w:tc>
          <w:tcPr>
            <w:tcW w:w="9286" w:type="dxa"/>
            <w:gridSpan w:val="9"/>
            <w:noWrap w:val="0"/>
            <w:vAlign w:val="top"/>
          </w:tcPr>
          <w:p w14:paraId="44908E84">
            <w:pPr>
              <w:spacing w:before="156" w:beforeLines="50"/>
              <w:rPr>
                <w:rFonts w:hint="eastAsia" w:ascii="黑体" w:hAnsi="黑体" w:eastAsia="黑体" w:cs="Times New Roman"/>
                <w:sz w:val="22"/>
                <w:szCs w:val="28"/>
              </w:rPr>
            </w:pPr>
            <w:r>
              <w:rPr>
                <w:rFonts w:hint="eastAsia" w:ascii="黑体" w:hAnsi="黑体" w:eastAsia="黑体" w:cs="Times New Roman"/>
                <w:sz w:val="22"/>
                <w:szCs w:val="28"/>
              </w:rPr>
              <w:t>指导教师意见：</w:t>
            </w:r>
          </w:p>
          <w:p w14:paraId="02600CBC">
            <w:pPr>
              <w:rPr>
                <w:rFonts w:hint="eastAsia" w:ascii="宋体" w:hAnsi="宋体"/>
              </w:rPr>
            </w:pPr>
          </w:p>
          <w:p w14:paraId="7795069B">
            <w:pPr>
              <w:rPr>
                <w:rFonts w:hint="eastAsia" w:ascii="宋体" w:hAnsi="宋体"/>
              </w:rPr>
            </w:pPr>
          </w:p>
          <w:p w14:paraId="5206EA1C">
            <w:pPr>
              <w:rPr>
                <w:rFonts w:hint="eastAsia" w:ascii="宋体" w:hAnsi="宋体"/>
              </w:rPr>
            </w:pPr>
          </w:p>
          <w:p w14:paraId="2658C3A0">
            <w:pPr>
              <w:rPr>
                <w:rFonts w:hint="eastAsia" w:ascii="宋体" w:hAnsi="宋体"/>
              </w:rPr>
            </w:pPr>
          </w:p>
          <w:p w14:paraId="4913FD66">
            <w:pPr>
              <w:rPr>
                <w:rFonts w:hint="eastAsia" w:ascii="宋体" w:hAnsi="宋体"/>
              </w:rPr>
            </w:pPr>
          </w:p>
          <w:p w14:paraId="6F33BFC8">
            <w:pPr>
              <w:rPr>
                <w:rFonts w:hint="eastAsia" w:ascii="宋体" w:hAnsi="宋体"/>
              </w:rPr>
            </w:pPr>
          </w:p>
          <w:p w14:paraId="0D4E3B4D">
            <w:pPr>
              <w:rPr>
                <w:rFonts w:hint="eastAsia" w:ascii="宋体" w:hAnsi="宋体"/>
              </w:rPr>
            </w:pPr>
          </w:p>
          <w:p w14:paraId="27A192DE">
            <w:pPr>
              <w:rPr>
                <w:rFonts w:hint="eastAsia" w:ascii="宋体" w:hAnsi="宋体"/>
              </w:rPr>
            </w:pPr>
          </w:p>
          <w:p w14:paraId="7CAE44D5">
            <w:pPr>
              <w:rPr>
                <w:rFonts w:hint="eastAsia" w:ascii="宋体" w:hAnsi="宋体"/>
              </w:rPr>
            </w:pPr>
          </w:p>
          <w:p w14:paraId="2E2D94F1">
            <w:pPr>
              <w:rPr>
                <w:rFonts w:hint="eastAsia" w:ascii="宋体" w:hAnsi="宋体"/>
                <w:szCs w:val="21"/>
              </w:rPr>
            </w:pPr>
          </w:p>
          <w:p w14:paraId="1D1E7CD7">
            <w:pPr>
              <w:spacing w:before="156" w:beforeLines="50"/>
              <w:rPr>
                <w:rFonts w:hint="eastAsia" w:ascii="黑体" w:hAnsi="黑体" w:eastAsia="黑体" w:cs="Times New Roman"/>
                <w:sz w:val="22"/>
                <w:szCs w:val="28"/>
              </w:rPr>
            </w:pPr>
            <w:r>
              <w:rPr>
                <w:rFonts w:hint="eastAsia" w:ascii="宋体" w:hAnsi="宋体"/>
                <w:szCs w:val="21"/>
              </w:rPr>
              <w:t xml:space="preserve">                                               </w:t>
            </w:r>
            <w:r>
              <w:rPr>
                <w:rFonts w:hint="eastAsia" w:ascii="黑体" w:hAnsi="黑体" w:eastAsia="黑体" w:cs="Times New Roman"/>
                <w:sz w:val="22"/>
                <w:szCs w:val="28"/>
              </w:rPr>
              <w:t xml:space="preserve"> 签    名： </w:t>
            </w:r>
          </w:p>
          <w:p w14:paraId="0C40729A">
            <w:pPr>
              <w:spacing w:before="156" w:beforeLines="50"/>
              <w:ind w:firstLine="6600" w:firstLineChars="3000"/>
              <w:rPr>
                <w:rFonts w:hint="eastAsia"/>
                <w:b/>
              </w:rPr>
            </w:pPr>
            <w:r>
              <w:rPr>
                <w:rFonts w:hint="eastAsia" w:ascii="黑体" w:hAnsi="黑体" w:eastAsia="黑体" w:cs="Times New Roman"/>
                <w:sz w:val="22"/>
                <w:szCs w:val="28"/>
              </w:rPr>
              <w:t>年     月     日</w:t>
            </w:r>
          </w:p>
        </w:tc>
      </w:tr>
      <w:tr w14:paraId="3C1F02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57" w:hRule="atLeast"/>
          <w:jc w:val="center"/>
        </w:trPr>
        <w:tc>
          <w:tcPr>
            <w:tcW w:w="9286" w:type="dxa"/>
            <w:gridSpan w:val="9"/>
            <w:noWrap w:val="0"/>
            <w:vAlign w:val="top"/>
          </w:tcPr>
          <w:p w14:paraId="393F3975">
            <w:pPr>
              <w:spacing w:before="156" w:beforeLines="50"/>
              <w:rPr>
                <w:rFonts w:hint="eastAsia" w:ascii="黑体" w:hAnsi="黑体" w:eastAsia="黑体" w:cs="Times New Roman"/>
                <w:sz w:val="22"/>
                <w:szCs w:val="28"/>
              </w:rPr>
            </w:pPr>
            <w:r>
              <w:rPr>
                <w:rFonts w:hint="eastAsia" w:ascii="黑体" w:hAnsi="黑体" w:eastAsia="黑体" w:cs="Times New Roman"/>
                <w:sz w:val="22"/>
                <w:szCs w:val="28"/>
              </w:rPr>
              <w:t>学院意见：</w:t>
            </w:r>
          </w:p>
          <w:p w14:paraId="3A877EBA">
            <w:pPr>
              <w:rPr>
                <w:rFonts w:hint="eastAsia" w:ascii="宋体" w:hAnsi="宋体"/>
              </w:rPr>
            </w:pPr>
          </w:p>
          <w:p w14:paraId="584EFD2E">
            <w:pPr>
              <w:rPr>
                <w:rFonts w:hint="eastAsia" w:ascii="宋体" w:hAnsi="宋体"/>
              </w:rPr>
            </w:pPr>
          </w:p>
          <w:p w14:paraId="5419AA2D">
            <w:pPr>
              <w:rPr>
                <w:rFonts w:hint="eastAsia" w:ascii="宋体" w:hAnsi="宋体"/>
              </w:rPr>
            </w:pPr>
          </w:p>
          <w:p w14:paraId="5B95533A">
            <w:pPr>
              <w:rPr>
                <w:rFonts w:hint="eastAsia" w:ascii="宋体" w:hAnsi="宋体"/>
              </w:rPr>
            </w:pPr>
          </w:p>
          <w:p w14:paraId="4FE29D6F">
            <w:pPr>
              <w:rPr>
                <w:rFonts w:hint="eastAsia" w:ascii="宋体" w:hAnsi="宋体"/>
              </w:rPr>
            </w:pPr>
          </w:p>
          <w:p w14:paraId="4130D93B">
            <w:pPr>
              <w:rPr>
                <w:rFonts w:hint="eastAsia" w:ascii="宋体" w:hAnsi="宋体"/>
              </w:rPr>
            </w:pPr>
          </w:p>
          <w:p w14:paraId="05E539C3">
            <w:pPr>
              <w:rPr>
                <w:rFonts w:hint="eastAsia" w:ascii="宋体" w:hAnsi="宋体"/>
              </w:rPr>
            </w:pPr>
          </w:p>
          <w:p w14:paraId="49B53A3A">
            <w:pPr>
              <w:rPr>
                <w:rFonts w:hint="eastAsia" w:ascii="宋体" w:hAnsi="宋体"/>
              </w:rPr>
            </w:pPr>
          </w:p>
          <w:p w14:paraId="0C9A1C05">
            <w:pPr>
              <w:rPr>
                <w:rFonts w:hint="eastAsia" w:ascii="宋体" w:hAnsi="宋体"/>
              </w:rPr>
            </w:pPr>
          </w:p>
          <w:p w14:paraId="67F88F6F">
            <w:pPr>
              <w:rPr>
                <w:rFonts w:hint="eastAsia" w:ascii="宋体" w:hAnsi="宋体"/>
              </w:rPr>
            </w:pPr>
          </w:p>
          <w:p w14:paraId="75EE39C2">
            <w:pPr>
              <w:spacing w:before="156" w:beforeLines="50"/>
              <w:rPr>
                <w:rFonts w:hint="eastAsia" w:ascii="黑体" w:hAnsi="黑体" w:eastAsia="黑体" w:cs="Times New Roman"/>
                <w:sz w:val="22"/>
                <w:szCs w:val="28"/>
              </w:rPr>
            </w:pPr>
            <w:r>
              <w:rPr>
                <w:rFonts w:hint="eastAsia" w:ascii="宋体" w:hAnsi="宋体"/>
                <w:szCs w:val="21"/>
              </w:rPr>
              <w:t xml:space="preserve">                                                </w:t>
            </w:r>
            <w:r>
              <w:rPr>
                <w:rFonts w:hint="eastAsia" w:ascii="黑体" w:hAnsi="黑体" w:eastAsia="黑体" w:cs="Times New Roman"/>
                <w:sz w:val="22"/>
                <w:szCs w:val="28"/>
              </w:rPr>
              <w:t xml:space="preserve">签名盖章： </w:t>
            </w:r>
          </w:p>
          <w:p w14:paraId="4FCE0D91">
            <w:pPr>
              <w:spacing w:before="156" w:beforeLines="50"/>
              <w:ind w:firstLine="6600" w:firstLineChars="3000"/>
              <w:rPr>
                <w:rFonts w:hint="eastAsia"/>
                <w:b/>
              </w:rPr>
            </w:pPr>
            <w:r>
              <w:rPr>
                <w:rFonts w:hint="eastAsia" w:ascii="黑体" w:hAnsi="黑体" w:eastAsia="黑体" w:cs="Times New Roman"/>
                <w:sz w:val="22"/>
                <w:szCs w:val="28"/>
              </w:rPr>
              <w:t>年     月     日</w:t>
            </w:r>
          </w:p>
        </w:tc>
      </w:tr>
      <w:tr w14:paraId="264AEF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6" w:hRule="atLeast"/>
          <w:jc w:val="center"/>
        </w:trPr>
        <w:tc>
          <w:tcPr>
            <w:tcW w:w="9286" w:type="dxa"/>
            <w:gridSpan w:val="9"/>
            <w:noWrap w:val="0"/>
            <w:vAlign w:val="top"/>
          </w:tcPr>
          <w:p w14:paraId="6BC1124F">
            <w:pPr>
              <w:spacing w:before="156" w:beforeLines="50"/>
              <w:rPr>
                <w:rFonts w:hint="eastAsia" w:ascii="黑体" w:hAnsi="黑体" w:eastAsia="黑体" w:cs="Times New Roman"/>
                <w:sz w:val="22"/>
                <w:szCs w:val="28"/>
              </w:rPr>
            </w:pPr>
            <w:r>
              <w:rPr>
                <w:rFonts w:hint="eastAsia" w:ascii="黑体" w:hAnsi="黑体" w:eastAsia="黑体" w:cs="Times New Roman"/>
                <w:sz w:val="22"/>
                <w:szCs w:val="28"/>
              </w:rPr>
              <w:t>学校意见：</w:t>
            </w:r>
          </w:p>
          <w:p w14:paraId="7F37BEA0">
            <w:pPr>
              <w:spacing w:before="156" w:beforeLines="50"/>
              <w:rPr>
                <w:rFonts w:hint="eastAsia" w:ascii="黑体" w:hAnsi="黑体" w:eastAsia="黑体" w:cs="Times New Roman"/>
                <w:sz w:val="22"/>
                <w:szCs w:val="28"/>
              </w:rPr>
            </w:pPr>
          </w:p>
          <w:p w14:paraId="60E81A9B">
            <w:pPr>
              <w:spacing w:before="156" w:beforeLines="50"/>
              <w:rPr>
                <w:rFonts w:hint="eastAsia" w:ascii="黑体" w:hAnsi="黑体" w:eastAsia="黑体" w:cs="Times New Roman"/>
                <w:sz w:val="22"/>
                <w:szCs w:val="28"/>
              </w:rPr>
            </w:pPr>
          </w:p>
          <w:p w14:paraId="43A9CDFE">
            <w:pPr>
              <w:spacing w:before="156" w:beforeLines="50"/>
              <w:rPr>
                <w:rFonts w:hint="eastAsia" w:ascii="黑体" w:hAnsi="黑体" w:eastAsia="黑体" w:cs="Times New Roman"/>
                <w:sz w:val="22"/>
                <w:szCs w:val="28"/>
              </w:rPr>
            </w:pPr>
          </w:p>
          <w:p w14:paraId="5A819D34">
            <w:pPr>
              <w:spacing w:before="156" w:beforeLines="50"/>
              <w:rPr>
                <w:rFonts w:hint="eastAsia" w:ascii="黑体" w:hAnsi="黑体" w:eastAsia="黑体" w:cs="Times New Roman"/>
                <w:sz w:val="22"/>
                <w:szCs w:val="28"/>
              </w:rPr>
            </w:pPr>
            <w:r>
              <w:rPr>
                <w:rFonts w:hint="eastAsia" w:ascii="黑体" w:hAnsi="黑体" w:eastAsia="黑体" w:cs="Times New Roman"/>
                <w:sz w:val="22"/>
                <w:szCs w:val="28"/>
                <w:lang/>
              </w:rPr>
              <w:pict>
                <v:shape id="_x0000_s1030" o:spid="_x0000_s1030" o:spt="202" type="#_x0000_t202" style="position:absolute;left:0pt;margin-left:123.75pt;margin-top:6.15pt;height:15.6pt;width:18pt;z-index:251659264;mso-width-relative:page;mso-height-relative:page;" coordsize="21600,21600">
                  <v:path/>
                  <v:fill focussize="0,0"/>
                  <v:stroke/>
                  <v:imagedata o:title=""/>
                  <o:lock v:ext="edit"/>
                  <v:textbox>
                    <w:txbxContent>
                      <w:p w14:paraId="301060E7"/>
                    </w:txbxContent>
                  </v:textbox>
                </v:shape>
              </w:pict>
            </w:r>
            <w:r>
              <w:rPr>
                <w:rFonts w:hint="eastAsia" w:ascii="黑体" w:hAnsi="黑体" w:eastAsia="黑体" w:cs="Times New Roman"/>
                <w:sz w:val="22"/>
                <w:szCs w:val="28"/>
                <w:lang/>
              </w:rPr>
              <w:pict>
                <v:shape id="_x0000_s1031" o:spid="_x0000_s1031" o:spt="202" type="#_x0000_t202" style="position:absolute;left:0pt;margin-left:250.6pt;margin-top:5.6pt;height:15.6pt;width:18pt;z-index:251660288;mso-width-relative:page;mso-height-relative:page;" coordsize="21600,21600">
                  <v:path/>
                  <v:fill focussize="0,0"/>
                  <v:stroke/>
                  <v:imagedata o:title=""/>
                  <o:lock v:ext="edit"/>
                  <v:textbox>
                    <w:txbxContent>
                      <w:p w14:paraId="660A05AC"/>
                    </w:txbxContent>
                  </v:textbox>
                </v:shape>
              </w:pict>
            </w:r>
            <w:r>
              <w:rPr>
                <w:rFonts w:hint="eastAsia" w:ascii="黑体" w:hAnsi="黑体" w:eastAsia="黑体" w:cs="Times New Roman"/>
                <w:sz w:val="22"/>
                <w:szCs w:val="28"/>
              </w:rPr>
              <w:t>同意立项级别：   校级                  国家级</w:t>
            </w:r>
          </w:p>
          <w:p w14:paraId="7D681A56">
            <w:pPr>
              <w:rPr>
                <w:rFonts w:hint="eastAsia"/>
                <w:b/>
              </w:rPr>
            </w:pPr>
          </w:p>
          <w:p w14:paraId="194E4A48">
            <w:pPr>
              <w:spacing w:before="156" w:beforeLines="50"/>
              <w:rPr>
                <w:rFonts w:hint="eastAsia" w:ascii="黑体" w:hAnsi="黑体" w:eastAsia="黑体" w:cs="Times New Roman"/>
                <w:sz w:val="22"/>
                <w:szCs w:val="28"/>
              </w:rPr>
            </w:pPr>
          </w:p>
          <w:p w14:paraId="1E95FA77">
            <w:pPr>
              <w:spacing w:before="156" w:beforeLines="50"/>
              <w:rPr>
                <w:rFonts w:hint="eastAsia" w:ascii="黑体" w:hAnsi="黑体" w:eastAsia="黑体" w:cs="Times New Roman"/>
                <w:sz w:val="22"/>
                <w:szCs w:val="28"/>
              </w:rPr>
            </w:pPr>
            <w:r>
              <w:rPr>
                <w:rFonts w:hint="eastAsia" w:ascii="黑体" w:hAnsi="黑体" w:eastAsia="黑体" w:cs="Times New Roman"/>
                <w:sz w:val="22"/>
                <w:szCs w:val="28"/>
              </w:rPr>
              <w:t xml:space="preserve">                                                签名盖章： </w:t>
            </w:r>
          </w:p>
          <w:p w14:paraId="5B0A3B3A">
            <w:pPr>
              <w:spacing w:before="156" w:beforeLines="50"/>
              <w:ind w:firstLine="6600" w:firstLineChars="3000"/>
              <w:rPr>
                <w:rFonts w:hint="eastAsia"/>
                <w:b/>
              </w:rPr>
            </w:pPr>
            <w:r>
              <w:rPr>
                <w:rFonts w:hint="eastAsia" w:ascii="黑体" w:hAnsi="黑体" w:eastAsia="黑体" w:cs="Times New Roman"/>
                <w:sz w:val="22"/>
                <w:szCs w:val="28"/>
              </w:rPr>
              <w:t>年     月     日</w:t>
            </w:r>
          </w:p>
        </w:tc>
      </w:tr>
    </w:tbl>
    <w:p w14:paraId="63117960">
      <w:pPr>
        <w:spacing w:line="360" w:lineRule="auto"/>
        <w:rPr>
          <w:rFonts w:hint="eastAsia"/>
        </w:rPr>
      </w:pPr>
    </w:p>
    <w:sectPr>
      <w:footerReference r:id="rId3" w:type="default"/>
      <w:pgSz w:w="11906" w:h="16838"/>
      <w:pgMar w:top="1418" w:right="1418" w:bottom="1418" w:left="1418" w:header="851" w:footer="992" w:gutter="0"/>
      <w:pgBorders>
        <w:top w:val="none" w:sz="0" w:space="0"/>
        <w:left w:val="none" w:sz="0" w:space="0"/>
        <w:bottom w:val="none" w:sz="0" w:space="0"/>
        <w:right w:val="none" w:sz="0" w:space="0"/>
      </w:pgBorders>
      <w:pgNumType w:fmt="numberInDash" w:start="1"/>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2"/>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B383E227-15E8-4E66-A110-F60630301C64}"/>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小标宋简体">
    <w:panose1 w:val="02000000000000000000"/>
    <w:charset w:val="86"/>
    <w:family w:val="auto"/>
    <w:pitch w:val="default"/>
    <w:sig w:usb0="00000001" w:usb1="08000000" w:usb2="00000000" w:usb3="00000000" w:csb0="00040000" w:csb1="00000000"/>
    <w:embedRegular r:id="rId2" w:fontKey="{7C3B0D04-8FE7-4CC6-A0B2-B96F4F012EAD}"/>
  </w:font>
  <w:font w:name="小标宋">
    <w:altName w:val="微软雅黑"/>
    <w:panose1 w:val="03000509000000000000"/>
    <w:charset w:val="86"/>
    <w:family w:val="auto"/>
    <w:pitch w:val="default"/>
    <w:sig w:usb0="00000001" w:usb1="080E0000" w:usb2="00000000" w:usb3="00000000" w:csb0="00040000" w:csb1="00000000"/>
    <w:embedRegular r:id="rId3" w:fontKey="{38768358-92AA-4512-9443-88C27A753974}"/>
  </w:font>
  <w:font w:name="楷体_GB2312">
    <w:altName w:val="楷体"/>
    <w:panose1 w:val="02010609030101010101"/>
    <w:charset w:val="86"/>
    <w:family w:val="modern"/>
    <w:pitch w:val="default"/>
    <w:sig w:usb0="00000001" w:usb1="080E0000" w:usb2="00000000" w:usb3="00000000" w:csb0="00040000" w:csb1="00000000"/>
    <w:embedRegular r:id="rId4" w:fontKey="{DFDCD078-1185-49A7-AA36-1F51D75CC6CF}"/>
  </w:font>
  <w:font w:name="仿宋_GB2312">
    <w:altName w:val="仿宋"/>
    <w:panose1 w:val="02010609030101010101"/>
    <w:charset w:val="86"/>
    <w:family w:val="modern"/>
    <w:pitch w:val="default"/>
    <w:sig w:usb0="00000001" w:usb1="080E0000" w:usb2="00000000" w:usb3="00000000" w:csb0="00040000" w:csb1="00000000"/>
    <w:embedRegular r:id="rId5" w:fontKey="{F9D26E4E-2ABA-4353-B0B2-41CFBCF577CC}"/>
  </w:font>
  <w:font w:name="微软雅黑">
    <w:panose1 w:val="020B0503020204020204"/>
    <w:charset w:val="86"/>
    <w:family w:val="auto"/>
    <w:pitch w:val="default"/>
    <w:sig w:usb0="80000287" w:usb1="2ACF3C50" w:usb2="00000016" w:usb3="00000000" w:csb0="0004001F" w:csb1="00000000"/>
  </w:font>
  <w:font w:name="仿宋">
    <w:panose1 w:val="02010609060101010101"/>
    <w:charset w:val="86"/>
    <w:family w:val="auto"/>
    <w:pitch w:val="default"/>
    <w:sig w:usb0="800002BF" w:usb1="38CF7CFA" w:usb2="00000016" w:usb3="00000000" w:csb0="00040001" w:csb1="00000000"/>
  </w:font>
  <w:font w:name="KSOFE44F9426">
    <w:panose1 w:val="02010609060101010101"/>
    <w:charset w:val="86"/>
    <w:family w:val="auto"/>
    <w:pitch w:val="default"/>
    <w:sig w:usb0="00000001" w:usb1="00000000" w:usb2="00000000"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579B12">
    <w:pPr>
      <w:pStyle w:val="2"/>
    </w:pPr>
    <w:r>
      <w:rPr>
        <w:sz w:val="18"/>
      </w:rPr>
      <w:pict>
        <v:shape id="_x0000_s2049" o:spid="_x0000_s2049" o:spt="202" type="#_x0000_t202" style="position:absolute;left:0pt;margin-top:0pt;height:144pt;width:144pt;mso-position-horizontal:outside;mso-position-horizontal-relative:margin;mso-wrap-style:none;z-index:251659264;mso-width-relative:page;mso-height-relative:page;" filled="f" stroked="f" coordsize="21600,21600">
          <v:path/>
          <v:fill on="f" focussize="0,0"/>
          <v:stroke on="f"/>
          <v:imagedata o:title=""/>
          <o:lock v:ext="edit" aspectratio="f"/>
          <v:textbox inset="0mm,0mm,0mm,0mm" style="mso-fit-shape-to-text:t;">
            <w:txbxContent>
              <w:p w14:paraId="130D80B9">
                <w:pPr>
                  <w:pStyle w:val="2"/>
                  <w:rPr>
                    <w:rStyle w:val="8"/>
                    <w:sz w:val="21"/>
                    <w:szCs w:val="21"/>
                  </w:rPr>
                </w:pPr>
                <w:r>
                  <w:rPr>
                    <w:sz w:val="21"/>
                    <w:szCs w:val="21"/>
                  </w:rPr>
                  <w:fldChar w:fldCharType="begin"/>
                </w:r>
                <w:r>
                  <w:rPr>
                    <w:rStyle w:val="8"/>
                    <w:sz w:val="21"/>
                    <w:szCs w:val="21"/>
                  </w:rPr>
                  <w:instrText xml:space="preserve">PAGE  </w:instrText>
                </w:r>
                <w:r>
                  <w:rPr>
                    <w:sz w:val="21"/>
                    <w:szCs w:val="21"/>
                  </w:rPr>
                  <w:fldChar w:fldCharType="separate"/>
                </w:r>
                <w:r>
                  <w:rPr>
                    <w:rStyle w:val="8"/>
                    <w:sz w:val="21"/>
                    <w:szCs w:val="21"/>
                  </w:rPr>
                  <w:t>1</w:t>
                </w:r>
                <w:r>
                  <w:rPr>
                    <w:sz w:val="21"/>
                    <w:szCs w:val="21"/>
                  </w:rPr>
                  <w:fldChar w:fldCharType="end"/>
                </w:r>
              </w:p>
            </w:txbxContent>
          </v:textbox>
        </v:shape>
      </w:pic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2"/>
  <w:embedTrueTypeFonts/>
  <w:saveSubsetFonts/>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VerticalSpacing w:val="156"/>
  <w:displayHorizontalDrawingGridEvery w:val="0"/>
  <w:displayVerticalDrawingGridEvery w:val="2"/>
  <w:characterSpacingControl w:val="compressPunctuation"/>
  <w:hdrShapeDefaults>
    <o:shapelayout v:ext="edit">
      <o:idmap v:ext="edit" data="2"/>
    </o:shapelayout>
  </w:hdrShapeDefaults>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docVars>
    <w:docVar w:name="commondata" w:val="eyJoZGlkIjoiOTMzYjIwYzMzODc2NjE0NzQwOTYwODUwNWRkNGVkZmIifQ=="/>
  </w:docVars>
  <w:rsids>
    <w:rsidRoot w:val="00C848A6"/>
    <w:rsid w:val="00007206"/>
    <w:rsid w:val="00094439"/>
    <w:rsid w:val="000B0BBE"/>
    <w:rsid w:val="001321B4"/>
    <w:rsid w:val="001558B9"/>
    <w:rsid w:val="0016391F"/>
    <w:rsid w:val="001A4A23"/>
    <w:rsid w:val="0021063B"/>
    <w:rsid w:val="00227945"/>
    <w:rsid w:val="00227EF5"/>
    <w:rsid w:val="002C5B40"/>
    <w:rsid w:val="00346C40"/>
    <w:rsid w:val="0036480C"/>
    <w:rsid w:val="00366E15"/>
    <w:rsid w:val="00376DDE"/>
    <w:rsid w:val="003B5EBD"/>
    <w:rsid w:val="003D34BA"/>
    <w:rsid w:val="003D4D06"/>
    <w:rsid w:val="004369A3"/>
    <w:rsid w:val="00440A03"/>
    <w:rsid w:val="00466C07"/>
    <w:rsid w:val="004746B0"/>
    <w:rsid w:val="004F22DA"/>
    <w:rsid w:val="00500FB0"/>
    <w:rsid w:val="005168B9"/>
    <w:rsid w:val="00540D59"/>
    <w:rsid w:val="005A367C"/>
    <w:rsid w:val="005A3C70"/>
    <w:rsid w:val="00617FD6"/>
    <w:rsid w:val="0065045A"/>
    <w:rsid w:val="0067113C"/>
    <w:rsid w:val="00673330"/>
    <w:rsid w:val="00695972"/>
    <w:rsid w:val="006B759E"/>
    <w:rsid w:val="006D5FED"/>
    <w:rsid w:val="006F599E"/>
    <w:rsid w:val="00792927"/>
    <w:rsid w:val="00793754"/>
    <w:rsid w:val="007B1B7E"/>
    <w:rsid w:val="00825FB4"/>
    <w:rsid w:val="00875D37"/>
    <w:rsid w:val="00894C41"/>
    <w:rsid w:val="008B5C9F"/>
    <w:rsid w:val="00906023"/>
    <w:rsid w:val="00981B0B"/>
    <w:rsid w:val="009A1991"/>
    <w:rsid w:val="009B2B37"/>
    <w:rsid w:val="009C01DA"/>
    <w:rsid w:val="009C0D1E"/>
    <w:rsid w:val="00A15C74"/>
    <w:rsid w:val="00A4021B"/>
    <w:rsid w:val="00A53F98"/>
    <w:rsid w:val="00A74A96"/>
    <w:rsid w:val="00AA3B49"/>
    <w:rsid w:val="00AC1F0A"/>
    <w:rsid w:val="00B128D9"/>
    <w:rsid w:val="00B56C05"/>
    <w:rsid w:val="00BD7EF6"/>
    <w:rsid w:val="00C25CC3"/>
    <w:rsid w:val="00C314D5"/>
    <w:rsid w:val="00C52A54"/>
    <w:rsid w:val="00C57E77"/>
    <w:rsid w:val="00C848A6"/>
    <w:rsid w:val="00CC794E"/>
    <w:rsid w:val="00CE5CF8"/>
    <w:rsid w:val="00D34D58"/>
    <w:rsid w:val="00D54048"/>
    <w:rsid w:val="00D84D7E"/>
    <w:rsid w:val="00DD0614"/>
    <w:rsid w:val="00DD15E9"/>
    <w:rsid w:val="00E60B11"/>
    <w:rsid w:val="00EB3A75"/>
    <w:rsid w:val="00EC5E67"/>
    <w:rsid w:val="00F12D65"/>
    <w:rsid w:val="00F2648B"/>
    <w:rsid w:val="00F33FF4"/>
    <w:rsid w:val="00F75A7A"/>
    <w:rsid w:val="00FB2D8D"/>
    <w:rsid w:val="00FE3393"/>
    <w:rsid w:val="010E6BD3"/>
    <w:rsid w:val="05C375FE"/>
    <w:rsid w:val="0B0419E3"/>
    <w:rsid w:val="0F8A271E"/>
    <w:rsid w:val="110554B0"/>
    <w:rsid w:val="18A40355"/>
    <w:rsid w:val="19F92A7C"/>
    <w:rsid w:val="2B7175E9"/>
    <w:rsid w:val="391E4B76"/>
    <w:rsid w:val="46006614"/>
    <w:rsid w:val="50BC0C37"/>
    <w:rsid w:val="532474A3"/>
    <w:rsid w:val="5C4F0B22"/>
    <w:rsid w:val="5DAE1817"/>
    <w:rsid w:val="5FC33C0F"/>
    <w:rsid w:val="61892ED4"/>
    <w:rsid w:val="62864897"/>
    <w:rsid w:val="63F4655B"/>
    <w:rsid w:val="7A0F27A6"/>
    <w:rsid w:val="7C076ABF"/>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unhideWhenUsed="0" w:uiPriority="0" w:semiHidden="0" w:name="Normal"/>
    <w:lsdException w:unhideWhenUsed="0" w:uiPriority="0" w:semiHidden="0" w:name="heading 1"/>
    <w:lsdException w:unhideWhenUsed="0" w:uiPriority="0" w:semiHidden="0" w:name="heading 2"/>
    <w:lsdException w:unhideWhenUsed="0" w:uiPriority="0" w:semiHidden="0" w:name="heading 3"/>
    <w:lsdException w:unhideWhenUsed="0" w:uiPriority="0" w:semiHidden="0" w:name="heading 4"/>
    <w:lsdException w:unhideWhenUsed="0" w:uiPriority="0" w:semiHidden="0" w:name="heading 5"/>
    <w:lsdException w:unhideWhenUsed="0" w:uiPriority="0" w:semiHidden="0" w:name="heading 6"/>
    <w:lsdException w:unhideWhenUsed="0" w:uiPriority="0" w:semiHidden="0" w:name="heading 7"/>
    <w:lsdException w:unhideWhenUsed="0" w:uiPriority="0" w:semiHidden="0" w:name="heading 8"/>
    <w:lsdException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pPr>
      <w:widowControl w:val="0"/>
      <w:jc w:val="both"/>
    </w:pPr>
    <w:rPr>
      <w:rFonts w:eastAsia="宋体"/>
      <w:kern w:val="2"/>
      <w:sz w:val="21"/>
      <w:szCs w:val="24"/>
      <w:lang w:val="en-US" w:eastAsia="zh-CN" w:bidi="ar-SA"/>
    </w:rPr>
  </w:style>
  <w:style w:type="character" w:default="1" w:styleId="7">
    <w:name w:val="Default Paragraph Font"/>
    <w:semiHidden/>
    <w:uiPriority w:val="0"/>
  </w:style>
  <w:style w:type="table" w:default="1" w:styleId="5">
    <w:name w:val="Normal Table"/>
    <w:semiHidden/>
    <w:uiPriority w:val="0"/>
    <w:tblPr>
      <w:tblStyle w:val="5"/>
      <w:tblCellMar>
        <w:top w:w="0" w:type="dxa"/>
        <w:left w:w="108" w:type="dxa"/>
        <w:bottom w:w="0" w:type="dxa"/>
        <w:right w:w="108" w:type="dxa"/>
      </w:tblCellMar>
    </w:tblPr>
  </w:style>
  <w:style w:type="paragraph" w:styleId="2">
    <w:name w:val="footer"/>
    <w:basedOn w:val="1"/>
    <w:uiPriority w:val="0"/>
    <w:pPr>
      <w:tabs>
        <w:tab w:val="center" w:pos="4153"/>
        <w:tab w:val="right" w:pos="8306"/>
      </w:tabs>
      <w:snapToGrid w:val="0"/>
      <w:jc w:val="left"/>
    </w:pPr>
    <w:rPr>
      <w:sz w:val="18"/>
      <w:szCs w:val="18"/>
    </w:rPr>
  </w:style>
  <w:style w:type="paragraph" w:styleId="3">
    <w:name w:val="header"/>
    <w:basedOn w:val="1"/>
    <w:uiPriority w:val="0"/>
    <w:pPr>
      <w:pBdr>
        <w:bottom w:val="single" w:color="auto" w:sz="6" w:space="1"/>
      </w:pBdr>
      <w:tabs>
        <w:tab w:val="center" w:pos="4153"/>
        <w:tab w:val="right" w:pos="8306"/>
      </w:tabs>
      <w:snapToGrid w:val="0"/>
      <w:jc w:val="center"/>
    </w:pPr>
    <w:rPr>
      <w:sz w:val="18"/>
      <w:szCs w:val="18"/>
    </w:rPr>
  </w:style>
  <w:style w:type="paragraph" w:styleId="4">
    <w:name w:val="Normal (Web)"/>
    <w:basedOn w:val="1"/>
    <w:uiPriority w:val="0"/>
    <w:pPr>
      <w:spacing w:before="100" w:beforeAutospacing="1" w:after="100" w:afterAutospacing="1"/>
      <w:ind w:left="0" w:right="0"/>
      <w:jc w:val="left"/>
    </w:pPr>
    <w:rPr>
      <w:kern w:val="0"/>
      <w:sz w:val="24"/>
      <w:lang w:val="en-US" w:eastAsia="zh-CN" w:bidi="ar"/>
    </w:rPr>
  </w:style>
  <w:style w:type="table" w:styleId="6">
    <w:name w:val="Table Grid"/>
    <w:basedOn w:val="5"/>
    <w:uiPriority w:val="0"/>
    <w:pPr>
      <w:widowControl w:val="0"/>
      <w:jc w:val="both"/>
    </w:pPr>
    <w:rPr>
      <w:rFonts w:eastAsia="宋体"/>
    </w:rPr>
    <w:tblPr>
      <w:tblStyle w:val="5"/>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8">
    <w:name w:val="page number"/>
    <w:basedOn w:val="7"/>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1.xml"/><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2049" textRotate="1"/>
    <customShpInfo spid="_x0000_s1030"/>
    <customShpInfo spid="_x0000_s103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Lenovo</Company>
  <Pages>23</Pages>
  <Words>477</Words>
  <Characters>481</Characters>
  <Lines>7</Lines>
  <Paragraphs>2</Paragraphs>
  <TotalTime>0</TotalTime>
  <ScaleCrop>false</ScaleCrop>
  <LinksUpToDate>false</LinksUpToDate>
  <CharactersWithSpaces>761</CharactersWithSpaces>
  <Application>WPS Office_12.1.0.29161_F1E327BC-269C-435d-A152-05C5408002CA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2012-03-22T01:26:00Z</dcterms:created>
  <dc:creator>liangqs</dc:creator>
  <cp:lastModifiedBy>当问春风</cp:lastModifiedBy>
  <cp:lastPrinted>2022-10-26T02:38:36Z</cp:lastPrinted>
  <dcterms:modified xsi:type="dcterms:W3CDTF">2026-10-03T22:10:53Z</dcterms:modified>
  <dc:title>华南理工大学</dc:title>
  <cp:revision>22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2052-12.1.0.29161</vt:lpwstr>
  </property>
  <property fmtid="{D5CDD505-2E9C-101B-9397-08002B2CF9AE}" pid="3" name="ICV">
    <vt:lpwstr>C6B8D60012444EE0AE4F839222C8C123_13</vt:lpwstr>
  </property>
</Properties>
</file>