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2265E0">
      <w:pPr>
        <w:rPr>
          <w:rFonts w:hint="eastAsia" w:eastAsia="宋体"/>
          <w:lang w:eastAsia="zh-CN"/>
        </w:rPr>
      </w:pPr>
      <w:bookmarkStart w:id="0" w:name="_GoBack"/>
      <w:bookmarkEnd w:id="0"/>
    </w:p>
    <w:p w14:paraId="454DAF09">
      <w:pPr>
        <w:rPr>
          <w:rFonts w:hint="eastAsia" w:eastAsia="宋体"/>
          <w:lang w:eastAsia="zh-CN"/>
        </w:rPr>
      </w:pPr>
    </w:p>
    <w:p w14:paraId="2F154125">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68E43715">
      <w:pPr>
        <w:rPr>
          <w:rFonts w:hint="eastAsia"/>
        </w:rPr>
      </w:pPr>
    </w:p>
    <w:p w14:paraId="5891F785">
      <w:pPr>
        <w:rPr>
          <w:rFonts w:hint="eastAsia"/>
        </w:rPr>
      </w:pPr>
    </w:p>
    <w:p w14:paraId="6B33BE1A">
      <w:pPr>
        <w:rPr>
          <w:rFonts w:hint="eastAsia"/>
        </w:rPr>
      </w:pPr>
    </w:p>
    <w:p w14:paraId="1BCC8317">
      <w:pPr>
        <w:rPr>
          <w:rFonts w:hint="eastAsia"/>
        </w:rPr>
      </w:pPr>
    </w:p>
    <w:p w14:paraId="3A1B2FA0">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2048C334">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1E78178E">
      <w:pPr>
        <w:jc w:val="both"/>
        <w:rPr>
          <w:rFonts w:hint="eastAsia" w:ascii="黑体" w:hAnsi="黑体" w:eastAsia="黑体"/>
          <w:sz w:val="36"/>
          <w:szCs w:val="36"/>
        </w:rPr>
      </w:pPr>
    </w:p>
    <w:p w14:paraId="2C3C3C2F">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3ABCECF2">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59B70A55">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0503B6CB">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6A34AED4">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14DE8BE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1BB824E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46AC38AF">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4F34AA2F">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50960706">
      <w:pPr>
        <w:spacing w:line="480" w:lineRule="auto"/>
        <w:rPr>
          <w:rFonts w:hint="eastAsia" w:ascii="黑体" w:hAnsi="黑体" w:eastAsia="黑体" w:cs="黑体"/>
          <w:b w:val="0"/>
          <w:bCs w:val="0"/>
          <w:sz w:val="30"/>
          <w:szCs w:val="30"/>
          <w:lang w:val="en-US" w:eastAsia="zh-CN"/>
        </w:rPr>
      </w:pPr>
    </w:p>
    <w:p w14:paraId="0C9FB778">
      <w:pPr>
        <w:rPr>
          <w:rFonts w:hint="eastAsia" w:ascii="黑体" w:hAnsi="黑体" w:eastAsia="黑体" w:cs="黑体"/>
          <w:sz w:val="36"/>
        </w:rPr>
      </w:pPr>
    </w:p>
    <w:p w14:paraId="77773A87">
      <w:pPr>
        <w:rPr>
          <w:rFonts w:hint="eastAsia" w:ascii="黑体" w:hAnsi="黑体" w:eastAsia="黑体" w:cs="黑体"/>
          <w:sz w:val="36"/>
        </w:rPr>
      </w:pPr>
    </w:p>
    <w:p w14:paraId="1035DD24">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21EEF858">
      <w:pPr>
        <w:pageBreakBefore/>
        <w:jc w:val="center"/>
        <w:rPr>
          <w:rFonts w:eastAsia="楷体_GB2312"/>
          <w:b/>
          <w:bCs/>
          <w:sz w:val="36"/>
        </w:rPr>
      </w:pPr>
      <w:r>
        <w:rPr>
          <w:rFonts w:hint="eastAsia" w:ascii="小标宋" w:hAnsi="小标宋" w:eastAsia="小标宋" w:cs="小标宋"/>
          <w:b w:val="0"/>
          <w:bCs w:val="0"/>
          <w:sz w:val="44"/>
        </w:rPr>
        <w:t>填 写 须 知</w:t>
      </w:r>
    </w:p>
    <w:p w14:paraId="450B5DE6">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57A6D795">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06D99336">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768C27BD">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121DBD55">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0C115E86">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69309297">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30B303A7">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2AF4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1AC3051A">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4ECBDE12">
            <w:pPr>
              <w:jc w:val="center"/>
              <w:rPr>
                <w:rFonts w:hint="eastAsia" w:eastAsia="宋体"/>
                <w:lang w:eastAsia="zh-CN"/>
              </w:rPr>
            </w:pPr>
            <w:r>
              <w:rPr>
                <w:rFonts w:hint="eastAsia"/>
                <w:lang w:eastAsia="zh-CN"/>
              </w:rPr>
              <w:t>基于 LoRa 的南疆滴灌支管道早期故障诊断物联网原型系统</w:t>
            </w:r>
          </w:p>
        </w:tc>
      </w:tr>
      <w:tr w14:paraId="1CD6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245A72D4">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2E6A8902">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68AD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6F221CD0">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6F354518">
            <w:pPr>
              <w:jc w:val="center"/>
              <w:rPr>
                <w:rFonts w:hint="eastAsia" w:eastAsia="宋体"/>
                <w:lang w:eastAsia="zh-CN"/>
              </w:rPr>
            </w:pPr>
            <w:r>
              <w:rPr>
                <w:rFonts w:hint="eastAsia" w:ascii="黑体" w:hAnsi="黑体" w:eastAsia="黑体" w:cs="Times New Roman"/>
                <w:lang w:eastAsia="zh-CN"/>
              </w:rPr>
              <w:t>2027年3月至2028年2月</w:t>
            </w:r>
          </w:p>
        </w:tc>
      </w:tr>
      <w:tr w14:paraId="6FCD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7CDFB515">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0E89168B">
            <w:pPr>
              <w:jc w:val="center"/>
              <w:rPr>
                <w:rFonts w:ascii="黑体" w:hAnsi="黑体" w:eastAsia="黑体"/>
              </w:rPr>
            </w:pPr>
            <w:r>
              <w:rPr>
                <w:rFonts w:hint="eastAsia" w:ascii="黑体" w:hAnsi="黑体" w:eastAsia="黑体"/>
              </w:rPr>
              <w:t>姓名</w:t>
            </w:r>
          </w:p>
        </w:tc>
        <w:tc>
          <w:tcPr>
            <w:tcW w:w="719" w:type="dxa"/>
            <w:noWrap w:val="0"/>
            <w:vAlign w:val="center"/>
          </w:tcPr>
          <w:p w14:paraId="49C3F911">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3E956212">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5C391225">
            <w:pPr>
              <w:jc w:val="center"/>
              <w:rPr>
                <w:rFonts w:ascii="黑体" w:hAnsi="黑体" w:eastAsia="黑体"/>
              </w:rPr>
            </w:pPr>
            <w:r>
              <w:rPr>
                <w:rFonts w:hint="eastAsia" w:ascii="黑体" w:hAnsi="黑体" w:eastAsia="黑体"/>
              </w:rPr>
              <w:t>联系电话</w:t>
            </w:r>
          </w:p>
        </w:tc>
        <w:tc>
          <w:tcPr>
            <w:tcW w:w="2689" w:type="dxa"/>
            <w:noWrap w:val="0"/>
            <w:vAlign w:val="center"/>
          </w:tcPr>
          <w:p w14:paraId="7C4533F9">
            <w:pPr>
              <w:jc w:val="center"/>
              <w:rPr>
                <w:rFonts w:hint="eastAsia" w:ascii="黑体" w:hAnsi="黑体" w:eastAsia="黑体"/>
              </w:rPr>
            </w:pPr>
            <w:r>
              <w:rPr>
                <w:rFonts w:hint="eastAsia" w:ascii="黑体" w:hAnsi="黑体" w:eastAsia="黑体"/>
              </w:rPr>
              <w:t>E-mail</w:t>
            </w:r>
          </w:p>
        </w:tc>
      </w:tr>
      <w:tr w14:paraId="34D1C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3323B886">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3AE963F2">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620100BF">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1089D182">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1F7D7ED9">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63792FA8">
            <w:pPr>
              <w:jc w:val="center"/>
              <w:rPr>
                <w:rFonts w:hint="eastAsia" w:eastAsia="宋体"/>
                <w:lang w:eastAsia="zh-CN"/>
              </w:rPr>
            </w:pPr>
            <w:r>
              <w:rPr>
                <w:rFonts w:hint="eastAsia"/>
                <w:lang w:eastAsia="zh-CN"/>
              </w:rPr>
              <w:t>待填写</w:t>
            </w:r>
          </w:p>
        </w:tc>
      </w:tr>
      <w:tr w14:paraId="0D3C5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52F60B1C">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3618A2DD">
            <w:pPr>
              <w:jc w:val="both"/>
              <w:rPr>
                <w:rFonts w:hint="eastAsia" w:eastAsia="宋体"/>
                <w:lang w:val="en-US" w:eastAsia="zh-CN"/>
              </w:rPr>
            </w:pPr>
            <w:r>
              <w:rPr>
                <w:rFonts w:hint="eastAsia" w:ascii="黑体" w:hAnsi="黑体" w:eastAsia="黑体" w:cs="Times New Roman"/>
                <w:lang w:val="en-US" w:eastAsia="zh-CN"/>
              </w:rPr>
              <w:t>尚未提供，由本人据实填写，不能照抄案例经历。</w:t>
            </w:r>
          </w:p>
        </w:tc>
      </w:tr>
      <w:tr w14:paraId="3515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5ED4E752">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0258B230">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6396E5CF">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67001621">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683EC88E">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52D86FAA">
            <w:pPr>
              <w:jc w:val="center"/>
              <w:rPr>
                <w:rFonts w:hint="eastAsia" w:ascii="黑体" w:hAnsi="黑体" w:eastAsia="黑体"/>
              </w:rPr>
            </w:pPr>
            <w:r>
              <w:rPr>
                <w:rFonts w:hint="eastAsia" w:ascii="黑体" w:hAnsi="黑体" w:eastAsia="黑体"/>
              </w:rPr>
              <w:t>项目分工</w:t>
            </w:r>
          </w:p>
        </w:tc>
      </w:tr>
      <w:tr w14:paraId="7F94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45FB1229">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13464593">
            <w:pPr>
              <w:jc w:val="center"/>
            </w:pPr>
          </w:p>
        </w:tc>
        <w:tc>
          <w:tcPr>
            <w:tcW w:w="719" w:type="dxa"/>
            <w:tcBorders>
              <w:top w:val="single" w:color="auto" w:sz="4" w:space="0"/>
              <w:bottom w:val="single" w:color="auto" w:sz="4" w:space="0"/>
            </w:tcBorders>
            <w:noWrap w:val="0"/>
            <w:vAlign w:val="center"/>
          </w:tcPr>
          <w:p w14:paraId="1EC4F16F">
            <w:pPr>
              <w:jc w:val="center"/>
              <w:rPr>
                <w:rFonts w:hint="eastAsia"/>
              </w:rPr>
            </w:pPr>
          </w:p>
        </w:tc>
        <w:tc>
          <w:tcPr>
            <w:tcW w:w="2883" w:type="dxa"/>
            <w:gridSpan w:val="2"/>
            <w:tcBorders>
              <w:top w:val="single" w:color="auto" w:sz="4" w:space="0"/>
              <w:bottom w:val="single" w:color="auto" w:sz="4" w:space="0"/>
            </w:tcBorders>
            <w:noWrap w:val="0"/>
            <w:vAlign w:val="center"/>
          </w:tcPr>
          <w:p w14:paraId="2C5E59AF">
            <w:pPr>
              <w:jc w:val="center"/>
              <w:rPr>
                <w:rFonts w:hint="eastAsia"/>
              </w:rPr>
            </w:pPr>
          </w:p>
        </w:tc>
        <w:tc>
          <w:tcPr>
            <w:tcW w:w="1447" w:type="dxa"/>
            <w:gridSpan w:val="2"/>
            <w:tcBorders>
              <w:top w:val="single" w:color="auto" w:sz="4" w:space="0"/>
              <w:bottom w:val="single" w:color="auto" w:sz="4" w:space="0"/>
            </w:tcBorders>
            <w:noWrap w:val="0"/>
            <w:vAlign w:val="center"/>
          </w:tcPr>
          <w:p w14:paraId="56D2CCFB">
            <w:pPr>
              <w:jc w:val="center"/>
              <w:rPr>
                <w:rFonts w:hint="eastAsia"/>
              </w:rPr>
            </w:pPr>
          </w:p>
        </w:tc>
        <w:tc>
          <w:tcPr>
            <w:tcW w:w="2689" w:type="dxa"/>
            <w:tcBorders>
              <w:top w:val="single" w:color="auto" w:sz="4" w:space="0"/>
              <w:bottom w:val="single" w:color="auto" w:sz="4" w:space="0"/>
            </w:tcBorders>
            <w:noWrap w:val="0"/>
            <w:vAlign w:val="center"/>
          </w:tcPr>
          <w:p w14:paraId="3EA4B2CA">
            <w:pPr>
              <w:jc w:val="center"/>
              <w:rPr>
                <w:rFonts w:hint="eastAsia"/>
              </w:rPr>
            </w:pPr>
          </w:p>
        </w:tc>
      </w:tr>
      <w:tr w14:paraId="4FA6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5E3B217B">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46FBA39">
            <w:pPr>
              <w:jc w:val="center"/>
            </w:pPr>
          </w:p>
        </w:tc>
        <w:tc>
          <w:tcPr>
            <w:tcW w:w="719" w:type="dxa"/>
            <w:tcBorders>
              <w:top w:val="single" w:color="auto" w:sz="4" w:space="0"/>
              <w:bottom w:val="single" w:color="auto" w:sz="4" w:space="0"/>
            </w:tcBorders>
            <w:noWrap w:val="0"/>
            <w:vAlign w:val="center"/>
          </w:tcPr>
          <w:p w14:paraId="5E5CD249">
            <w:pPr>
              <w:jc w:val="center"/>
              <w:rPr>
                <w:rFonts w:hint="eastAsia"/>
              </w:rPr>
            </w:pPr>
          </w:p>
        </w:tc>
        <w:tc>
          <w:tcPr>
            <w:tcW w:w="2883" w:type="dxa"/>
            <w:gridSpan w:val="2"/>
            <w:tcBorders>
              <w:top w:val="single" w:color="auto" w:sz="4" w:space="0"/>
              <w:bottom w:val="single" w:color="auto" w:sz="4" w:space="0"/>
            </w:tcBorders>
            <w:noWrap w:val="0"/>
            <w:vAlign w:val="center"/>
          </w:tcPr>
          <w:p w14:paraId="38F37492">
            <w:pPr>
              <w:jc w:val="center"/>
              <w:rPr>
                <w:rFonts w:hint="eastAsia"/>
              </w:rPr>
            </w:pPr>
          </w:p>
        </w:tc>
        <w:tc>
          <w:tcPr>
            <w:tcW w:w="1447" w:type="dxa"/>
            <w:gridSpan w:val="2"/>
            <w:tcBorders>
              <w:top w:val="single" w:color="auto" w:sz="4" w:space="0"/>
              <w:bottom w:val="single" w:color="auto" w:sz="4" w:space="0"/>
            </w:tcBorders>
            <w:noWrap w:val="0"/>
            <w:vAlign w:val="center"/>
          </w:tcPr>
          <w:p w14:paraId="19D871C9">
            <w:pPr>
              <w:jc w:val="center"/>
              <w:rPr>
                <w:rFonts w:hint="eastAsia"/>
              </w:rPr>
            </w:pPr>
          </w:p>
        </w:tc>
        <w:tc>
          <w:tcPr>
            <w:tcW w:w="2689" w:type="dxa"/>
            <w:tcBorders>
              <w:top w:val="single" w:color="auto" w:sz="4" w:space="0"/>
              <w:bottom w:val="single" w:color="auto" w:sz="4" w:space="0"/>
            </w:tcBorders>
            <w:noWrap w:val="0"/>
            <w:vAlign w:val="center"/>
          </w:tcPr>
          <w:p w14:paraId="6F51333C">
            <w:pPr>
              <w:jc w:val="center"/>
              <w:rPr>
                <w:rFonts w:hint="eastAsia"/>
              </w:rPr>
            </w:pPr>
          </w:p>
        </w:tc>
      </w:tr>
      <w:tr w14:paraId="70ECC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2B6ACD1D">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3CDC2AB">
            <w:pPr>
              <w:jc w:val="center"/>
            </w:pPr>
          </w:p>
        </w:tc>
        <w:tc>
          <w:tcPr>
            <w:tcW w:w="719" w:type="dxa"/>
            <w:tcBorders>
              <w:top w:val="single" w:color="auto" w:sz="4" w:space="0"/>
              <w:bottom w:val="single" w:color="auto" w:sz="4" w:space="0"/>
            </w:tcBorders>
            <w:noWrap w:val="0"/>
            <w:vAlign w:val="center"/>
          </w:tcPr>
          <w:p w14:paraId="2B0A3EC1">
            <w:pPr>
              <w:jc w:val="center"/>
              <w:rPr>
                <w:rFonts w:hint="eastAsia"/>
              </w:rPr>
            </w:pPr>
          </w:p>
        </w:tc>
        <w:tc>
          <w:tcPr>
            <w:tcW w:w="2883" w:type="dxa"/>
            <w:gridSpan w:val="2"/>
            <w:tcBorders>
              <w:top w:val="single" w:color="auto" w:sz="4" w:space="0"/>
              <w:bottom w:val="single" w:color="auto" w:sz="4" w:space="0"/>
            </w:tcBorders>
            <w:noWrap w:val="0"/>
            <w:vAlign w:val="center"/>
          </w:tcPr>
          <w:p w14:paraId="75452B5F">
            <w:pPr>
              <w:jc w:val="center"/>
              <w:rPr>
                <w:rFonts w:hint="eastAsia"/>
              </w:rPr>
            </w:pPr>
          </w:p>
        </w:tc>
        <w:tc>
          <w:tcPr>
            <w:tcW w:w="1447" w:type="dxa"/>
            <w:gridSpan w:val="2"/>
            <w:tcBorders>
              <w:top w:val="single" w:color="auto" w:sz="4" w:space="0"/>
              <w:bottom w:val="single" w:color="auto" w:sz="4" w:space="0"/>
            </w:tcBorders>
            <w:noWrap w:val="0"/>
            <w:vAlign w:val="center"/>
          </w:tcPr>
          <w:p w14:paraId="79BFD4C1">
            <w:pPr>
              <w:jc w:val="center"/>
              <w:rPr>
                <w:rFonts w:hint="eastAsia"/>
              </w:rPr>
            </w:pPr>
          </w:p>
        </w:tc>
        <w:tc>
          <w:tcPr>
            <w:tcW w:w="2689" w:type="dxa"/>
            <w:tcBorders>
              <w:top w:val="single" w:color="auto" w:sz="4" w:space="0"/>
              <w:bottom w:val="single" w:color="auto" w:sz="4" w:space="0"/>
            </w:tcBorders>
            <w:noWrap w:val="0"/>
            <w:vAlign w:val="center"/>
          </w:tcPr>
          <w:p w14:paraId="691AEED2">
            <w:pPr>
              <w:jc w:val="center"/>
              <w:rPr>
                <w:rFonts w:hint="eastAsia"/>
              </w:rPr>
            </w:pPr>
          </w:p>
        </w:tc>
      </w:tr>
      <w:tr w14:paraId="0740C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0F903620">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38FC8577">
            <w:pPr>
              <w:jc w:val="center"/>
            </w:pPr>
          </w:p>
        </w:tc>
        <w:tc>
          <w:tcPr>
            <w:tcW w:w="719" w:type="dxa"/>
            <w:tcBorders>
              <w:top w:val="single" w:color="auto" w:sz="4" w:space="0"/>
              <w:bottom w:val="single" w:color="auto" w:sz="4" w:space="0"/>
            </w:tcBorders>
            <w:noWrap w:val="0"/>
            <w:vAlign w:val="center"/>
          </w:tcPr>
          <w:p w14:paraId="52BAFEF2">
            <w:pPr>
              <w:jc w:val="center"/>
              <w:rPr>
                <w:rFonts w:hint="eastAsia"/>
              </w:rPr>
            </w:pPr>
          </w:p>
        </w:tc>
        <w:tc>
          <w:tcPr>
            <w:tcW w:w="2883" w:type="dxa"/>
            <w:gridSpan w:val="2"/>
            <w:tcBorders>
              <w:top w:val="single" w:color="auto" w:sz="4" w:space="0"/>
              <w:bottom w:val="single" w:color="auto" w:sz="4" w:space="0"/>
            </w:tcBorders>
            <w:noWrap w:val="0"/>
            <w:vAlign w:val="center"/>
          </w:tcPr>
          <w:p w14:paraId="4D5512D5">
            <w:pPr>
              <w:jc w:val="center"/>
              <w:rPr>
                <w:rFonts w:hint="eastAsia"/>
              </w:rPr>
            </w:pPr>
          </w:p>
        </w:tc>
        <w:tc>
          <w:tcPr>
            <w:tcW w:w="1447" w:type="dxa"/>
            <w:gridSpan w:val="2"/>
            <w:tcBorders>
              <w:top w:val="single" w:color="auto" w:sz="4" w:space="0"/>
              <w:bottom w:val="single" w:color="auto" w:sz="4" w:space="0"/>
            </w:tcBorders>
            <w:noWrap w:val="0"/>
            <w:vAlign w:val="center"/>
          </w:tcPr>
          <w:p w14:paraId="73C5C6C0">
            <w:pPr>
              <w:jc w:val="center"/>
              <w:rPr>
                <w:rFonts w:hint="eastAsia"/>
              </w:rPr>
            </w:pPr>
          </w:p>
        </w:tc>
        <w:tc>
          <w:tcPr>
            <w:tcW w:w="2689" w:type="dxa"/>
            <w:tcBorders>
              <w:top w:val="single" w:color="auto" w:sz="4" w:space="0"/>
              <w:bottom w:val="single" w:color="auto" w:sz="4" w:space="0"/>
            </w:tcBorders>
            <w:noWrap w:val="0"/>
            <w:vAlign w:val="center"/>
          </w:tcPr>
          <w:p w14:paraId="3FAB4633">
            <w:pPr>
              <w:jc w:val="center"/>
              <w:rPr>
                <w:rFonts w:hint="eastAsia"/>
              </w:rPr>
            </w:pPr>
          </w:p>
        </w:tc>
      </w:tr>
      <w:tr w14:paraId="4F216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0A1CC8C7">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6F174644">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197E05D2">
            <w:pPr>
              <w:jc w:val="center"/>
              <w:rPr>
                <w:rFonts w:hint="eastAsia"/>
              </w:rPr>
            </w:pPr>
          </w:p>
        </w:tc>
        <w:tc>
          <w:tcPr>
            <w:tcW w:w="1447" w:type="dxa"/>
            <w:gridSpan w:val="2"/>
            <w:tcBorders>
              <w:top w:val="single" w:color="auto" w:sz="4" w:space="0"/>
              <w:bottom w:val="single" w:color="auto" w:sz="4" w:space="0"/>
            </w:tcBorders>
            <w:noWrap w:val="0"/>
            <w:vAlign w:val="center"/>
          </w:tcPr>
          <w:p w14:paraId="50446F94">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7676B0F5">
            <w:pPr>
              <w:jc w:val="center"/>
              <w:rPr>
                <w:rFonts w:hint="eastAsia"/>
              </w:rPr>
            </w:pPr>
          </w:p>
        </w:tc>
      </w:tr>
      <w:tr w14:paraId="451F7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76DE0C02">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2B913163">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64C02E40">
            <w:pPr>
              <w:jc w:val="center"/>
              <w:rPr>
                <w:rFonts w:hint="eastAsia"/>
              </w:rPr>
            </w:pPr>
          </w:p>
        </w:tc>
        <w:tc>
          <w:tcPr>
            <w:tcW w:w="1447" w:type="dxa"/>
            <w:gridSpan w:val="2"/>
            <w:tcBorders>
              <w:top w:val="single" w:color="auto" w:sz="4" w:space="0"/>
              <w:bottom w:val="single" w:color="auto" w:sz="4" w:space="0"/>
            </w:tcBorders>
            <w:noWrap w:val="0"/>
            <w:vAlign w:val="center"/>
          </w:tcPr>
          <w:p w14:paraId="488C3DFE">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6F2D6FF6">
            <w:pPr>
              <w:jc w:val="center"/>
              <w:rPr>
                <w:rFonts w:hint="eastAsia"/>
              </w:rPr>
            </w:pPr>
          </w:p>
        </w:tc>
      </w:tr>
      <w:tr w14:paraId="391D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03EB081A">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4508FDB6">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28E1DB03">
            <w:pPr>
              <w:jc w:val="center"/>
              <w:rPr>
                <w:rFonts w:hint="eastAsia"/>
              </w:rPr>
            </w:pPr>
          </w:p>
        </w:tc>
        <w:tc>
          <w:tcPr>
            <w:tcW w:w="1447" w:type="dxa"/>
            <w:gridSpan w:val="2"/>
            <w:tcBorders>
              <w:top w:val="single" w:color="auto" w:sz="4" w:space="0"/>
              <w:bottom w:val="single" w:color="auto" w:sz="4" w:space="0"/>
            </w:tcBorders>
            <w:noWrap w:val="0"/>
            <w:vAlign w:val="center"/>
          </w:tcPr>
          <w:p w14:paraId="228F2C3C">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151E800F">
            <w:pPr>
              <w:jc w:val="center"/>
              <w:rPr>
                <w:rFonts w:hint="eastAsia"/>
              </w:rPr>
            </w:pPr>
          </w:p>
        </w:tc>
      </w:tr>
      <w:tr w14:paraId="4386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3D7E28E6">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64E00401">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0FA1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3BF4E29B">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00AE9F13">
            <w:pPr>
              <w:jc w:val="both"/>
              <w:rPr>
                <w:rFonts w:hint="eastAsia" w:eastAsia="宋体"/>
                <w:lang w:eastAsia="zh-CN"/>
              </w:rPr>
            </w:pPr>
            <w:r>
              <w:rPr>
                <w:rFonts w:hint="eastAsia"/>
                <w:lang w:eastAsia="zh-CN"/>
              </w:rPr>
              <w:t>待教师确认可提供的实验空间、参考仪器、开发及研究指导条件。</w:t>
            </w:r>
          </w:p>
        </w:tc>
      </w:tr>
      <w:tr w14:paraId="784F6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6383B79">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0DC41A6F">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运行巡检，拟研制由双压力流量感知节点、LoRa接收端和本地管理软件构成的早期故障诊断物联网原型系统。针对供压变化、轮灌切换与渐进故障容易混淆的问题，研究入口压力、下游压力及总流量联合观测下等效泄漏、等效受限的识别条件，建立包含故障程度、独立失效参照、误报和提前量的评价方法；结合事件缓存、确认与去重，研究有限通信量下告警及时送达的取舍。项目将建设双支路清水台架，开展标定、独立重复、跨批次对照和真实无线测试，形成可演示原型、可追溯数据及研究报告，为支管检查提供位置范围、变化证据和处理记录。当前已完成文献分析、未标定水力模型、合成试验与离线网页，实物及田间验证拟在实施期开展。</w:t>
            </w:r>
          </w:p>
        </w:tc>
      </w:tr>
      <w:tr w14:paraId="0E8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6529D24">
            <w:pPr>
              <w:keepNext/>
              <w:keepLines/>
              <w:spacing w:beforeLines="50" w:after="100" w:line="240" w:lineRule="auto"/>
              <w:jc w:val="left"/>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p w14:paraId="7510E5E5">
            <w:pPr>
              <w:keepNext/>
              <w:keepLines/>
              <w:spacing w:before="140" w:beforeLines="50" w:after="100" w:line="240" w:lineRule="auto"/>
              <w:jc w:val="left"/>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1 研究目的与应用场景</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滴灌支管的渐进变化可能同时受到供压、运行负载、操作状态和故障影响。一个流量下降提示只能说明观测发生了变化，难以直接告诉管理者应检查供水、阀门还是管路。本项目把研究对象放在支管运行巡检：在可观测的变化出现后，及时提供有证据的检查线索，并保留处理前后的数据，支持管理者核查。</w:t>
            </w:r>
          </w:p>
          <w:p w14:paraId="75CDD716">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拟以支管及压力点包围区段作为位置范围，研究水力响应可观测的等效泄漏和等效受限。项目的农业意义在于辅助运行排查；节水、增产等效益还需要独立农学试验，不作为本期已证实结论。南疆场景的实际轮灌方式、供压范围、安装位置与通信条件，将通过后续联系和现场调查校核。</w:t>
            </w:r>
          </w:p>
          <w:p w14:paraId="2AED3CB8">
            <w:pPr>
              <w:keepNext/>
              <w:keepLines/>
              <w:spacing w:before="140" w:beforeLines="50" w:after="100" w:line="240" w:lineRule="auto"/>
              <w:jc w:val="left"/>
              <w:rPr>
                <w:rFonts w:hint="default" w:ascii="Times New Roman" w:hAnsi="Times New Roman" w:eastAsia="宋体" w:cs="Times New Roman"/>
                <w:b w:val="0"/>
                <w:sz w:val="21"/>
                <w:szCs w:val="28"/>
                <w:lang w:eastAsia="zh-CN"/>
              </w:rPr>
            </w:pPr>
            <w:r>
              <w:rPr>
                <w:rFonts w:hint="default" w:ascii="Times New Roman" w:hAnsi="Times New Roman" w:eastAsia="宋体" w:cs="Times New Roman"/>
                <w:b/>
                <w:sz w:val="21"/>
                <w:szCs w:val="28"/>
                <w:lang w:eastAsia="zh-CN"/>
              </w:rPr>
              <w:t>2 专业结合与人员安排</w:t>
            </w:r>
            <w:r>
              <w:rPr>
                <w:rFonts w:hint="default" w:ascii="Times New Roman" w:hAnsi="Times New Roman" w:eastAsia="宋体" w:cs="Times New Roman"/>
                <w:b w:val="0"/>
                <w:sz w:val="21"/>
                <w:szCs w:val="28"/>
                <w:lang w:eastAsia="zh-CN"/>
              </w:rPr>
              <w:br w:type="textWrapping"/>
            </w:r>
            <w:r>
              <w:rPr>
                <w:rFonts w:hint="default" w:ascii="Times New Roman" w:hAnsi="Times New Roman" w:eastAsia="宋体" w:cs="Times New Roman"/>
                <w:b w:val="0"/>
                <w:sz w:val="21"/>
                <w:szCs w:val="28"/>
                <w:lang w:eastAsia="zh-CN"/>
              </w:rPr>
              <w:t>传感采集、嵌入式处理、无线协议和管理软件共同构成通信专业可参与的系统任务。负责人为塔里木大学信息工程学院通信专业大二学生，目前确认具备焊接能力。拟按系统与实验、嵌入式与通信、数据与管理软件配置三个岗位，在导师指导下完成原理学习、程序复现、分工开发和实验审查，团队总人数不超过模板规定的5人。</w:t>
            </w:r>
          </w:p>
          <w:p w14:paraId="7352FE90">
            <w:pPr>
              <w:keepNext w:val="0"/>
              <w:keepLines/>
              <w:spacing w:beforeLines="50" w:after="100" w:line="240" w:lineRule="auto"/>
              <w:jc w:val="left"/>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申报前需落实实际成员及开发能力，完成一次核心模型和网页流程的现场讲解与复现。成员经历、导师简介、实验室支持及仪器借用按实际情况填写。当前生成的程序与材料是前期方案基础，成员独立掌握和实施能力仍需训练与验证。</w:t>
            </w:r>
          </w:p>
        </w:tc>
      </w:tr>
      <w:tr w14:paraId="41554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75D066B9">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p w14:paraId="61A7F1C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总体架构与运行过程</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项目建设面向支管巡检的感知、诊断、无线告警与管理原型，基础配置为1个P0/P1/Q感知节点、1个LoRa接收端、1套双支路清水台架和1套本地Web管理软件。节点将有效测量与运行状态关联，给出有条件的故障模式或待检查提示；接收端保存事件证据，管理者据此核查并记录处理结果。独立参考测量和操作日志用于检验提示是否正确、是否提前以及何时送达，不能用检测器自己的输出替代实验标签。图1给出系统组成及评价数据的来源。</w:t>
            </w:r>
          </w:p>
          <w:p w14:paraId="6F102449">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6" o:spt="75" alt="图1 支管巡检系统组成与独立评价关系 设计方案" type="#_x0000_t75" style="height:249.15pt;width:425pt;" filled="f" o:preferrelative="t" stroked="f" coordsize="21600,21600">
                  <v:path/>
                  <v:fill on="f" focussize="0,0"/>
                  <v:stroke on="f"/>
                  <v:imagedata r:id="rId6" o:title="system_scop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 支管巡检系统组成与独立评价关系 设计方案</w:t>
            </w:r>
          </w:p>
          <w:p w14:paraId="2733F20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系统闭环截至管理确认，自动阀控不列入本期基础任务。一个节点用于研究一个被监测区段，双支路用于制造共同供水与正常切换条件；它们并不代表已完成多节点田间部署。增加节点和现场适应性试验以资助、许可和测量质量为条件。</w:t>
            </w:r>
          </w:p>
          <w:p w14:paraId="6AFBCD58">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水力感知与台架设计</w:t>
            </w:r>
          </w:p>
          <w:p w14:paraId="781EE7AD">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2.1 布点与故障注入</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P0位于监测区段入口，P1位于集中受限元件下游，Q位于泄漏旁路与A负载分流之前，记录两者的总流量；B支路连接同一供水源，用于模拟其他轮灌负载或正常切换。A支路逐步打开泄漏旁路模拟等效泄漏，逐步调节受限元件模拟局部阻力增加，分别记录操作、收集量和参考读数。图2用于限定观测区段与两种故障的注入位置。</w:t>
            </w:r>
          </w:p>
          <w:p w14:paraId="04239B94">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7" o:spt="75" alt="图2 双压力流量布点与双支路台架设计" type="#_x0000_t75" style="height:267.25pt;width:425pt;" filled="f" o:preferrelative="t" stroked="f" coordsize="21600,21600">
                  <v:path/>
                  <v:fill on="f" focussize="0,0"/>
                  <v:stroke on="f"/>
                  <v:imagedata r:id="rId7" o:title="dual_pressure_layou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图2 双压力流量布点与双支路台架设计</w:t>
            </w:r>
          </w:p>
          <w:p w14:paraId="33BC84A4">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台架拟采用可调供水、支管、调节阀、三通、回水及泄漏收集装置。装配时先校核螺纹、密封、排气和传感器安装位置，再检查稳定供水与回水条件，最后开展切换和故障操作。泄漏支路保留独立收集与计时，以校核故障程度；B支路只承担正常负载切换，不注入第二类故障。节流阀用于模拟水力受限，所得结论不延伸到滴头沉积、生物膜或真实堵塞材料的形成机理。</w:t>
            </w:r>
          </w:p>
          <w:p w14:paraId="51A700DF">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2.2 节点硬件与数据采集</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节点主控拟采用STM32F103C8T6最小系统板，压力经电流采样电阻和ADS1115接入I²C，流量经电平转换接入定时计数，LoRa经UART连接，microSD经SPI保存原始记录。接收端采用另一只LoRa模块与3.3V USB-TTL连接已有电脑，以Python串口接收、SQLite存储和本地Web提供查看确认。该配置先完成开发板原型，减少自制PCB与第二主控的开发负担。图3给出拟实施连接关系。</w:t>
            </w:r>
          </w:p>
          <w:p w14:paraId="6449C1AE">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8" o:spt="75" alt="图3 感知节点功能连接设计" type="#_x0000_t75" style="height:276.35pt;width:425pt;" filled="f" o:preferrelative="t" stroked="f" coordsize="21600,21600">
                  <v:path/>
                  <v:fill on="f" focussize="0,0"/>
                  <v:stroke on="f"/>
                  <v:imagedata r:id="rId8" o:title="hardware_nod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图3 感知节点功能连接设计</w:t>
            </w:r>
          </w:p>
          <w:p w14:paraId="1F3DD4C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表1列出国内有供应资料的候选器件。型号按接口、测量范围和报价核定后冻结，尚未采购或完成接线。图4为供应商产品配图，用于说明候选形态及安装接口，不是本项目样机照片。</w:t>
            </w:r>
          </w:p>
          <w:p w14:paraId="4A128D1E">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9" o:spt="75" alt="图4 国内供应商候选器件配图 尚未采购 非本项目样机" type="#_x0000_t75" style="height:173.35pt;width:425pt;" filled="f" o:preferrelative="t" stroked="f" coordsize="21600,21600">
                  <v:path/>
                  <v:fill on="f" focussize="0,0"/>
                  <v:stroke on="f"/>
                  <v:imagedata r:id="rId9" o:title="hardware_candidate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图4 国内供应商候选器件配图 尚未采购 非本项目样机</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2AF4E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27DBDCAE">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表1 基础原型候选器件与接口</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10F80C6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3BEFE500">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器件与数量</w:t>
                        </w:r>
                      </w:p>
                    </w:tc>
                    <w:tc>
                      <w:tcPr>
                        <w:tcW w:w="3300" w:type="dxa"/>
                        <w:tcBorders>
                          <w:tl2br w:val="nil"/>
                          <w:tr2bl w:val="nil"/>
                        </w:tcBorders>
                        <w:shd w:val="clear" w:color="auto" w:fill="EDEDED"/>
                        <w:vAlign w:val="center"/>
                      </w:tcPr>
                      <w:p w14:paraId="1D057026">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候选配置</w:t>
                        </w:r>
                      </w:p>
                    </w:tc>
                    <w:tc>
                      <w:tcPr>
                        <w:tcW w:w="3500" w:type="dxa"/>
                        <w:tcBorders>
                          <w:tl2br w:val="nil"/>
                          <w:tr2bl w:val="nil"/>
                        </w:tcBorders>
                        <w:shd w:val="clear" w:color="auto" w:fill="EDEDED"/>
                        <w:vAlign w:val="center"/>
                      </w:tcPr>
                      <w:p w14:paraId="57F758D8">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接入与核对条件</w:t>
                        </w:r>
                      </w:p>
                    </w:tc>
                  </w:tr>
                  <w:tr w14:paraId="0B75454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89DE74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主控与日志</w:t>
                        </w:r>
                      </w:p>
                    </w:tc>
                    <w:tc>
                      <w:tcPr>
                        <w:tcW w:w="3300" w:type="dxa"/>
                        <w:tcBorders>
                          <w:tl2br w:val="nil"/>
                          <w:tr2bl w:val="nil"/>
                        </w:tcBorders>
                        <w:shd w:val="clear" w:color="auto" w:fill="FFFFFF"/>
                        <w:vAlign w:val="center"/>
                      </w:tcPr>
                      <w:p w14:paraId="0717B1D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STM32F103C8T6×1及microSD</w:t>
                        </w:r>
                      </w:p>
                    </w:tc>
                    <w:tc>
                      <w:tcPr>
                        <w:tcW w:w="3500" w:type="dxa"/>
                        <w:tcBorders>
                          <w:tl2br w:val="nil"/>
                          <w:tr2bl w:val="nil"/>
                        </w:tcBorders>
                        <w:shd w:val="clear" w:color="auto" w:fill="FFFFFF"/>
                        <w:vAlign w:val="center"/>
                      </w:tcPr>
                      <w:p w14:paraId="7CCBBC8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I²C、计数、UART、SPI资源；存储与掉电恢复</w:t>
                        </w:r>
                      </w:p>
                    </w:tc>
                  </w:tr>
                  <w:tr w14:paraId="564348C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7C3F6D9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w:t>
                        </w:r>
                      </w:p>
                    </w:tc>
                    <w:tc>
                      <w:tcPr>
                        <w:tcW w:w="3300" w:type="dxa"/>
                        <w:tcBorders>
                          <w:tl2br w:val="nil"/>
                          <w:tr2bl w:val="nil"/>
                        </w:tcBorders>
                        <w:shd w:val="clear" w:color="auto" w:fill="FFFFFF"/>
                        <w:vAlign w:val="center"/>
                      </w:tcPr>
                      <w:p w14:paraId="4178B33A">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MPM489系列×2，K200表压</w:t>
                        </w:r>
                      </w:p>
                    </w:tc>
                    <w:tc>
                      <w:tcPr>
                        <w:tcW w:w="3500" w:type="dxa"/>
                        <w:tcBorders>
                          <w:tl2br w:val="nil"/>
                          <w:tr2bl w:val="nil"/>
                        </w:tcBorders>
                        <w:shd w:val="clear" w:color="auto" w:fill="FFFFFF"/>
                        <w:vAlign w:val="center"/>
                      </w:tcPr>
                      <w:p w14:paraId="063AACD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0—200kPa、4—20mA，按目录±0.25%FS核对；待询价</w:t>
                        </w:r>
                      </w:p>
                    </w:tc>
                  </w:tr>
                  <w:tr w14:paraId="4DF1C7F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3729F7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w:t>
                        </w:r>
                      </w:p>
                    </w:tc>
                    <w:tc>
                      <w:tcPr>
                        <w:tcW w:w="3300" w:type="dxa"/>
                        <w:tcBorders>
                          <w:tl2br w:val="nil"/>
                          <w:tr2bl w:val="nil"/>
                        </w:tcBorders>
                        <w:shd w:val="clear" w:color="auto" w:fill="FFFFFF"/>
                        <w:vAlign w:val="center"/>
                      </w:tcPr>
                      <w:p w14:paraId="3E03AD5A">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SEN0549 G1/4×1</w:t>
                        </w:r>
                      </w:p>
                    </w:tc>
                    <w:tc>
                      <w:tcPr>
                        <w:tcW w:w="3500" w:type="dxa"/>
                        <w:tcBorders>
                          <w:tl2br w:val="nil"/>
                          <w:tr2bl w:val="nil"/>
                        </w:tcBorders>
                        <w:shd w:val="clear" w:color="auto" w:fill="FFFFFF"/>
                        <w:vAlign w:val="center"/>
                      </w:tcPr>
                      <w:p w14:paraId="37A3404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0.3—5L/min；5V脉冲需转换至3.3V</w:t>
                        </w:r>
                      </w:p>
                    </w:tc>
                  </w:tr>
                  <w:tr w14:paraId="1E94117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49CCDF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压力ADC</w:t>
                        </w:r>
                      </w:p>
                    </w:tc>
                    <w:tc>
                      <w:tcPr>
                        <w:tcW w:w="3300" w:type="dxa"/>
                        <w:tcBorders>
                          <w:tl2br w:val="nil"/>
                          <w:tr2bl w:val="nil"/>
                        </w:tcBorders>
                        <w:shd w:val="clear" w:color="auto" w:fill="FFFFFF"/>
                        <w:vAlign w:val="center"/>
                      </w:tcPr>
                      <w:p w14:paraId="41532C7B">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ADS1115模块×1</w:t>
                        </w:r>
                      </w:p>
                    </w:tc>
                    <w:tc>
                      <w:tcPr>
                        <w:tcW w:w="3500" w:type="dxa"/>
                        <w:tcBorders>
                          <w:tl2br w:val="nil"/>
                          <w:tr2bl w:val="nil"/>
                        </w:tcBorders>
                        <w:shd w:val="clear" w:color="auto" w:fill="FFFFFF"/>
                        <w:vAlign w:val="center"/>
                      </w:tcPr>
                      <w:p w14:paraId="7DBF1B7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两路150Ω采样，0.6—3.0V；分时转换需记录错位</w:t>
                        </w:r>
                      </w:p>
                    </w:tc>
                  </w:tr>
                  <w:tr w14:paraId="6EC00D9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71A4287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无线接收</w:t>
                        </w:r>
                      </w:p>
                    </w:tc>
                    <w:tc>
                      <w:tcPr>
                        <w:tcW w:w="3300" w:type="dxa"/>
                        <w:tcBorders>
                          <w:tl2br w:val="nil"/>
                          <w:tr2bl w:val="nil"/>
                        </w:tcBorders>
                        <w:shd w:val="clear" w:color="auto" w:fill="FFFFFF"/>
                        <w:vAlign w:val="center"/>
                      </w:tcPr>
                      <w:p w14:paraId="080D61A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E220-400T22D×2及天线</w:t>
                        </w:r>
                      </w:p>
                    </w:tc>
                    <w:tc>
                      <w:tcPr>
                        <w:tcW w:w="3500" w:type="dxa"/>
                        <w:tcBorders>
                          <w:tl2br w:val="nil"/>
                          <w:tr2bl w:val="nil"/>
                        </w:tcBorders>
                        <w:shd w:val="clear" w:color="auto" w:fill="FFFFFF"/>
                        <w:vAlign w:val="center"/>
                      </w:tcPr>
                      <w:p w14:paraId="7923F318">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UART；接收端USB-TTL接电脑，射频参数实测冻结</w:t>
                        </w:r>
                      </w:p>
                    </w:tc>
                  </w:tr>
                  <w:tr w14:paraId="50B5A9E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DA6AFF4">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水路与参考</w:t>
                        </w:r>
                      </w:p>
                    </w:tc>
                    <w:tc>
                      <w:tcPr>
                        <w:tcW w:w="3300" w:type="dxa"/>
                        <w:tcBorders>
                          <w:tl2br w:val="nil"/>
                          <w:tr2bl w:val="nil"/>
                        </w:tcBorders>
                        <w:shd w:val="clear" w:color="auto" w:fill="FFFFFF"/>
                        <w:vAlign w:val="center"/>
                      </w:tcPr>
                      <w:p w14:paraId="66717EB9">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双支路、阀、回水、独立参考</w:t>
                        </w:r>
                      </w:p>
                    </w:tc>
                    <w:tc>
                      <w:tcPr>
                        <w:tcW w:w="3500" w:type="dxa"/>
                        <w:tcBorders>
                          <w:tl2br w:val="nil"/>
                          <w:tr2bl w:val="nil"/>
                        </w:tcBorders>
                        <w:shd w:val="clear" w:color="auto" w:fill="FFFFFF"/>
                        <w:vAlign w:val="center"/>
                      </w:tcPr>
                      <w:p w14:paraId="0B68ACCE">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优先借可调连续水源；核对工作点、精度及螺纹</w:t>
                        </w:r>
                      </w:p>
                    </w:tc>
                  </w:tr>
                </w:tbl>
                <w:p w14:paraId="7FF6EA03">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15805FEF">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09179C6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软件拟以1秒为首轮记录间隔保存P0、P1、Q及阀态，记录原始值、标定后值、转换时间和无效原因。流量拟采用10秒滚动脉冲计数并保留原始计数；时间窗与压力分时采集带来的延迟、错位纳入评价。整机供电与连接按台架先实现，现场安装另做适应性检查。采购入口和厂家资料另附《国内硬件选型与可行性核对》，淘宝入口不作为已购或现货证据。</w:t>
            </w:r>
          </w:p>
          <w:p w14:paraId="6BFE32B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采集程序按启动恢复、定时采样、质量检查、窗口对齐、状态关联和日志追加执行，见图5。量程外、缺测和明显非物理读数输出无效原因；状态未知或切换等待期间继续保存原始记录，暂缓单一故障原因判断。质量筛选条件、等待时间和健康参照编号均写入配置，后续评价同时报告被暂缓判断的时间比例及该时段发生的异常。</w:t>
            </w:r>
          </w:p>
          <w:p w14:paraId="504F3922">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0" o:spt="75" alt="图5 采集与质量状态处理流程 拟实施" type="#_x0000_t75" style="height:385.05pt;width:425pt;" filled="f" o:preferrelative="t" stroked="f" coordsize="21600,21600">
                  <v:path/>
                  <v:fill on="f" focussize="0,0"/>
                  <v:stroke on="f"/>
                  <v:imagedata r:id="rId10" o:title="acquisition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图5 采集与质量状态处理流程 拟实施</w:t>
            </w:r>
          </w:p>
          <w:p w14:paraId="5F3B2E6C">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2.3 标定与等效模型</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压力采用参考表进行多点校核，流量采用容积或称重计时形成独立参照，记录零点、重复性、有效量程及同步误差。双压力的收益取决于健康压降是否大于差压不确定度；压差小于测量误差时，先调整量程、布点或试验程度，再进入辨识研究。</w:t>
            </w:r>
          </w:p>
          <w:p w14:paraId="08CE1D45">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当前等效模型采用P0−P1=R·Q²、Q=C·√P1，共同供水阻力连接A、B支路。图6将A负载系数写为正常负载Cₙ与泄漏负载Cₗ之和，用于说明流量计为何应覆盖两条下游路径，以及未知正常负载为何可能与泄漏同形。局部R增加模拟受限，Cₗ增加模拟泄漏。该集中平方律模型采用非压力补偿负载、理想同步与单故障假设，用于测点筛选、量程核对和反例分析，参数尚未通过实物标定。</w:t>
            </w:r>
          </w:p>
          <w:p w14:paraId="57C5D967">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1" o:spt="75" alt="图6 双支路水力等效模型与特征关系 参数未标定" type="#_x0000_t75" style="height:299pt;width:425pt;" filled="f" o:preferrelative="t" stroked="f" coordsize="21600,21600">
                  <v:path/>
                  <v:fill on="f" focussize="0,0"/>
                  <v:stroke on="f"/>
                  <v:imagedata r:id="rId11" o:title="hydraulic_model"/>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图6 双支路水力等效模型与特征关系 参数未标定</w:t>
            </w:r>
          </w:p>
          <w:p w14:paraId="239D14A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实验拟先在多个健康供压和B状态下测定压力与流量关系，检验平方律近似的残差及重复性，再确定健康参照和适用范围。流量计、接头及调节阀的实际压损纳入测量，安装后不能直接沿用理想模型系数。若负载为压力补偿型或稳定数据明显不符合当前关系，应修订模型并重新核对特征；本期不以该模型替代CFD、水锤分析或完整滴灌管网标定。</w:t>
            </w:r>
          </w:p>
          <w:p w14:paraId="5D1D4E2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据候选目录，200kPa、±0.25%FS压力通道单项界限为±0.5kPa，两通道差分最不利界限为1kPa，完整采集误差还须计入调理、ADC、温漂及参考条件。大量程1.6MPa、0.5—1%FS方案单通道界限达8—16kPa，不适合直接承担本项目主要差压测量。1秒流量窗的一个脉冲对应0.111L/min，10秒窗对应0.0111L/min；分辨率和窗口延迟必须同时权衡。</w:t>
            </w:r>
          </w:p>
          <w:p w14:paraId="26F9FD3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以C=0.28作为台架健康设计负载，C至0.37、R为0.8或8.0，结合三档供压及B开关做24组模型边界计算，A流量为1.85—4.34L/min，落在候选流量计范围内，如图7。原480次合成试验仍保留原参数，不能用此计算代替实测。模型最大总流量约7.95L/min；水源需按流量—压力工作曲线核定，不能将商品开口流量与截止压力合并为工作点。基础预算以借用可调连续水源为前提，落实前不宣称已经具备台架。</w:t>
            </w:r>
          </w:p>
          <w:p w14:paraId="6E2DF03A">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2" o:spt="75" alt="图7 候选量程与测量界限的模型核对 非实测" type="#_x0000_t75" style="height:357.45pt;width:425pt;" filled="f" o:preferrelative="t" stroked="f" coordsize="21600,21600">
                  <v:path/>
                  <v:fill on="f" focussize="0,0"/>
                  <v:stroke on="f"/>
                  <v:imagedata r:id="rId12" o:title="hardware_feasibilit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图7 候选量程与测量界限的模型核对 非实测</w:t>
            </w:r>
          </w:p>
          <w:p w14:paraId="3C5308C9">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另检查两故障、三供压、B开关及三程度共36组目标，修正受限范围后均可在模型内达到。仅按压力标称界限、10秒计数量化及流量±1%读数分析，健康与故障特征区间分离；若保守按5L/min满量程的1%分析，80kPa下两个5%泄漏组合区间重叠，弱异常不保证可分。流量精度定义须进一步核对，温漂、ADC、调理及安装误差尚未计入，不能转成实物检出率。模型P用kPa、Q用L/min，R与C量纲分别为kPa/(L/min)²和(L/min)/√kPa。</w:t>
            </w:r>
          </w:p>
          <w:p w14:paraId="59DD392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渐进故障诊断与早期评价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采用压力归一化流量K=Q/√P1和区段阻力估计R̂=(P0−P1)/Q²，分别描述下游等效负载及监测区段的阻力变化。程序在测量质量和运行状态满足条件后，比较同工况健康特征及误差区间，再检验偏离是否持续，处理分支见图8。健康参照、偏离阈值和持续条件由标定小试确定并在验证前冻结；故障期间不以自动更新参照消除异常。切换等待段仍保留原始数据，单独报告暂缓判断的时间、误报和漏检。</w:t>
            </w:r>
          </w:p>
          <w:p w14:paraId="6C2A1F35">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3" o:spt="75" alt="图8 状态辅助与有限故障模式诊断流程设计" type="#_x0000_t75" style="height:430.35pt;width:425pt;" filled="f" o:preferrelative="t" stroked="f" coordsize="21600,21600">
                  <v:path/>
                  <v:fill on="f" focussize="0,0"/>
                  <v:stroke on="f"/>
                  <v:imagedata r:id="rId13" o:title="diagnosis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图8 状态辅助与有限故障模式诊断流程设计</w:t>
            </w:r>
          </w:p>
          <w:p w14:paraId="4C71AC5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输出分为等效泄漏模式、等效受限模式、异常待检查和数据无效。未知正常负载可能与泄漏同形，压力差分偏置可能与受限混淆；这类条件下保留异常证据并提示核查，不强制给出单一原因。定位精度限于被监测支管或压力点包围区段。</w:t>
            </w:r>
          </w:p>
          <w:p w14:paraId="645F77D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模式提示附带P0/P1/Q、特征偏离、阀态、质量标志及参照编号。K增大而区段阻力稳定时检查等效泄漏或负载变化；区段阻力增大时检查等效受限，同时核查压力偏置。两个特征同时变化、状态不明或证据不足时，提示异常待检查。管理者据此确定核查顺序，真实原因最终以独立操作记录、参考测量及现场检查为依据。</w:t>
            </w:r>
          </w:p>
          <w:p w14:paraId="66C5071D">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早期评价以独立参考测量确定的预设失效判据为终点，同时记录故障操作起点、本地首次可靠提示和远端首次接收。考察相对同工况健康流量偏离5%、10%、15%的暂定程度，绘制检出、误报及提前量随程度变化的关系。15%目前是模型演示参照，实际程度与失效判据由导师结合预实验审核后冻结。研究目标是找出可测、可判、可提前的条件及失败边界，性能阈值由有独立标签的小试确定。</w:t>
            </w:r>
          </w:p>
          <w:p w14:paraId="1441E5E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4 LoRa可靠告警与通信对照</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比较快周期、慢周期、原始事件与滤波限频事件四种上报策略，协议见图9。</w:t>
            </w:r>
          </w:p>
          <w:p w14:paraId="0FB28317">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4" o:spt="75" alt="图9 事件缓存确认与接收去重的协议设计" type="#_x0000_t75" style="height:396.4pt;width:425pt;" filled="f" o:preferrelative="t" stroked="f" coordsize="21600,21600">
                  <v:path/>
                  <v:fill on="f" focussize="0,0"/>
                  <v:stroke on="f"/>
                  <v:imagedata r:id="rId14" o:title="protocol_loop"/>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图9 事件缓存确认与接收去重的协议设计</w:t>
            </w:r>
          </w:p>
          <w:p w14:paraId="59EA7594">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四策略保持采样、检测器、载荷及链路设置一致。事件包含设备、会话、序号、发生时间、状态、测量及质量；本地保存原始日志，经LoRa发送摘要。实物试验冻结缓存容量、超时、重试及掉电策略，并记录发收与确认时间。回放中的1秒ACK、4秒超时及16条队列仅为模型假设，实际值须依据模块与空中时间核定。</w:t>
            </w:r>
          </w:p>
          <w:p w14:paraId="5AEAE5B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接收端持久化后发送匹配ACK，重复事件再次确认但不重复存储，管理者的处理确认另记。节点仅移除已确认事件；重试耗尽仍保留待确认状态，队列满时记录丢弃或拒绝及缺口。掉电后恢复队列和会话，或明确标记无法恢复的记录。上述拟实施要求通过丢包、阻断和重启试验核对。</w:t>
            </w:r>
          </w:p>
          <w:p w14:paraId="162A479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通信评价分别测量故障至本地提示、本地提示至远端接收的延迟，统计上行与确认帧数及字节，并独立计量整机能量。射频配置、干扰、遮挡与静态功耗一并记录，不能以帧数代替续航结论。断链时显示离线及待补发，未收到事件不判为正常。</w:t>
            </w:r>
          </w:p>
          <w:p w14:paraId="557F63F7">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管理软件与系统集成</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本地Web拟提供设备档案、支管位置示意、P0/P1/Q趋势、事件证据、质量状态、处理确认、历史回放与CSV导出。网页将区分测量时间、接收时间、模型回放和实际设备状态，提示检查供压、阀态、传感器与目标管路。接收端的数据持久化和真实节点接入是实施任务；已有离线页面完成合成回放与交互演示，其实际运行截图见图10。</w:t>
            </w:r>
          </w:p>
          <w:p w14:paraId="226ED0AA">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5" o:spt="75" alt="图10 已实现离线网页的合成诊断回放截图 尚未连接实物" type="#_x0000_t75" style="height:350.5pt;width:425pt;" filled="f" o:preferrelative="t" stroked="f" coordsize="21600,21600">
                  <v:path/>
                  <v:fill on="f" focussize="0,0"/>
                  <v:stroke on="f"/>
                  <v:imagedata r:id="rId15" o:title="platform_replay"/>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图10 已实现离线网页的合成诊断回放截图 尚未连接实物</w:t>
            </w:r>
          </w:p>
          <w:p w14:paraId="3BDD79C7">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集成先完成有线原始日志，再连接LoRa和本地网页，以事件记录贯通节点判定、接收存储和管理确认。展示页面只是系统的一部分，验收同时检查原始记录、协议日志和对应实验标签，不能仅凭页面数值变化认定系统可用。</w:t>
            </w:r>
          </w:p>
          <w:p w14:paraId="4DE449E9">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项目目标与分层实验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总体目标是完成可采集、可有限诊断、可可靠传输、可追溯验证的支管原型，并给出渐进故障辨识条件和通信取舍。四个工作包分别负责测量与建模、诊断与边界、可靠告警、系统集成与验证。表2把交付、评价指标和验证证据对应起来，作为任务书细化依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0D432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495B0216">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表2 研究任务与计划验证证据</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6C15DB9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6D8B831F">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任务</w:t>
                        </w:r>
                      </w:p>
                    </w:tc>
                    <w:tc>
                      <w:tcPr>
                        <w:tcW w:w="3300" w:type="dxa"/>
                        <w:tcBorders>
                          <w:tl2br w:val="nil"/>
                          <w:tr2bl w:val="nil"/>
                        </w:tcBorders>
                        <w:shd w:val="clear" w:color="auto" w:fill="EDEDED"/>
                        <w:vAlign w:val="center"/>
                      </w:tcPr>
                      <w:p w14:paraId="70BD3B32">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计划交付或实验</w:t>
                        </w:r>
                      </w:p>
                    </w:tc>
                    <w:tc>
                      <w:tcPr>
                        <w:tcW w:w="3500" w:type="dxa"/>
                        <w:tcBorders>
                          <w:tl2br w:val="nil"/>
                          <w:tr2bl w:val="nil"/>
                        </w:tcBorders>
                        <w:shd w:val="clear" w:color="auto" w:fill="EDEDED"/>
                        <w:vAlign w:val="center"/>
                      </w:tcPr>
                      <w:p w14:paraId="0DC4CD73">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评价量与证据</w:t>
                        </w:r>
                      </w:p>
                    </w:tc>
                  </w:tr>
                  <w:tr w14:paraId="4D789C4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5FB68D4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测量与建模</w:t>
                        </w:r>
                      </w:p>
                    </w:tc>
                    <w:tc>
                      <w:tcPr>
                        <w:tcW w:w="3300" w:type="dxa"/>
                        <w:tcBorders>
                          <w:tl2br w:val="nil"/>
                          <w:tr2bl w:val="nil"/>
                        </w:tcBorders>
                        <w:shd w:val="clear" w:color="auto" w:fill="FFFFFF"/>
                        <w:vAlign w:val="center"/>
                      </w:tcPr>
                      <w:p w14:paraId="156AE26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双压力流量节点及参考标定</w:t>
                        </w:r>
                      </w:p>
                    </w:tc>
                    <w:tc>
                      <w:tcPr>
                        <w:tcW w:w="3500" w:type="dxa"/>
                        <w:tcBorders>
                          <w:tl2br w:val="nil"/>
                          <w:tr2bl w:val="nil"/>
                        </w:tcBorders>
                        <w:shd w:val="clear" w:color="auto" w:fill="FFFFFF"/>
                        <w:vAlign w:val="center"/>
                      </w:tcPr>
                      <w:p w14:paraId="5129F95B">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误差、重复性、同步、健康压降与差压不确定度</w:t>
                        </w:r>
                      </w:p>
                    </w:tc>
                  </w:tr>
                  <w:tr w14:paraId="022B335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583ADF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渐进诊断</w:t>
                        </w:r>
                      </w:p>
                    </w:tc>
                    <w:tc>
                      <w:tcPr>
                        <w:tcW w:w="3300" w:type="dxa"/>
                        <w:tcBorders>
                          <w:tl2br w:val="nil"/>
                          <w:tr2bl w:val="nil"/>
                        </w:tcBorders>
                        <w:shd w:val="clear" w:color="auto" w:fill="FFFFFF"/>
                        <w:vAlign w:val="center"/>
                      </w:tcPr>
                      <w:p w14:paraId="519AB17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2类型×3供压×3程度×至少3独立操作，主要试验至少54次</w:t>
                        </w:r>
                      </w:p>
                    </w:tc>
                    <w:tc>
                      <w:tcPr>
                        <w:tcW w:w="3500" w:type="dxa"/>
                        <w:tcBorders>
                          <w:tl2br w:val="nil"/>
                          <w:tr2bl w:val="nil"/>
                        </w:tcBorders>
                        <w:shd w:val="clear" w:color="auto" w:fill="FFFFFF"/>
                        <w:vAlign w:val="center"/>
                      </w:tcPr>
                      <w:p w14:paraId="6D1B6A3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正确模式、独立试次漏检、每小时误报、提前量分布</w:t>
                        </w:r>
                      </w:p>
                    </w:tc>
                  </w:tr>
                  <w:tr w14:paraId="00CFAC0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641CBCA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可靠告警</w:t>
                        </w:r>
                      </w:p>
                    </w:tc>
                    <w:tc>
                      <w:tcPr>
                        <w:tcW w:w="3300" w:type="dxa"/>
                        <w:tcBorders>
                          <w:tl2br w:val="nil"/>
                          <w:tr2bl w:val="nil"/>
                        </w:tcBorders>
                        <w:shd w:val="clear" w:color="auto" w:fill="FFFFFF"/>
                        <w:vAlign w:val="center"/>
                      </w:tcPr>
                      <w:p w14:paraId="2B9AD09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同检测与确认下的四策略真实LoRa对照</w:t>
                        </w:r>
                      </w:p>
                    </w:tc>
                    <w:tc>
                      <w:tcPr>
                        <w:tcW w:w="3500" w:type="dxa"/>
                        <w:tcBorders>
                          <w:tl2br w:val="nil"/>
                          <w:tr2bl w:val="nil"/>
                        </w:tcBorders>
                        <w:shd w:val="clear" w:color="auto" w:fill="FFFFFF"/>
                        <w:vAlign w:val="center"/>
                      </w:tcPr>
                      <w:p w14:paraId="2C6F626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发收与ACK日志、两段延迟、帧与字节、整机能量</w:t>
                        </w:r>
                      </w:p>
                    </w:tc>
                  </w:tr>
                  <w:tr w14:paraId="4E210B1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CDCB77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系统集成</w:t>
                        </w:r>
                      </w:p>
                    </w:tc>
                    <w:tc>
                      <w:tcPr>
                        <w:tcW w:w="3300" w:type="dxa"/>
                        <w:tcBorders>
                          <w:tl2br w:val="nil"/>
                          <w:tr2bl w:val="nil"/>
                        </w:tcBorders>
                        <w:shd w:val="clear" w:color="auto" w:fill="FFFFFF"/>
                        <w:vAlign w:val="center"/>
                      </w:tcPr>
                      <w:p w14:paraId="1F21193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节点、接收端及本地Web贯通</w:t>
                        </w:r>
                      </w:p>
                    </w:tc>
                    <w:tc>
                      <w:tcPr>
                        <w:tcW w:w="3500" w:type="dxa"/>
                        <w:tcBorders>
                          <w:tl2br w:val="nil"/>
                          <w:tr2bl w:val="nil"/>
                        </w:tcBorders>
                        <w:shd w:val="clear" w:color="auto" w:fill="FFFFFF"/>
                        <w:vAlign w:val="center"/>
                      </w:tcPr>
                      <w:p w14:paraId="0E30FEFA">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事件可追溯、离线与无效状态、回放导出、处理记录</w:t>
                        </w:r>
                      </w:p>
                    </w:tc>
                  </w:tr>
                  <w:tr w14:paraId="5B82C4D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072A6E02">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连续运行</w:t>
                        </w:r>
                      </w:p>
                    </w:tc>
                    <w:tc>
                      <w:tcPr>
                        <w:tcW w:w="3300" w:type="dxa"/>
                        <w:tcBorders>
                          <w:tl2br w:val="nil"/>
                          <w:tr2bl w:val="nil"/>
                        </w:tcBorders>
                        <w:shd w:val="clear" w:color="auto" w:fill="FFFFFF"/>
                        <w:vAlign w:val="center"/>
                      </w:tcPr>
                      <w:p w14:paraId="48AC4CAA">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单次至少8小时台架记录，至少3次掉电恢复检查</w:t>
                        </w:r>
                      </w:p>
                    </w:tc>
                    <w:tc>
                      <w:tcPr>
                        <w:tcW w:w="3500" w:type="dxa"/>
                        <w:tcBorders>
                          <w:tl2br w:val="nil"/>
                          <w:tr2bl w:val="nil"/>
                        </w:tcBorders>
                        <w:shd w:val="clear" w:color="auto" w:fill="FFFFFF"/>
                        <w:vAlign w:val="center"/>
                      </w:tcPr>
                      <w:p w14:paraId="5C4A22C3">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连续原始日志、停机/缺失段、恢复会话与缓存记录</w:t>
                        </w:r>
                      </w:p>
                    </w:tc>
                  </w:tr>
                </w:tbl>
                <w:p w14:paraId="6E3012D0">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6BEA2DF7">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021013D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图11给出预实验、独立操作、跨批次验证、通信对照与归档的先后关系。预实验决定测量和判据能否进入验证；正式验证同时支撑结项演示与论文论证。主要故障网格的重复次数按独立操作计算，通信策略比较使用同一组本地检测记录，以减少检测差异对链路结论的干扰。</w:t>
            </w:r>
          </w:p>
          <w:p w14:paraId="6B49479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第一层为测量预实验：完成水路稳定性、参考标定及操作标签。暂定供压80/120/160kPa，实际范围依据设备能力冻结。若目标变化被测量误差覆盖，调整设计后重复校核，不用检测算法掩盖测量问题。</w:t>
            </w:r>
          </w:p>
          <w:p w14:paraId="52D20082">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二层为水力与方法实验：安排正常稳定、正常切换、渐进泄漏、渐进受限和切换期间异常五组工况。以独立操作日志、参考流量和泄漏收集量确定故障时间与程度；主要故障网格至少54次，正常及切换对照另行安排。小试用于调参，验证按独立日或批次留出，相邻采样点不算独立重复。</w:t>
            </w:r>
          </w:p>
          <w:p w14:paraId="03EE5084">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6" o:spt="75" alt="图11 从测量预实验到结项与论文的验证流程 拟实施" type="#_x0000_t75" style="height:409.95pt;width:425pt;" filled="f" o:preferrelative="t" stroked="f" coordsize="21600,21600">
                  <v:path/>
                  <v:fill on="f" focussize="0,0"/>
                  <v:stroke on="f"/>
                  <v:imagedata r:id="rId16" o:title="experiment_flo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图11 从测量预实验到结项与论文的验证流程 拟实施</w:t>
            </w:r>
          </w:p>
          <w:p w14:paraId="27BB2A6A">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同信息条件下比较固定阈值、切换等待、压力归一化、双点特征和候选方法，并做单点/双点、阀态及持续判据消融。评价以试次为单位，保留漂移、未知负载与错误模式实例。方法未超过强基线时如实报告，将贡献转向可观测范围或测量边界。</w:t>
            </w:r>
          </w:p>
          <w:p w14:paraId="7CB800C0">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三层为通信与系统实验：先保持本地检测结果相同，再测试四种上报策略；加入短时事件、阻断、掉电和溢出，检验重试、去重及离线显示。连续运行检验软硬件一致性和记录完整性；整机能量由电流设备独立测量。</w:t>
            </w:r>
          </w:p>
          <w:p w14:paraId="6C385313">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第四层为条件性现场试验：取得许可后调查安装、轮灌及遮挡条件，采集真实正常运行数据。只有正常数据时评价安装、链路和正常响应，不计算田间故障准确率。现场未落实时完成可重复台架作为基础交付，南疆部署适用性继续保留为待验证。</w:t>
            </w:r>
          </w:p>
          <w:p w14:paraId="29F3472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7 主要问题与实施约束</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运行操作与故障混淆通过状态记录、强基线和有限输出研究；差压误差通过参考标定、健康校核和程度分层研究；短时事件漏送通过缓存、确认、重试及去重处理；实验不可复现通过独立标签、冻结配置、原始日志和留出批次控制。</w:t>
            </w:r>
          </w:p>
          <w:p w14:paraId="1C67C84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本期先解决一个监测区段的真实测量和完整运行链。2000元启动估算以已有电脑、借用参考仪器及可调连续水源为前提，两只合格压力传感器还需询价。若报价超额，优先借用或增加测量经费，不以降低精度维持原目标。团队、场地和借用仍需落实。增加资助优先改善标定、独立批次和试验质量，再考虑多节点及现场扩展。</w:t>
            </w:r>
          </w:p>
        </w:tc>
      </w:tr>
      <w:tr w14:paraId="5C9D7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6A84965">
            <w:pPr>
              <w:keepNext/>
              <w:keepLines/>
              <w:pageBreakBefore w:val="0"/>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p w14:paraId="2F8E3E5D">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南疆应用需求与研究对象</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李慧琴等结合南疆棉花“滴水出苗”提出压力均匀、铺管及用水管理建议[1]，说明运行压力是区域滴灌管理中需要关注的条件。Sun等研究南疆集体滴灌棉花生产约束，涉及灌水深度和土壤条件[17]。这些工作支持选择南疆滴灌巡检场景，但不直接证明本原型能够节水或增产。本期以支管水力故障的可观测变化为对象，实际轮灌方式与安装条件仍需现场核对。</w:t>
            </w:r>
          </w:p>
          <w:p w14:paraId="06E9DDC6">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滴灌水力模型与测量依据</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丁法龙等从变质量流动分析沿程压力，并以测压、测流试验验证模型[2]；王亚林等结合灌水试验与CFD研究不同滴头镶嵌方式对毛管水力特性的影响[3]。已有研究表明，实际滴灌压损需要考虑分布出流、结构与安装。本项目集中平方律模型仅用于监测区段的初步设计，不替代上述分布模型。实施时先检验健康压力—流量关系及残差，再冻结特征和阈值；拟通过布点、同步误差与差压不确定度的联合评价确定低成本测量的适用条件。</w:t>
            </w:r>
          </w:p>
          <w:p w14:paraId="1A3691CA">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堵塞机理与早期监测边界</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喻黎明等研究含沙水下额定流量、毛管位置与滴头堵塞的关系[4]；王惠等开展不同肥料及浓度的堵塞试验[5]；张唯一等研究近壁面水力剪切力与碳酸钙污垢的作用[6]。三类工作说明堵塞演化受水质、材料和水力条件影响。Petit等综述进一步指出，压力流量监测属于间接方法，未必反映滴头堵塞的最初阶段[12]。因此本项目用清水节流阀验证等效受限的水力响应，不把阀门操作写成泥沙、化学或生物堵塞试验；“早期”以独立测量确认的故障程度和预设失效参照评价，不宣称识别单滴头微观堵塞起点。</w:t>
            </w:r>
          </w:p>
          <w:p w14:paraId="1BD0BE5C">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4 多工况诊断与可控验证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付建民等通过液相管道试验与模拟研究压力、流量对小孔泄漏速率的影响[7]；龚骏等研究多工况下泄漏与正常调节的区分[8]；马大中等将物理异常与信息传输异常纳入管网诊断[9]。这些输油或液相管道研究提供了耦合分析与异常分层的思路，参数、传感条件和识别率不能直接移植到滴灌。HydroNeuro研究阀态建模、嵌入式异常感知与扰动鲁棒性[13]，Loukatos等利用可控阀、压力流量及LoRa构建灌溉模拟平台[14]，也说明状态辅助和可控台架已有基础。本项目拟以同信息强基线、独立操作标签和跨批次留出验证研究渐进故障的辨识边界，保留未知负载、漂移及切换期间的失败实例。</w:t>
            </w:r>
          </w:p>
          <w:p w14:paraId="5D5E25C6">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5 农业物联网与通信评价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孟祥等完成基于LoRa的农田智能灌溉系统设计[10]；刘天翔等构建设施番茄称量反馈灌溉系统[11]，为传感、通信和软件组织提供国内系统研究实例。本项目将系统交付细化为测量节点、接收存储、有限诊断、事件证据与管理确认，不能仅以使用LoRa或增加页面作为创新。Lozoya等以田间对照评价事件通信与功耗[15]，Orihuela等开展农业事件通信的长期评估[16]。本项目拟在检测器、载荷和确认机制相同条件下比较周期与事件策略，将本地检测延迟、远端送达延迟和整机能量分别测量，不以发送帧数推算真实续航。</w:t>
            </w:r>
          </w:p>
          <w:p w14:paraId="033EEC24">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6 本项目拟研究的增量</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上述中文研究构成场景、水力、堵塞、诊断和系统集成的主要依据，英文研究补充间接监测边界、可控平台及通信评价。拟研究的增量集中于两个问题：低成本双压力流量与操作信息在何种故障程度和误差条件下能够改善巡检提示；在统一检测与确认机制下，减少通信是否仍能维持远端及时告警。通过可重复台架、强对照与分层评价形成结论，是否具有可发表贡献以进一步全文研读和独立实测为准。</w:t>
            </w:r>
          </w:p>
          <w:p w14:paraId="5FDB5B8F">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7B169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E5779B2">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 李慧琴, 王潭刚, 孔宪辉. 新疆南疆棉花“滴水出苗”技术问题及建议[J]. 中国棉花, 2022, 49(6): 36-38. DOI:10.11963/cc20220080.</w:t>
                  </w:r>
                </w:p>
              </w:tc>
            </w:tr>
            <w:tr w14:paraId="39494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F4B4C91">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[2] 丁法龙, 茅泽育, 王文娥, 等. 滴灌管主流道沿程压力分布模型及验证[J]. 农业工程学报, 2019, 35(3): 117-124. DOI:10.11975/j.issn.1002-6819.2019.03.015.</w:t>
                  </w:r>
                </w:p>
              </w:tc>
            </w:tr>
            <w:tr w14:paraId="4AAC1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733CFD8">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[3] 王亚林, 李京芳, 鄢锐, 等. 圆柱式滴头内镶及外包对滴灌毛管水力特性影响的模拟研究[J]. 华南农业大学学报, 2021, 42(4): 106-112. DOI:10.7671/j.issn.1001-411X.202009004.</w:t>
                  </w:r>
                </w:p>
              </w:tc>
            </w:tr>
            <w:tr w14:paraId="0FB48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573C650">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[4] 喻黎明, 曹丽, 李娜, 等. 额定流量与毛管位置对纽扣式滴头堵塞的影响及机理分析[J]. 农业工程学报, 2023, 39(20): 123-131. DOI:10.11975/j.issn.1002-6819.202307109.</w:t>
                  </w:r>
                </w:p>
              </w:tc>
            </w:tr>
            <w:tr w14:paraId="50658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1337C76">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[5] 王惠, 凌刚, 查晴, 等. 肥料种类与浓度对灌水器堵塞特征的影响及防堵策略[J]. 农业工程学报, 2023, 39(5): 53-60. DOI:10.11975/j.issn.1002-6819.202212095.</w:t>
                  </w:r>
                </w:p>
              </w:tc>
            </w:tr>
            <w:tr w14:paraId="49963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EC6C0D3">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[6] 张唯一, 肖洋, 马长健, 等. 水流近壁面水力剪切力对滴灌系统碳酸钙污垢的影响[J]. 农业工程学报, 2023, 39(7): 137-144. DOI:10.11975/j.issn.1002-6819.202208008.</w:t>
                  </w:r>
                </w:p>
              </w:tc>
            </w:tr>
            <w:tr w14:paraId="21031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FB94921">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[7] 付建民, 赵振洋, 陈国明, 等. 液相管道流量与压力对小孔泄漏速率的影响[J]. 石油学报, 2016, 37(2): 257-265. DOI:10.7623/syxb201602013.</w:t>
                  </w:r>
                </w:p>
              </w:tc>
            </w:tr>
            <w:tr w14:paraId="47B63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2F26115">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[8] 龚骏, 税爱社, 包建明, 等. 多工况下基于RBF神经网络的管道泄漏检测[J]. 油气储运, 2015, 34(7): 759-763. DOI:10.6047/j.issn.1000-8241.2015.07.017.</w:t>
                  </w:r>
                </w:p>
              </w:tc>
            </w:tr>
            <w:tr w14:paraId="0B444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BA860B5">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[9] 马大中, 胡旭光, 孙秋野, 等. 基于数据特征融合的管网信息物理异常诊断方法[J]. 自动化学报, 2019, 45(1): 163-173. DOI:10.16383/j.aas.2018.c180383.</w:t>
                  </w:r>
                </w:p>
              </w:tc>
            </w:tr>
            <w:tr w14:paraId="6D63E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DA21C49">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[10] 孟祥, 赵莹, 徐卓威, 等. 基于LoRa技术的农田智能灌溉系统设计[J]. 中国农机化学报, 2023, 44(9): 161-168. DOI:10.13733/j.jcam.issn.2095-5553.2023.09.023.</w:t>
                  </w:r>
                </w:p>
              </w:tc>
            </w:tr>
            <w:tr w14:paraId="6C2EA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C3510B3">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[11] 刘天翔, 郭文忠, 韩晓蓓, 等. 基于称量反馈的设施番茄灌溉系统的构建与应用[J]. 农业工程学报, 2024, 40(13): 85-96. DOI:10.11975/j.issn.1002-6819.202401146.</w:t>
                  </w:r>
                </w:p>
              </w:tc>
            </w:tr>
            <w:tr w14:paraId="6CF8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7AA9F29">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[12] Petit J, García S M, Molle B, et al. Methods for drip irrigation clogging detection, analysis and understanding: State of the art and perspectives[J]. Agricultural Water Management, 2022, 272: 107873. DOI:10.1016/j.agwat.2022.107873.</w:t>
                  </w:r>
                </w:p>
              </w:tc>
            </w:tr>
            <w:tr w14:paraId="53E4B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5DF7F759">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[13] Somaali N, Hayouni M, Sboui L, et al. HydroNeuro: A Data-Efficient IoT Sensing and Edge-AI Framework for Real-Time Hydraulic Anomaly Detection[J]. Sensors, 2026, 26(10): 3010. DOI:10.3390/s26103010.</w:t>
                  </w:r>
                </w:p>
              </w:tc>
            </w:tr>
            <w:tr w14:paraId="6FEF9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F45961E">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[14] Loukatos D, Fragkos A, Londra P, et al. A Simple Platform for Emulating Irrigation Scenarios and Its Applicability for Big Data Collection Toward Water Preservation via In Situ Experiments[J]. Land, 2026, 15(3): 464. DOI:10.3390/land15030464.</w:t>
                  </w:r>
                </w:p>
              </w:tc>
            </w:tr>
            <w:tr w14:paraId="31B78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2F3072A">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[15] Lozoya C, Favela-Contreras A, Aguilar-Gonzalez A, et al. Energy-Efficient Wireless Communication Strategy for Precision Agriculture Irrigation Control[J]. Sensors, 2021, 21(16): 5541. DOI:10.3390/s21165541.</w:t>
                  </w:r>
                </w:p>
              </w:tc>
            </w:tr>
            <w:tr w14:paraId="4C87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2DD75C3F">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[16] Orihuela L, Bareiro J, Reales F, et al. Long-term assessment of event-based communication for irrigation control in a bell pepper farm[J]. IFAC-PapersOnLine, 2025, 59(23): 44-49. DOI:10.1016/j.ifacol.2025.11.761.</w:t>
                  </w:r>
                </w:p>
              </w:tc>
            </w:tr>
            <w:tr w14:paraId="782D9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2325D88">
                  <w:pPr>
                    <w:keepNext w:val="0"/>
                    <w:keepLines/>
                    <w:pageBreakBefore w:val="0"/>
                    <w:spacing w:beforeLines="50" w:after="100" w:line="240" w:lineRule="auto"/>
                    <w:jc w:val="left"/>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[17] Sun Z, Wang Z, Li J. Identification and Evaluation of the Main Constraints on Cotton Production Within a Collective Drip Irrigation System in Southern Xinjiang, China[J]. Agronomy, 2025, 15(4): 760. DOI:10.3390/agronomy15040760.</w:t>
                  </w:r>
                </w:p>
              </w:tc>
            </w:tr>
          </w:tbl>
          <w:p w14:paraId="0F6B487B">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3273DAF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25BE6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0433C43">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五、项目的特色与创新点</w:t>
            </w:r>
          </w:p>
          <w:p w14:paraId="002D727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面向巡检的系统组织</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特色在于把双压力流量感知、有限故障模式、可靠告警和管理确认连接成可追溯系统，运行状态与测量质量共同参与解释。最终交付包含可操作台架、节点和接收端、软件以及对应实验资料，用户能够查看异常区段、变化证据和处理记录。</w:t>
            </w:r>
          </w:p>
          <w:p w14:paraId="76466D93">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渐进故障的辨识边界与早期评价</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比较测点数量和状态信息对等效泄漏、受限辨识的作用，将故障程度、独立失效参照、提前量和误报同时评价。预期贡献是可检验的辨识条件与测量边界，而不是宣称双传感器本身首创。未知负载、漂移及切换期间失败结果均纳入研究。</w:t>
            </w:r>
          </w:p>
          <w:p w14:paraId="37253685">
            <w:pPr>
              <w:keepNext/>
              <w:keepLines/>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3 诊断与可靠上报的联合验证</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拟在同一真实故障及本地检测记录下比较通信策略，把本地发现和远端送达分开测量，结合缓存、确认及整机能量评价取舍。当前诊断与通信分别具有模型证据，端到端联合验证为实施任务。创新点是拟研究方向，尚未证明算法优越性或取得论文、专利。</w:t>
            </w:r>
          </w:p>
        </w:tc>
      </w:tr>
      <w:tr w14:paraId="755C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0F0DF3B">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2C7BC03E">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形成1套支管故障诊断原型，包含1个P0/P1/Q节点、1个LoRa接收端、1套双支路清水台架和本地Web管理软件，能够完成测量、有限提示、可靠接收、查看确认及数据导出。</w:t>
            </w:r>
          </w:p>
          <w:p w14:paraId="79899D41">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形成1套可追溯数据和复现程序，覆盖标定、独立操作标签、主要故障网格、正常切换、跨批次强基线和消融、通信及整机测量，保留失败实例。主要独立试验至少54次，另开展正常/切换对照和连续运行检查。</w:t>
            </w:r>
          </w:p>
          <w:p w14:paraId="18BA9F68">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形成调研报告、研究/结题报告、技术与使用说明、过程记录和演示材料，按批准任务书及本批规则完成验收。学校2025年细则中的实物或软硬件研发选择成果可作为参考，最终以实际获批任务要求为准。</w:t>
            </w:r>
          </w:p>
          <w:p w14:paraId="7A149410">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研究论文稿，优先提炼渐进故障辨识条件或可靠告警取舍，在数据和贡献充分时经导师审核投稿。论文稿、投稿、录用、发表和收录分别记录；期刊级别及发表结果不作为已经取得的成绩。软著与专利根据实际成果另行判断。</w:t>
            </w:r>
          </w:p>
        </w:tc>
      </w:tr>
      <w:tr w14:paraId="64125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61CCC28">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54AA1E0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2027年度完成测量台架、主要实验、LoRa与Web集成、独立验证及论文稿；2028年1—2月补关键验证、核对任务书并办理结项。表3按阶段列出进入下一阶段的条件。</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6607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4A7633C0">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表3 实施进度及阶段交付</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1700"/>
                    <w:gridCol w:w="3300"/>
                    <w:gridCol w:w="3500"/>
                  </w:tblGrid>
                  <w:tr w14:paraId="6073AE9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1700" w:type="dxa"/>
                        <w:tcBorders>
                          <w:tl2br w:val="nil"/>
                          <w:tr2bl w:val="nil"/>
                        </w:tcBorders>
                        <w:shd w:val="clear" w:color="auto" w:fill="EDEDED"/>
                        <w:vAlign w:val="center"/>
                      </w:tcPr>
                      <w:p w14:paraId="5F55B712">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时段</w:t>
                        </w:r>
                      </w:p>
                    </w:tc>
                    <w:tc>
                      <w:tcPr>
                        <w:tcW w:w="3300" w:type="dxa"/>
                        <w:tcBorders>
                          <w:tl2br w:val="nil"/>
                          <w:tr2bl w:val="nil"/>
                        </w:tcBorders>
                        <w:shd w:val="clear" w:color="auto" w:fill="EDEDED"/>
                        <w:vAlign w:val="center"/>
                      </w:tcPr>
                      <w:p w14:paraId="0EA584AB">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核心工作</w:t>
                        </w:r>
                      </w:p>
                    </w:tc>
                    <w:tc>
                      <w:tcPr>
                        <w:tcW w:w="3500" w:type="dxa"/>
                        <w:tcBorders>
                          <w:tl2br w:val="nil"/>
                          <w:tr2bl w:val="nil"/>
                        </w:tcBorders>
                        <w:shd w:val="clear" w:color="auto" w:fill="EDEDED"/>
                        <w:vAlign w:val="center"/>
                      </w:tcPr>
                      <w:p w14:paraId="5B9C2162">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阶段交付或进入条件</w:t>
                        </w:r>
                      </w:p>
                    </w:tc>
                  </w:tr>
                  <w:tr w14:paraId="30F7687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46FD044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2027年3—4月</w:t>
                        </w:r>
                      </w:p>
                    </w:tc>
                    <w:tc>
                      <w:tcPr>
                        <w:tcW w:w="3300" w:type="dxa"/>
                        <w:tcBorders>
                          <w:tl2br w:val="nil"/>
                          <w:tr2bl w:val="nil"/>
                        </w:tcBorders>
                        <w:shd w:val="clear" w:color="auto" w:fill="FFFFFF"/>
                        <w:vAlign w:val="center"/>
                      </w:tcPr>
                      <w:p w14:paraId="5F83FF3A">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台架、标定、有线日志与差压误差</w:t>
                        </w:r>
                      </w:p>
                    </w:tc>
                    <w:tc>
                      <w:tcPr>
                        <w:tcW w:w="3500" w:type="dxa"/>
                        <w:tcBorders>
                          <w:tl2br w:val="nil"/>
                          <w:tr2bl w:val="nil"/>
                        </w:tcBorders>
                        <w:shd w:val="clear" w:color="auto" w:fill="FFFFFF"/>
                        <w:vAlign w:val="center"/>
                      </w:tcPr>
                      <w:p w14:paraId="7387FDD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有独立标签、可校核且可重复的原始数据</w:t>
                        </w:r>
                      </w:p>
                    </w:tc>
                  </w:tr>
                  <w:tr w14:paraId="68D00EB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8AC502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2027年5—6月</w:t>
                        </w:r>
                      </w:p>
                    </w:tc>
                    <w:tc>
                      <w:tcPr>
                        <w:tcW w:w="3300" w:type="dxa"/>
                        <w:tcBorders>
                          <w:tl2br w:val="nil"/>
                          <w:tr2bl w:val="nil"/>
                        </w:tcBorders>
                        <w:shd w:val="clear" w:color="auto" w:fill="FFFFFF"/>
                        <w:vAlign w:val="center"/>
                      </w:tcPr>
                      <w:p w14:paraId="6032F21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故障程度网格、正常切换和方法对照</w:t>
                        </w:r>
                      </w:p>
                    </w:tc>
                    <w:tc>
                      <w:tcPr>
                        <w:tcW w:w="3500" w:type="dxa"/>
                        <w:tcBorders>
                          <w:tl2br w:val="nil"/>
                          <w:tr2bl w:val="nil"/>
                        </w:tcBorders>
                        <w:shd w:val="clear" w:color="auto" w:fill="FFFFFF"/>
                        <w:vAlign w:val="center"/>
                      </w:tcPr>
                      <w:p w14:paraId="5B5BBB8D">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试次级误报、漏检、模式及提前量记录</w:t>
                        </w:r>
                      </w:p>
                    </w:tc>
                  </w:tr>
                  <w:tr w14:paraId="5E7BFEF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40C2370B">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2027年7—8月</w:t>
                        </w:r>
                      </w:p>
                    </w:tc>
                    <w:tc>
                      <w:tcPr>
                        <w:tcW w:w="3300" w:type="dxa"/>
                        <w:tcBorders>
                          <w:tl2br w:val="nil"/>
                          <w:tr2bl w:val="nil"/>
                        </w:tcBorders>
                        <w:shd w:val="clear" w:color="auto" w:fill="FFFFFF"/>
                        <w:vAlign w:val="center"/>
                      </w:tcPr>
                      <w:p w14:paraId="682C33F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LoRa协议、本地Web及连续运行</w:t>
                        </w:r>
                      </w:p>
                    </w:tc>
                    <w:tc>
                      <w:tcPr>
                        <w:tcW w:w="3500" w:type="dxa"/>
                        <w:tcBorders>
                          <w:tl2br w:val="nil"/>
                          <w:tr2bl w:val="nil"/>
                        </w:tcBorders>
                        <w:shd w:val="clear" w:color="auto" w:fill="FFFFFF"/>
                        <w:vAlign w:val="center"/>
                      </w:tcPr>
                      <w:p w14:paraId="50800C0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发收确认可追溯，恢复与整机测量记录</w:t>
                        </w:r>
                      </w:p>
                    </w:tc>
                  </w:tr>
                  <w:tr w14:paraId="1CF2DAA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54C9755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2027年9—10月</w:t>
                        </w:r>
                      </w:p>
                    </w:tc>
                    <w:tc>
                      <w:tcPr>
                        <w:tcW w:w="3300" w:type="dxa"/>
                        <w:tcBorders>
                          <w:tl2br w:val="nil"/>
                          <w:tr2bl w:val="nil"/>
                        </w:tcBorders>
                        <w:shd w:val="clear" w:color="auto" w:fill="FFFFFF"/>
                        <w:vAlign w:val="center"/>
                      </w:tcPr>
                      <w:p w14:paraId="6BE1D8D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独立批次、消融、条件性现场、论文稿</w:t>
                        </w:r>
                      </w:p>
                    </w:tc>
                    <w:tc>
                      <w:tcPr>
                        <w:tcW w:w="3500" w:type="dxa"/>
                        <w:tcBorders>
                          <w:tl2br w:val="nil"/>
                          <w:tr2bl w:val="nil"/>
                        </w:tcBorders>
                        <w:shd w:val="clear" w:color="auto" w:fill="FFFFFF"/>
                        <w:vAlign w:val="center"/>
                      </w:tcPr>
                      <w:p w14:paraId="3F65AF7B">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冻结数据与方法，导师审核论文贡献</w:t>
                        </w:r>
                      </w:p>
                    </w:tc>
                  </w:tr>
                  <w:tr w14:paraId="5E8F912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EE19A9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2027年11—12月</w:t>
                        </w:r>
                      </w:p>
                    </w:tc>
                    <w:tc>
                      <w:tcPr>
                        <w:tcW w:w="3300" w:type="dxa"/>
                        <w:tcBorders>
                          <w:tl2br w:val="nil"/>
                          <w:tr2bl w:val="nil"/>
                        </w:tcBorders>
                        <w:shd w:val="clear" w:color="auto" w:fill="FFFFFF"/>
                        <w:vAlign w:val="center"/>
                      </w:tcPr>
                      <w:p w14:paraId="62B6175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补试验、修订原型与研究报告</w:t>
                        </w:r>
                      </w:p>
                    </w:tc>
                    <w:tc>
                      <w:tcPr>
                        <w:tcW w:w="3500" w:type="dxa"/>
                        <w:tcBorders>
                          <w:tl2br w:val="nil"/>
                          <w:tr2bl w:val="nil"/>
                        </w:tcBorders>
                        <w:shd w:val="clear" w:color="auto" w:fill="FFFFFF"/>
                        <w:vAlign w:val="center"/>
                      </w:tcPr>
                      <w:p w14:paraId="519663D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系统演示、调研、过程及本批要求材料</w:t>
                        </w:r>
                      </w:p>
                    </w:tc>
                  </w:tr>
                  <w:tr w14:paraId="352D7E3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1700" w:type="dxa"/>
                        <w:tcBorders>
                          <w:tl2br w:val="nil"/>
                          <w:tr2bl w:val="nil"/>
                        </w:tcBorders>
                        <w:shd w:val="clear" w:color="auto" w:fill="FFFFFF"/>
                        <w:vAlign w:val="center"/>
                      </w:tcPr>
                      <w:p w14:paraId="1609061D">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2028年1—2月</w:t>
                        </w:r>
                      </w:p>
                    </w:tc>
                    <w:tc>
                      <w:tcPr>
                        <w:tcW w:w="3300" w:type="dxa"/>
                        <w:tcBorders>
                          <w:tl2br w:val="nil"/>
                          <w:tr2bl w:val="nil"/>
                        </w:tcBorders>
                        <w:shd w:val="clear" w:color="auto" w:fill="FFFFFF"/>
                        <w:vAlign w:val="center"/>
                      </w:tcPr>
                      <w:p w14:paraId="2617CBCA">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核对任务书、补验证与归档</w:t>
                        </w:r>
                      </w:p>
                    </w:tc>
                    <w:tc>
                      <w:tcPr>
                        <w:tcW w:w="3500" w:type="dxa"/>
                        <w:tcBorders>
                          <w:tl2br w:val="nil"/>
                          <w:tr2bl w:val="nil"/>
                        </w:tcBorders>
                        <w:shd w:val="clear" w:color="auto" w:fill="FFFFFF"/>
                        <w:vAlign w:val="center"/>
                      </w:tcPr>
                      <w:p w14:paraId="2223F781">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实物软件、数据、报告和结项材料对应</w:t>
                        </w:r>
                      </w:p>
                    </w:tc>
                  </w:tr>
                </w:tbl>
                <w:p w14:paraId="4BC3F982">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2992D8B7">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4D71538B">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申报后至正式实施前开展C/Python学习、成员分工、器件询价和参考仪器联系。测量阶段未达到可重复、可校核条件时先修正台架；论文审稿延长时据已完成任务办理结项，论文状态据实记录。</w:t>
            </w:r>
          </w:p>
        </w:tc>
      </w:tr>
      <w:tr w14:paraId="03DC3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9F9C75F">
            <w:pPr>
              <w:keepNext/>
              <w:keepLines/>
              <w:numPr>
                <w:ilvl w:val="0"/>
                <w:numId w:val="0"/>
              </w:numPr>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p w14:paraId="514A9D8F">
            <w:pPr>
              <w:keepNext/>
              <w:keepLines/>
              <w:numPr>
                <w:ilvl w:val="0"/>
                <w:numId w:val="0"/>
              </w:numPr>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1 与本项目有关的研究积累和已取得的成绩</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形成文献和制度分析、等效模型、合成试验程序、国内候选器件核对及离线网站。当前基础属于方案、模型和软件，尚无硬件台架、真实无线、整机功耗或田间性能数据。图12为程序保存结果生成的模型检验图，用于说明可行条件与失败趋势。</w:t>
            </w:r>
          </w:p>
          <w:p w14:paraId="3BED0893">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7" o:spt="75" alt="图12 渐进故障及噪声影响的合成模型检验 参数未标定" type="#_x0000_t75" style="height:405.5pt;width:425pt;" filled="f" o:preferrelative="t" stroked="f" coordsize="21600,21600">
                  <v:path/>
                  <v:fill on="f" focussize="0,0"/>
                  <v:stroke on="f"/>
                  <v:imagedata r:id="rId17" o:title="early_diagnosi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图12 渐进故障及噪声影响的合成模型检验 参数未标定</w:t>
            </w:r>
          </w:p>
          <w:p w14:paraId="3F27AB37">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双压力模型完成6场景×4压力噪声×20种子共480次试验。在理想同步、平方律及单故障条件下，低噪声时两类故障各20/20试次在15%演示判据前正确提示且无前期误报；噪声σ=10kPa时均降为12/20。种子10300、σ=0.3kPa的单次示例中，泄漏提示409秒、判据485秒，提前76秒；受限提示396秒、判据522秒，提前126秒。统计与单次示例分别陈述，不作为实物性能。</w:t>
            </w:r>
          </w:p>
          <w:p w14:paraId="150DF24C">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反例显示压力漂移会引发误报，未知正常负载与等效泄漏可具有同样观测。旧单压力模型的12类挑战共240个合成试次也发现弱异常漏检及原因歧义。上述结果支持增加标定、状态信息和不确定性输出，并不支持通用辨因结论。</w:t>
            </w:r>
          </w:p>
          <w:p w14:paraId="748A0D1B">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公平通信回放完成1920次，同一检测器和载荷下统一缓存、ACK及去重，显示慢周期具有竞争力，噪声可增加事件发送；未模拟完整射频或整机能量。诊断与通信仍为分别验证的模型，真实联合系统拟在实施期完成。</w:t>
            </w:r>
          </w:p>
          <w:p w14:paraId="2B37F448">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程序、JSON/CSV和图表可追溯，图10是当前离线网页实际截图，支持合成回放、质量状态及确认演示；实际设备接入与日志持久化尚未实现。目前没有已发表论文、授权专利、软著或田间成绩。</w:t>
            </w:r>
          </w:p>
          <w:p w14:paraId="1BC4933C">
            <w:pPr>
              <w:keepNext/>
              <w:keepLines/>
              <w:numPr>
                <w:ilvl w:val="0"/>
                <w:numId w:val="0"/>
              </w:numPr>
              <w:spacing w:before="140" w:beforeLines="50" w:after="100" w:line="240" w:lineRule="auto"/>
              <w:jc w:val="left"/>
              <w:rPr>
                <w:rFonts w:hint="default" w:ascii="Times New Roman" w:hAnsi="Times New Roman" w:eastAsia="宋体" w:cs="Times New Roman"/>
                <w:b w:val="0"/>
                <w:sz w:val="21"/>
                <w:szCs w:val="28"/>
                <w:lang w:val="en-US" w:eastAsia="zh-CN"/>
              </w:rPr>
            </w:pPr>
            <w:r>
              <w:rPr>
                <w:rFonts w:hint="default" w:ascii="Times New Roman" w:hAnsi="Times New Roman" w:eastAsia="宋体" w:cs="Times New Roman"/>
                <w:b/>
                <w:sz w:val="21"/>
                <w:szCs w:val="28"/>
                <w:lang w:val="en-US" w:eastAsia="zh-CN"/>
              </w:rPr>
              <w:t>2 已具备的条件 尚缺少的条件及解决方法</w:t>
            </w:r>
            <w:r>
              <w:rPr>
                <w:rFonts w:hint="default" w:ascii="Times New Roman" w:hAnsi="Times New Roman" w:eastAsia="宋体" w:cs="Times New Roman"/>
                <w:b w:val="0"/>
                <w:sz w:val="21"/>
                <w:szCs w:val="28"/>
                <w:lang w:val="en-US" w:eastAsia="zh-CN"/>
              </w:rPr>
              <w:br w:type="textWrapping"/>
            </w:r>
            <w:r>
              <w:rPr>
                <w:rFonts w:hint="default" w:ascii="Times New Roman" w:hAnsi="Times New Roman" w:eastAsia="宋体" w:cs="Times New Roman"/>
                <w:b w:val="0"/>
                <w:sz w:val="21"/>
                <w:szCs w:val="28"/>
                <w:lang w:val="en-US" w:eastAsia="zh-CN"/>
              </w:rPr>
              <w:t>已确认负责人具备焊接能力及约2000元启动额度估计。实际成员、嵌入式开发能力、参考仪器、水路场地、接收电脑配置及田间许可需落实。申报前拟由老师审核分工和测量条件，完成询价与核心程序复现；实施前训练嵌入式采集和实验记录。</w:t>
            </w:r>
          </w:p>
          <w:p w14:paraId="2EAA29BD">
            <w:pPr>
              <w:keepNext w:val="0"/>
              <w:keepLines/>
              <w:numPr>
                <w:ilvl w:val="0"/>
                <w:numId w:val="0"/>
              </w:numPr>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压力表、容积/称重及电流设备拟借用，借用落实情况单独记录。现场自行联系，未获得许可时以可重复台架保证基础研究。预算不能满足必要测量时先借用或调整量程与试验范围，不用未标定数据兑现性能目标。</w:t>
            </w:r>
          </w:p>
        </w:tc>
      </w:tr>
      <w:tr w14:paraId="608A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3FD9895">
            <w:pPr>
              <w:keepNext/>
              <w:keepLines/>
              <w:spacing w:beforeLines="50" w:after="100" w:line="240" w:lineRule="auto"/>
              <w:jc w:val="left"/>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7A578BB6">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按2000元启动额度暂估，未获得整体报价或资助。正式申请金额、科目及可报销范围以本批通知、询价和教师审核为准。表4对应基础系统组成，扩大资助优先提升测量、标定和重复实验质量。</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4D8E5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070" w:type="dxa"/>
                  <w:tcBorders>
                    <w:tl2br w:val="nil"/>
                    <w:tr2bl w:val="nil"/>
                  </w:tcBorders>
                </w:tcPr>
                <w:p w14:paraId="1CF6C548">
                  <w:pPr>
                    <w:keepNext w:val="0"/>
                    <w:keepLines/>
                    <w:spacing w:beforeLines="50" w:after="140" w:line="240" w:lineRule="auto"/>
                    <w:jc w:val="left"/>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表4 启动经费估算</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100" w:type="dxa"/>
                      <w:left w:w="100" w:type="dxa"/>
                      <w:bottom w:w="100" w:type="dxa"/>
                      <w:right w:w="100" w:type="dxa"/>
                    </w:tblCellMar>
                  </w:tblPr>
                  <w:tblGrid>
                    <w:gridCol w:w="2100"/>
                    <w:gridCol w:w="1200"/>
                    <w:gridCol w:w="5200"/>
                  </w:tblGrid>
                  <w:tr w14:paraId="494464D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blHeader/>
                    </w:trPr>
                    <w:tc>
                      <w:tcPr>
                        <w:tcW w:w="2100" w:type="dxa"/>
                        <w:tcBorders>
                          <w:tl2br w:val="nil"/>
                          <w:tr2bl w:val="nil"/>
                        </w:tcBorders>
                        <w:shd w:val="clear" w:color="auto" w:fill="EDEDED"/>
                        <w:vAlign w:val="center"/>
                      </w:tcPr>
                      <w:p w14:paraId="5DA2C86C">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用途</w:t>
                        </w:r>
                      </w:p>
                    </w:tc>
                    <w:tc>
                      <w:tcPr>
                        <w:tcW w:w="1200" w:type="dxa"/>
                        <w:tcBorders>
                          <w:tl2br w:val="nil"/>
                          <w:tr2bl w:val="nil"/>
                        </w:tcBorders>
                        <w:shd w:val="clear" w:color="auto" w:fill="EDEDED"/>
                        <w:vAlign w:val="center"/>
                      </w:tcPr>
                      <w:p w14:paraId="027326F0">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金额 元</w:t>
                        </w:r>
                      </w:p>
                    </w:tc>
                    <w:tc>
                      <w:tcPr>
                        <w:tcW w:w="5200" w:type="dxa"/>
                        <w:tcBorders>
                          <w:tl2br w:val="nil"/>
                          <w:tr2bl w:val="nil"/>
                        </w:tcBorders>
                        <w:shd w:val="clear" w:color="auto" w:fill="EDEDED"/>
                        <w:vAlign w:val="center"/>
                      </w:tcPr>
                      <w:p w14:paraId="4161FCAF">
                        <w:pPr>
                          <w:keepNext/>
                          <w:keepLines/>
                          <w:spacing w:beforeLines="50" w:after="80" w:line="240" w:lineRule="auto"/>
                          <w:jc w:val="left"/>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对应任务及估算前提</w:t>
                        </w:r>
                      </w:p>
                    </w:tc>
                  </w:tr>
                  <w:tr w14:paraId="2BC3311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74ED2A5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主控及LoRa电子件</w:t>
                        </w:r>
                      </w:p>
                    </w:tc>
                    <w:tc>
                      <w:tcPr>
                        <w:tcW w:w="1200" w:type="dxa"/>
                        <w:tcBorders>
                          <w:tl2br w:val="nil"/>
                          <w:tr2bl w:val="nil"/>
                        </w:tcBorders>
                        <w:shd w:val="clear" w:color="auto" w:fill="FFFFFF"/>
                        <w:vAlign w:val="center"/>
                      </w:tcPr>
                      <w:p w14:paraId="58647FB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260</w:t>
                        </w:r>
                      </w:p>
                    </w:tc>
                    <w:tc>
                      <w:tcPr>
                        <w:tcW w:w="5200" w:type="dxa"/>
                        <w:tcBorders>
                          <w:tl2br w:val="nil"/>
                          <w:tr2bl w:val="nil"/>
                        </w:tcBorders>
                        <w:shd w:val="clear" w:color="auto" w:fill="FFFFFF"/>
                        <w:vAlign w:val="center"/>
                      </w:tcPr>
                      <w:p w14:paraId="73D77F6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一个主控、两LoRa、天线、串口、存储及调试，待询价</w:t>
                        </w:r>
                      </w:p>
                    </w:tc>
                  </w:tr>
                  <w:tr w14:paraId="4842A2A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064B1B0F">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两压力流量及调理</w:t>
                        </w:r>
                      </w:p>
                    </w:tc>
                    <w:tc>
                      <w:tcPr>
                        <w:tcW w:w="1200" w:type="dxa"/>
                        <w:tcBorders>
                          <w:tl2br w:val="nil"/>
                          <w:tr2bl w:val="nil"/>
                        </w:tcBorders>
                        <w:shd w:val="clear" w:color="auto" w:fill="FFFFFF"/>
                        <w:vAlign w:val="center"/>
                      </w:tcPr>
                      <w:p w14:paraId="3675DD7C">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900</w:t>
                        </w:r>
                      </w:p>
                    </w:tc>
                    <w:tc>
                      <w:tcPr>
                        <w:tcW w:w="5200" w:type="dxa"/>
                        <w:tcBorders>
                          <w:tl2br w:val="nil"/>
                          <w:tr2bl w:val="nil"/>
                        </w:tcBorders>
                        <w:shd w:val="clear" w:color="auto" w:fill="FFFFFF"/>
                        <w:vAlign w:val="center"/>
                      </w:tcPr>
                      <w:p w14:paraId="72802BC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流量109、ADC79为查阅时官网展示价；两压力采购额度约680，非报价</w:t>
                        </w:r>
                      </w:p>
                    </w:tc>
                  </w:tr>
                  <w:tr w14:paraId="5628BE8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442CA386">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双支路水路材料</w:t>
                        </w:r>
                      </w:p>
                    </w:tc>
                    <w:tc>
                      <w:tcPr>
                        <w:tcW w:w="1200" w:type="dxa"/>
                        <w:tcBorders>
                          <w:tl2br w:val="nil"/>
                          <w:tr2bl w:val="nil"/>
                        </w:tcBorders>
                        <w:shd w:val="clear" w:color="auto" w:fill="FFFFFF"/>
                        <w:vAlign w:val="center"/>
                      </w:tcPr>
                      <w:p w14:paraId="38AFDD0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400</w:t>
                        </w:r>
                      </w:p>
                    </w:tc>
                    <w:tc>
                      <w:tcPr>
                        <w:tcW w:w="5200" w:type="dxa"/>
                        <w:tcBorders>
                          <w:tl2br w:val="nil"/>
                          <w:tr2bl w:val="nil"/>
                        </w:tcBorders>
                        <w:shd w:val="clear" w:color="auto" w:fill="FFFFFF"/>
                        <w:vAlign w:val="center"/>
                      </w:tcPr>
                      <w:p w14:paraId="13213662">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阀、接头、回水及收集；可调连续水源拟借用</w:t>
                        </w:r>
                      </w:p>
                    </w:tc>
                  </w:tr>
                  <w:tr w14:paraId="310D90A0">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2AB199AE">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供电与外壳</w:t>
                        </w:r>
                      </w:p>
                    </w:tc>
                    <w:tc>
                      <w:tcPr>
                        <w:tcW w:w="1200" w:type="dxa"/>
                        <w:tcBorders>
                          <w:tl2br w:val="nil"/>
                          <w:tr2bl w:val="nil"/>
                        </w:tcBorders>
                        <w:shd w:val="clear" w:color="auto" w:fill="FFFFFF"/>
                        <w:vAlign w:val="center"/>
                      </w:tcPr>
                      <w:p w14:paraId="589B3520">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471F64C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台架供电、连接和安装防护，待核对</w:t>
                        </w:r>
                      </w:p>
                    </w:tc>
                  </w:tr>
                  <w:tr w14:paraId="02A9480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5D0B9FF5">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记录耗材</w:t>
                        </w:r>
                      </w:p>
                    </w:tc>
                    <w:tc>
                      <w:tcPr>
                        <w:tcW w:w="1200" w:type="dxa"/>
                        <w:tcBorders>
                          <w:tl2br w:val="nil"/>
                          <w:tr2bl w:val="nil"/>
                        </w:tcBorders>
                        <w:shd w:val="clear" w:color="auto" w:fill="FFFFFF"/>
                        <w:vAlign w:val="center"/>
                      </w:tcPr>
                      <w:p w14:paraId="30C51A5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100</w:t>
                        </w:r>
                      </w:p>
                    </w:tc>
                    <w:tc>
                      <w:tcPr>
                        <w:tcW w:w="5200" w:type="dxa"/>
                        <w:tcBorders>
                          <w:tl2br w:val="nil"/>
                          <w:tr2bl w:val="nil"/>
                        </w:tcBorders>
                        <w:shd w:val="clear" w:color="auto" w:fill="FFFFFF"/>
                        <w:vAlign w:val="center"/>
                      </w:tcPr>
                      <w:p w14:paraId="57A2AE51">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实验记录与必要消耗</w:t>
                        </w:r>
                      </w:p>
                    </w:tc>
                  </w:tr>
                  <w:tr w14:paraId="4AF0100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1DF52C04">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调研及返工材料</w:t>
                        </w:r>
                      </w:p>
                    </w:tc>
                    <w:tc>
                      <w:tcPr>
                        <w:tcW w:w="1200" w:type="dxa"/>
                        <w:tcBorders>
                          <w:tl2br w:val="nil"/>
                          <w:tr2bl w:val="nil"/>
                        </w:tcBorders>
                        <w:shd w:val="clear" w:color="auto" w:fill="FFFFFF"/>
                        <w:vAlign w:val="center"/>
                      </w:tcPr>
                      <w:p w14:paraId="231FC203">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140</w:t>
                        </w:r>
                      </w:p>
                    </w:tc>
                    <w:tc>
                      <w:tcPr>
                        <w:tcW w:w="5200" w:type="dxa"/>
                        <w:tcBorders>
                          <w:tl2br w:val="nil"/>
                          <w:tr2bl w:val="nil"/>
                        </w:tcBorders>
                        <w:shd w:val="clear" w:color="auto" w:fill="FFFFFF"/>
                        <w:vAlign w:val="center"/>
                      </w:tcPr>
                      <w:p w14:paraId="618A9499">
                        <w:pPr>
                          <w:keepNext/>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按学校允许科目据实调整</w:t>
                        </w:r>
                      </w:p>
                    </w:tc>
                  </w:tr>
                  <w:tr w14:paraId="11CC3FF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100" w:type="dxa"/>
                        <w:left w:w="100" w:type="dxa"/>
                        <w:bottom w:w="100" w:type="dxa"/>
                        <w:right w:w="100" w:type="dxa"/>
                      </w:tblCellMar>
                    </w:tblPrEx>
                    <w:trPr>
                      <w:cantSplit/>
                    </w:trPr>
                    <w:tc>
                      <w:tcPr>
                        <w:tcW w:w="2100" w:type="dxa"/>
                        <w:tcBorders>
                          <w:tl2br w:val="nil"/>
                          <w:tr2bl w:val="nil"/>
                        </w:tcBorders>
                        <w:shd w:val="clear" w:color="auto" w:fill="FFFFFF"/>
                        <w:vAlign w:val="center"/>
                      </w:tcPr>
                      <w:p w14:paraId="76FBCC51">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合计</w:t>
                        </w:r>
                      </w:p>
                    </w:tc>
                    <w:tc>
                      <w:tcPr>
                        <w:tcW w:w="1200" w:type="dxa"/>
                        <w:tcBorders>
                          <w:tl2br w:val="nil"/>
                          <w:tr2bl w:val="nil"/>
                        </w:tcBorders>
                        <w:shd w:val="clear" w:color="auto" w:fill="FFFFFF"/>
                        <w:vAlign w:val="center"/>
                      </w:tcPr>
                      <w:p w14:paraId="665B0904">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2000</w:t>
                        </w:r>
                      </w:p>
                    </w:tc>
                    <w:tc>
                      <w:tcPr>
                        <w:tcW w:w="5200" w:type="dxa"/>
                        <w:tcBorders>
                          <w:tl2br w:val="nil"/>
                          <w:tr2bl w:val="nil"/>
                        </w:tcBorders>
                        <w:shd w:val="clear" w:color="auto" w:fill="FFFFFF"/>
                        <w:vAlign w:val="center"/>
                      </w:tcPr>
                      <w:p w14:paraId="0221F156">
                        <w:pPr>
                          <w:keepNext w:val="0"/>
                          <w:keepLines/>
                          <w:spacing w:beforeLines="50" w:after="80" w:line="240" w:lineRule="auto"/>
                          <w:jc w:val="left"/>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启动估算，不是已获资助或报价</w:t>
                        </w:r>
                      </w:p>
                    </w:tc>
                  </w:tr>
                </w:tbl>
                <w:p w14:paraId="59BDF4BE">
                  <w:pPr>
                    <w:keepNext w:val="0"/>
                    <w:keepLines/>
                    <w:spacing w:beforeLines="50" w:after="100" w:line="240" w:lineRule="auto"/>
                    <w:jc w:val="left"/>
                    <w:rPr>
                      <w:rFonts w:hint="default" w:ascii="Times New Roman" w:hAnsi="Times New Roman" w:cs="Times New Roman"/>
                      <w:sz w:val="21"/>
                      <w:szCs w:val="28"/>
                      <w:vertAlign w:val="baseline"/>
                      <w:lang w:val="en-US" w:eastAsia="zh-CN"/>
                    </w:rPr>
                  </w:pPr>
                </w:p>
              </w:tc>
            </w:tr>
          </w:tbl>
          <w:p w14:paraId="66D0EDF9">
            <w:pPr>
              <w:keepNext w:val="0"/>
              <w:keepLines/>
              <w:spacing w:beforeLines="50" w:after="100" w:line="240" w:lineRule="auto"/>
              <w:jc w:val="left"/>
              <w:rPr>
                <w:rFonts w:hint="default" w:ascii="Times New Roman" w:hAnsi="Times New Roman" w:eastAsia="宋体" w:cs="Times New Roman"/>
                <w:sz w:val="21"/>
                <w:szCs w:val="28"/>
                <w:lang w:val="en-US" w:eastAsia="zh-CN"/>
              </w:rPr>
            </w:pPr>
          </w:p>
          <w:p w14:paraId="44F8AB3C">
            <w:pPr>
              <w:keepNext w:val="0"/>
              <w:keepLines/>
              <w:spacing w:beforeLines="50" w:after="100" w:line="240" w:lineRule="auto"/>
              <w:jc w:val="left"/>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算以已有电脑、可借参考仪器及可调连续水源为前提，不含新购整套泵站、高精度参考设备、论文费用及多节点扩展。压力报价超额或水源不能借用时须重编经费并落实条件，不能承诺2000元独立覆盖全部实物。借用和资助未落实前不填写为已具备；成员签字、导师与学校意见由本人及相应单位填写。</w:t>
            </w:r>
          </w:p>
        </w:tc>
      </w:tr>
      <w:tr w14:paraId="42318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3492A52D">
            <w:pPr>
              <w:keepNext/>
              <w:pageBreakBefore/>
              <w:spacing w:before="156" w:beforeLines="50"/>
              <w:rPr>
                <w:rFonts w:hint="eastAsia" w:eastAsia="宋体"/>
                <w:b/>
                <w:sz w:val="21"/>
                <w:lang w:eastAsia="zh-CN"/>
              </w:rPr>
            </w:pPr>
            <w:r>
              <w:rPr>
                <w:rFonts w:hint="eastAsia" w:eastAsia="宋体"/>
                <w:b/>
                <w:sz w:val="21"/>
                <w:lang w:eastAsia="zh-CN"/>
              </w:rPr>
              <w:t>项目组成员签字：</w:t>
            </w:r>
          </w:p>
        </w:tc>
        <w:tc>
          <w:tcPr>
            <w:tcW w:w="3050" w:type="dxa"/>
            <w:gridSpan w:val="2"/>
            <w:noWrap w:val="0"/>
            <w:vAlign w:val="top"/>
          </w:tcPr>
          <w:p w14:paraId="601F43FD">
            <w:pPr>
              <w:keepNext/>
              <w:spacing w:before="156" w:beforeLines="50"/>
              <w:rPr>
                <w:rFonts w:hint="eastAsia"/>
                <w:b/>
              </w:rPr>
            </w:pPr>
          </w:p>
        </w:tc>
        <w:tc>
          <w:tcPr>
            <w:tcW w:w="3421" w:type="dxa"/>
            <w:gridSpan w:val="2"/>
            <w:noWrap w:val="0"/>
            <w:vAlign w:val="top"/>
          </w:tcPr>
          <w:p w14:paraId="4437C49E">
            <w:pPr>
              <w:keepNext/>
              <w:spacing w:before="156" w:beforeLines="50"/>
              <w:rPr>
                <w:rFonts w:hint="eastAsia"/>
                <w:b/>
              </w:rPr>
            </w:pPr>
          </w:p>
        </w:tc>
      </w:tr>
      <w:tr w14:paraId="2C01C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12EC29B8">
            <w:pPr>
              <w:keepNext/>
              <w:spacing w:before="156" w:beforeLines="50"/>
              <w:rPr>
                <w:rFonts w:hint="eastAsia"/>
                <w:b/>
              </w:rPr>
            </w:pPr>
          </w:p>
        </w:tc>
        <w:tc>
          <w:tcPr>
            <w:tcW w:w="3050" w:type="dxa"/>
            <w:gridSpan w:val="2"/>
            <w:noWrap w:val="0"/>
            <w:vAlign w:val="top"/>
          </w:tcPr>
          <w:p w14:paraId="78F70572">
            <w:pPr>
              <w:keepNext/>
              <w:spacing w:before="156" w:beforeLines="50"/>
              <w:rPr>
                <w:rFonts w:hint="eastAsia"/>
                <w:b/>
              </w:rPr>
            </w:pPr>
          </w:p>
        </w:tc>
        <w:tc>
          <w:tcPr>
            <w:tcW w:w="3421" w:type="dxa"/>
            <w:gridSpan w:val="2"/>
            <w:noWrap w:val="0"/>
            <w:vAlign w:val="top"/>
          </w:tcPr>
          <w:p w14:paraId="09A77457">
            <w:pPr>
              <w:keepNext/>
              <w:spacing w:before="156" w:beforeLines="50"/>
              <w:rPr>
                <w:rFonts w:hint="eastAsia"/>
                <w:b/>
              </w:rPr>
            </w:pPr>
          </w:p>
        </w:tc>
      </w:tr>
      <w:tr w14:paraId="3009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25F605EA">
            <w:pPr>
              <w:keepNext w:val="0"/>
              <w:spacing w:before="156" w:beforeLines="50"/>
              <w:rPr>
                <w:rFonts w:hint="eastAsia"/>
                <w:b/>
              </w:rPr>
            </w:pPr>
          </w:p>
        </w:tc>
        <w:tc>
          <w:tcPr>
            <w:tcW w:w="3050" w:type="dxa"/>
            <w:gridSpan w:val="2"/>
            <w:noWrap w:val="0"/>
            <w:vAlign w:val="top"/>
          </w:tcPr>
          <w:p w14:paraId="3405A052">
            <w:pPr>
              <w:keepNext w:val="0"/>
              <w:spacing w:before="156" w:beforeLines="50"/>
              <w:rPr>
                <w:rFonts w:hint="eastAsia"/>
                <w:b/>
              </w:rPr>
            </w:pPr>
          </w:p>
        </w:tc>
        <w:tc>
          <w:tcPr>
            <w:tcW w:w="3421" w:type="dxa"/>
            <w:gridSpan w:val="2"/>
            <w:noWrap w:val="0"/>
            <w:vAlign w:val="top"/>
          </w:tcPr>
          <w:p w14:paraId="04018F5F">
            <w:pPr>
              <w:keepNext w:val="0"/>
              <w:spacing w:before="156" w:beforeLines="50"/>
              <w:rPr>
                <w:rFonts w:hint="eastAsia"/>
                <w:b/>
              </w:rPr>
            </w:pPr>
          </w:p>
        </w:tc>
      </w:tr>
      <w:tr w14:paraId="689A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6E42E055">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7FCA9D87">
            <w:pPr>
              <w:rPr>
                <w:rFonts w:hint="eastAsia" w:ascii="宋体" w:hAnsi="宋体"/>
              </w:rPr>
            </w:pPr>
          </w:p>
          <w:p w14:paraId="0AE8E47D">
            <w:pPr>
              <w:rPr>
                <w:rFonts w:hint="eastAsia" w:ascii="宋体" w:hAnsi="宋体"/>
              </w:rPr>
            </w:pPr>
          </w:p>
          <w:p w14:paraId="45BCAF3B">
            <w:pPr>
              <w:rPr>
                <w:rFonts w:hint="eastAsia" w:ascii="宋体" w:hAnsi="宋体"/>
              </w:rPr>
            </w:pPr>
          </w:p>
          <w:p w14:paraId="11E6A5F1">
            <w:pPr>
              <w:rPr>
                <w:rFonts w:hint="eastAsia" w:ascii="宋体" w:hAnsi="宋体"/>
              </w:rPr>
            </w:pPr>
          </w:p>
          <w:p w14:paraId="3DEC5E19">
            <w:pPr>
              <w:rPr>
                <w:rFonts w:hint="eastAsia" w:ascii="宋体" w:hAnsi="宋体"/>
              </w:rPr>
            </w:pPr>
          </w:p>
          <w:p w14:paraId="36143852">
            <w:pPr>
              <w:rPr>
                <w:rFonts w:hint="eastAsia" w:ascii="宋体" w:hAnsi="宋体"/>
              </w:rPr>
            </w:pPr>
          </w:p>
          <w:p w14:paraId="361ED63B">
            <w:pPr>
              <w:rPr>
                <w:rFonts w:hint="eastAsia" w:ascii="宋体" w:hAnsi="宋体"/>
              </w:rPr>
            </w:pPr>
          </w:p>
          <w:p w14:paraId="0A1322DE">
            <w:pPr>
              <w:rPr>
                <w:rFonts w:hint="eastAsia" w:ascii="宋体" w:hAnsi="宋体"/>
              </w:rPr>
            </w:pPr>
          </w:p>
          <w:p w14:paraId="1794CB47">
            <w:pPr>
              <w:rPr>
                <w:rFonts w:hint="eastAsia" w:ascii="宋体" w:hAnsi="宋体"/>
              </w:rPr>
            </w:pPr>
          </w:p>
          <w:p w14:paraId="60EC156B">
            <w:pPr>
              <w:rPr>
                <w:rFonts w:hint="eastAsia" w:ascii="宋体" w:hAnsi="宋体"/>
                <w:szCs w:val="21"/>
              </w:rPr>
            </w:pPr>
          </w:p>
          <w:p w14:paraId="7F94E319">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281B14C5">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5A99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7" w:hRule="atLeast"/>
          <w:jc w:val="center"/>
        </w:trPr>
        <w:tc>
          <w:tcPr>
            <w:tcW w:w="9286" w:type="dxa"/>
            <w:gridSpan w:val="9"/>
            <w:noWrap w:val="0"/>
            <w:vAlign w:val="top"/>
          </w:tcPr>
          <w:p w14:paraId="2579FE3B">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11895DD0">
            <w:pPr>
              <w:rPr>
                <w:rFonts w:hint="eastAsia" w:ascii="宋体" w:hAnsi="宋体"/>
              </w:rPr>
            </w:pPr>
          </w:p>
          <w:p w14:paraId="02233DAA">
            <w:pPr>
              <w:rPr>
                <w:rFonts w:hint="eastAsia" w:ascii="宋体" w:hAnsi="宋体"/>
              </w:rPr>
            </w:pPr>
          </w:p>
          <w:p w14:paraId="0427788F">
            <w:pPr>
              <w:rPr>
                <w:rFonts w:hint="eastAsia" w:ascii="宋体" w:hAnsi="宋体"/>
              </w:rPr>
            </w:pPr>
          </w:p>
          <w:p w14:paraId="6E134E93">
            <w:pPr>
              <w:rPr>
                <w:rFonts w:hint="eastAsia" w:ascii="宋体" w:hAnsi="宋体"/>
              </w:rPr>
            </w:pPr>
          </w:p>
          <w:p w14:paraId="0A59210F">
            <w:pPr>
              <w:rPr>
                <w:rFonts w:hint="eastAsia" w:ascii="宋体" w:hAnsi="宋体"/>
              </w:rPr>
            </w:pPr>
          </w:p>
          <w:p w14:paraId="18F3962A">
            <w:pPr>
              <w:rPr>
                <w:rFonts w:hint="eastAsia" w:ascii="宋体" w:hAnsi="宋体"/>
              </w:rPr>
            </w:pPr>
          </w:p>
          <w:p w14:paraId="24EEE4BD">
            <w:pPr>
              <w:rPr>
                <w:rFonts w:hint="eastAsia" w:ascii="宋体" w:hAnsi="宋体"/>
              </w:rPr>
            </w:pPr>
          </w:p>
          <w:p w14:paraId="0193943E">
            <w:pPr>
              <w:rPr>
                <w:rFonts w:hint="eastAsia" w:ascii="宋体" w:hAnsi="宋体"/>
              </w:rPr>
            </w:pPr>
          </w:p>
          <w:p w14:paraId="597C0E38">
            <w:pPr>
              <w:rPr>
                <w:rFonts w:hint="eastAsia" w:ascii="宋体" w:hAnsi="宋体"/>
              </w:rPr>
            </w:pPr>
          </w:p>
          <w:p w14:paraId="34FA3082">
            <w:pPr>
              <w:rPr>
                <w:rFonts w:hint="eastAsia" w:ascii="宋体" w:hAnsi="宋体"/>
              </w:rPr>
            </w:pPr>
          </w:p>
          <w:p w14:paraId="791B6F92">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11E8BA21">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486B2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6" w:hRule="atLeast"/>
          <w:jc w:val="center"/>
        </w:trPr>
        <w:tc>
          <w:tcPr>
            <w:tcW w:w="9286" w:type="dxa"/>
            <w:gridSpan w:val="9"/>
            <w:noWrap w:val="0"/>
            <w:vAlign w:val="top"/>
          </w:tcPr>
          <w:p w14:paraId="256F395B">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28E84994">
            <w:pPr>
              <w:spacing w:before="156" w:beforeLines="50"/>
              <w:rPr>
                <w:rFonts w:hint="eastAsia" w:ascii="黑体" w:hAnsi="黑体" w:eastAsia="黑体" w:cs="Times New Roman"/>
                <w:sz w:val="22"/>
                <w:szCs w:val="28"/>
              </w:rPr>
            </w:pPr>
          </w:p>
          <w:p w14:paraId="00CEA49B">
            <w:pPr>
              <w:spacing w:before="156" w:beforeLines="50"/>
              <w:rPr>
                <w:rFonts w:hint="eastAsia" w:ascii="黑体" w:hAnsi="黑体" w:eastAsia="黑体" w:cs="Times New Roman"/>
                <w:sz w:val="22"/>
                <w:szCs w:val="28"/>
              </w:rPr>
            </w:pPr>
          </w:p>
          <w:p w14:paraId="4B73D86C">
            <w:pPr>
              <w:spacing w:before="156" w:beforeLines="50"/>
              <w:rPr>
                <w:rFonts w:hint="eastAsia" w:ascii="黑体" w:hAnsi="黑体" w:eastAsia="黑体" w:cs="Times New Roman"/>
                <w:sz w:val="22"/>
                <w:szCs w:val="28"/>
              </w:rPr>
            </w:pPr>
          </w:p>
          <w:p w14:paraId="5CBCF2A6">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7BD14304"/>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5A72579C"/>
                    </w:txbxContent>
                  </v:textbox>
                </v:shape>
              </w:pict>
            </w:r>
            <w:r>
              <w:rPr>
                <w:rFonts w:hint="eastAsia" w:ascii="黑体" w:hAnsi="黑体" w:eastAsia="黑体" w:cs="Times New Roman"/>
                <w:sz w:val="22"/>
                <w:szCs w:val="28"/>
              </w:rPr>
              <w:t>同意立项级别：   校级                  国家级</w:t>
            </w:r>
          </w:p>
          <w:p w14:paraId="46E21C37">
            <w:pPr>
              <w:rPr>
                <w:rFonts w:hint="eastAsia"/>
                <w:b/>
              </w:rPr>
            </w:pPr>
          </w:p>
          <w:p w14:paraId="0B69CC03">
            <w:pPr>
              <w:spacing w:before="156" w:beforeLines="50"/>
              <w:rPr>
                <w:rFonts w:hint="eastAsia" w:ascii="黑体" w:hAnsi="黑体" w:eastAsia="黑体" w:cs="Times New Roman"/>
                <w:sz w:val="22"/>
                <w:szCs w:val="28"/>
              </w:rPr>
            </w:pPr>
          </w:p>
          <w:p w14:paraId="18FCA26E">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01C52237">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4F9B2EAC">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3A2F2C6-291C-4FA9-ABB8-0705A5B2E5C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51D6856A-5637-493D-9B36-EF6F0187DF7A}"/>
  </w:font>
  <w:font w:name="小标宋">
    <w:altName w:val="微软雅黑"/>
    <w:panose1 w:val="03000509000000000000"/>
    <w:charset w:val="86"/>
    <w:family w:val="auto"/>
    <w:pitch w:val="default"/>
    <w:sig w:usb0="00000001" w:usb1="080E0000" w:usb2="00000000" w:usb3="00000000" w:csb0="00040000" w:csb1="00000000"/>
    <w:embedRegular r:id="rId3" w:fontKey="{9903C9C1-0EC1-455F-8814-4BE4B7B5C216}"/>
  </w:font>
  <w:font w:name="楷体_GB2312">
    <w:altName w:val="楷体"/>
    <w:panose1 w:val="02010609030101010101"/>
    <w:charset w:val="86"/>
    <w:family w:val="modern"/>
    <w:pitch w:val="default"/>
    <w:sig w:usb0="00000001" w:usb1="080E0000" w:usb2="00000000" w:usb3="00000000" w:csb0="00040000" w:csb1="00000000"/>
    <w:embedRegular r:id="rId4" w:fontKey="{4D899750-0153-4769-80AC-F677DCD96BF0}"/>
  </w:font>
  <w:font w:name="仿宋_GB2312">
    <w:altName w:val="仿宋"/>
    <w:panose1 w:val="02010609030101010101"/>
    <w:charset w:val="86"/>
    <w:family w:val="modern"/>
    <w:pitch w:val="default"/>
    <w:sig w:usb0="00000001" w:usb1="080E0000" w:usb2="00000000" w:usb3="00000000" w:csb0="00040000" w:csb1="00000000"/>
    <w:embedRegular r:id="rId5" w:fontKey="{EB99F2D5-D8CB-4BA2-958A-7DB1F0D4FE3B}"/>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FE274">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2945738">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8A40355"/>
    <w:rsid w:val="19F92A7C"/>
    <w:rsid w:val="20373089"/>
    <w:rsid w:val="2B7175E9"/>
    <w:rsid w:val="391E4B76"/>
    <w:rsid w:val="46006614"/>
    <w:rsid w:val="50BC0C37"/>
    <w:rsid w:val="532474A3"/>
    <w:rsid w:val="5C4F0B22"/>
    <w:rsid w:val="5DAE1817"/>
    <w:rsid w:val="5FC33C0F"/>
    <w:rsid w:val="61892ED4"/>
    <w:rsid w:val="62864897"/>
    <w:rsid w:val="63F4655B"/>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24</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2026-10-03T17:04:20Z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23E51A419AE9434E8AD944DD3BF3C84D_13</vt:lpwstr>
  </property>
</Properties>
</file>