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bookmarkStart w:id="0" w:name="_GoBack"/>
      <w:bookmarkEnd w:id="0"/>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项目名称：基于 LoRa 的南疆滴灌支管道早期故障诊断物联网原型系统</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r>
        <w:rPr>
          <w:rFonts w:hint="eastAsia" w:ascii="黑体" w:hAnsi="黑体" w:eastAsia="黑体" w:cs="黑体"/>
          <w:b w:val="0"/>
          <w:bCs w:val="0"/>
          <w:sz w:val="30"/>
          <w:szCs w:val="30"/>
          <w:u w:val="single"/>
          <w:lang w:val="en-US" w:eastAsia="zh-CN"/>
        </w:rPr>
        <w:t xml:space="preserve">                            </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r>
        <w:rPr>
          <w:rFonts w:hint="eastAsia" w:ascii="黑体" w:hAnsi="黑体" w:eastAsia="黑体" w:cs="黑体"/>
          <w:b w:val="0"/>
          <w:bCs w:val="0"/>
          <w:sz w:val="30"/>
          <w:szCs w:val="30"/>
          <w:u w:val="single"/>
          <w:lang w:val="en-US" w:eastAsia="zh-CN"/>
        </w:rPr>
        <w:t xml:space="preserve">                              </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r>
        <w:rPr>
          <w:rFonts w:hint="eastAsia" w:ascii="黑体" w:hAnsi="黑体" w:eastAsia="黑体" w:cs="黑体"/>
          <w:b w:val="0"/>
          <w:bCs w:val="0"/>
          <w:sz w:val="30"/>
          <w:szCs w:val="30"/>
          <w:u w:val="single"/>
          <w:lang w:val="en-US" w:eastAsia="zh-CN"/>
        </w:rPr>
        <w:t xml:space="preserve">                              </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r>
        <w:rPr>
          <w:rFonts w:hint="eastAsia" w:ascii="黑体" w:hAnsi="黑体" w:eastAsia="黑体" w:cs="黑体"/>
          <w:b w:val="0"/>
          <w:bCs w:val="0"/>
          <w:sz w:val="30"/>
          <w:szCs w:val="30"/>
          <w:u w:val="single"/>
          <w:lang w:val="en-US" w:eastAsia="zh-CN"/>
        </w:rPr>
        <w:t xml:space="preserve">                              </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所属学院：信息工程学院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r>
        <w:rPr>
          <w:rFonts w:hint="eastAsia" w:ascii="黑体" w:hAnsi="黑体" w:eastAsia="黑体" w:cs="黑体"/>
          <w:b w:val="0"/>
          <w:bCs w:val="0"/>
          <w:sz w:val="30"/>
          <w:szCs w:val="30"/>
          <w:u w:val="single"/>
          <w:lang w:val="en-US" w:eastAsia="zh-CN"/>
        </w:rPr>
        <w:t xml:space="preserve">                              </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r>
        <w:rPr>
          <w:rFonts w:hint="eastAsia" w:ascii="黑体" w:hAnsi="黑体" w:eastAsia="黑体" w:cs="黑体"/>
          <w:b w:val="0"/>
          <w:bCs w:val="0"/>
          <w:sz w:val="30"/>
          <w:szCs w:val="30"/>
          <w:u w:val="single"/>
          <w:lang w:val="en-US" w:eastAsia="zh-CN"/>
        </w:rPr>
        <w:t xml:space="preserve">                              </w:t>
      </w:r>
    </w:p>
    <w:p w14:paraId="2A496524">
      <w:pPr>
        <w:spacing w:line="480" w:lineRule="auto"/>
        <w:ind w:left="1200" w:firstLine="0"/>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起止时间：2027年3月至2028年2月</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20" w:lineRule="exact"/>
        <w:ind w:left="0" w:right="0" w:firstLine="560" w:firstLineChars="200"/>
        <w:textAlignment w:val="auto"/>
        <w:rPr>
          <w:rFonts w:hint="default" w:ascii="仿宋_GB2312" w:eastAsia="仿宋_GB2312"/>
          <w:sz w:val="28"/>
          <w:szCs w:val="28"/>
          <w:lang w:val="en-US" w:eastAsia="zh-CN"/>
        </w:rPr>
      </w:pPr>
      <w:r>
        <w:rPr>
          <w:rFonts w:hint="eastAsia" w:ascii="仿宋_GB2312" w:hAnsi="Times New Roman" w:eastAsia="仿宋_GB2312" w:cs="Times New Roman"/>
          <w:kern w:val="2"/>
          <w:sz w:val="28"/>
          <w:szCs w:val="28"/>
          <w:lang w:val="en-US" w:eastAsia="zh-CN" w:bidi="ar-SA"/>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r>
              <w:rPr>
                <w:rFonts w:hint="eastAsia"/>
                <w:lang w:eastAsia="zh-CN"/>
              </w:rPr>
              <w:t>基于 LoRa 的南疆滴灌支管道早期故障诊断物联网原型系统</w:t>
            </w: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r>
              <w:rPr>
                <w:rFonts w:hint="eastAsia" w:ascii="黑体" w:hAnsi="黑体" w:eastAsia="黑体" w:cs="Times New Roman"/>
                <w:lang w:val="en-US" w:eastAsia="zh-CN"/>
              </w:rPr>
              <w:t>电子信息类 0807（提交前按附件6核对）</w:t>
            </w: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r>
              <w:rPr>
                <w:rFonts w:hint="eastAsia" w:ascii="黑体" w:hAnsi="黑体" w:eastAsia="黑体" w:cs="Times New Roman"/>
                <w:lang w:eastAsia="zh-CN"/>
              </w:rPr>
              <w:t>2027年3月至2028年2月</w:t>
            </w: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r>
              <w:rPr>
                <w:rFonts w:hint="eastAsia"/>
                <w:lang w:eastAsia="zh-CN"/>
              </w:rPr>
              <w:t>待本人填写</w:t>
            </w:r>
          </w:p>
        </w:tc>
        <w:tc>
          <w:tcPr>
            <w:tcW w:w="719" w:type="dxa"/>
            <w:tcBorders>
              <w:bottom w:val="single" w:color="auto" w:sz="4" w:space="0"/>
            </w:tcBorders>
            <w:noWrap w:val="0"/>
            <w:vAlign w:val="center"/>
          </w:tcPr>
          <w:p w14:paraId="6A49FCD6">
            <w:pPr>
              <w:jc w:val="center"/>
              <w:rPr>
                <w:rFonts w:hint="eastAsia" w:eastAsia="宋体"/>
                <w:lang w:eastAsia="zh-CN"/>
              </w:rPr>
            </w:pPr>
            <w:r>
              <w:rPr>
                <w:rFonts w:hint="eastAsia"/>
                <w:lang w:eastAsia="zh-CN"/>
              </w:rPr>
              <w:t>大二</w:t>
            </w: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r>
              <w:rPr>
                <w:rFonts w:hint="eastAsia"/>
                <w:lang w:eastAsia="zh-CN"/>
              </w:rPr>
              <w:t>信息工程学院 通信专业</w:t>
            </w:r>
          </w:p>
        </w:tc>
        <w:tc>
          <w:tcPr>
            <w:tcW w:w="1447" w:type="dxa"/>
            <w:gridSpan w:val="2"/>
            <w:tcBorders>
              <w:bottom w:val="single" w:color="auto" w:sz="4" w:space="0"/>
            </w:tcBorders>
            <w:noWrap w:val="0"/>
            <w:vAlign w:val="center"/>
          </w:tcPr>
          <w:p w14:paraId="7FF39869">
            <w:pPr>
              <w:jc w:val="center"/>
              <w:rPr>
                <w:rFonts w:hint="eastAsia" w:eastAsia="宋体"/>
                <w:lang w:eastAsia="zh-CN"/>
              </w:rPr>
            </w:pPr>
            <w:r>
              <w:rPr>
                <w:rFonts w:hint="eastAsia"/>
                <w:lang w:eastAsia="zh-CN"/>
              </w:rPr>
              <w:t>待填写</w:t>
            </w:r>
          </w:p>
        </w:tc>
        <w:tc>
          <w:tcPr>
            <w:tcW w:w="2689" w:type="dxa"/>
            <w:tcBorders>
              <w:bottom w:val="single" w:color="auto" w:sz="4" w:space="0"/>
            </w:tcBorders>
            <w:noWrap w:val="0"/>
            <w:vAlign w:val="center"/>
          </w:tcPr>
          <w:p w14:paraId="0D75858C">
            <w:pPr>
              <w:jc w:val="center"/>
              <w:rPr>
                <w:rFonts w:hint="eastAsia" w:eastAsia="宋体"/>
                <w:lang w:eastAsia="zh-CN"/>
              </w:rPr>
            </w:pPr>
            <w:r>
              <w:rPr>
                <w:rFonts w:hint="eastAsia"/>
                <w:lang w:eastAsia="zh-CN"/>
              </w:rPr>
              <w:t>待填写</w:t>
            </w: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r>
              <w:rPr>
                <w:rFonts w:hint="eastAsia" w:ascii="黑体" w:hAnsi="黑体" w:eastAsia="黑体" w:cs="Times New Roman"/>
                <w:lang w:val="en-US" w:eastAsia="zh-CN"/>
              </w:rPr>
              <w:t>由负责人据实填写专业学习、实践经历及实际成果。</w:t>
            </w: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r>
              <w:rPr>
                <w:rFonts w:hint="eastAsia" w:ascii="黑体" w:hAnsi="黑体" w:eastAsia="黑体" w:cs="Times New Roman"/>
                <w:lang w:val="en-US" w:eastAsia="zh-CN"/>
              </w:rPr>
              <w:t>待指导教师据实填写科研、教学及指导情况。</w:t>
            </w: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r>
              <w:rPr>
                <w:rFonts w:hint="eastAsia"/>
                <w:lang w:eastAsia="zh-CN"/>
              </w:rPr>
              <w:t>待教师确认可提供的实验空间、参考仪器、开发及研究指导条件。</w:t>
            </w: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7874409A">
            <w:pPr>
              <w:keepNext/>
              <w:keepLines/>
              <w:spacing w:beforeLines="50" w:after="100" w:line="240" w:lineRule="auto"/>
              <w:jc w:val="both"/>
              <w:rPr>
                <w:rFonts w:hint="default" w:ascii="Times New Roman" w:hAnsi="Times New Roman" w:eastAsia="宋体" w:cs="Times New Roman"/>
                <w:b/>
                <w:sz w:val="21"/>
                <w:szCs w:val="28"/>
                <w:lang w:eastAsia="zh-CN"/>
              </w:rPr>
            </w:pPr>
            <w:r>
              <w:rPr>
                <w:rFonts w:hint="default" w:ascii="Times New Roman" w:hAnsi="Times New Roman" w:eastAsia="宋体" w:cs="Times New Roman"/>
                <w:b/>
                <w:sz w:val="21"/>
                <w:szCs w:val="28"/>
                <w:lang w:eastAsia="zh-CN"/>
              </w:rPr>
              <w:t>一、项目简介（300字左右）</w:t>
            </w:r>
          </w:p>
          <w:p w14:paraId="5347262C">
            <w:pPr>
              <w:keepNext w:val="0"/>
              <w:keepLines/>
              <w:spacing w:beforeLines="50" w:after="100" w:line="240" w:lineRule="auto"/>
              <w:jc w:val="both"/>
              <w:rPr>
                <w:rFonts w:hint="default" w:ascii="Times New Roman" w:hAnsi="Times New Roman" w:eastAsia="宋体" w:cs="Times New Roman"/>
                <w:sz w:val="21"/>
                <w:szCs w:val="28"/>
                <w:lang w:eastAsia="zh-CN"/>
              </w:rPr>
            </w:pPr>
            <w:r>
              <w:rPr>
                <w:rFonts w:hint="default" w:ascii="Times New Roman" w:hAnsi="Times New Roman" w:eastAsia="宋体" w:cs="Times New Roman"/>
                <w:sz w:val="21"/>
                <w:szCs w:val="28"/>
                <w:lang w:eastAsia="zh-CN"/>
              </w:rPr>
              <w:t>本项目面向南疆滴灌支管巡检，拟研制双压力流量感知节点、LoRa接收端及本地Web组成的早期故障诊断物联网原型系统。针对供压、轮灌负载变化与渐进故障相互混淆的问题，研究等效泄漏、等效受限的可辨识条件，建立测量误差、故障程度、误报与提前量共同参与的评价方法；在统一检测规则下比较周期与事件上报，检验缓存、持久化确认和去重对远端告警的作用。建设双支路清水台架，开展参考标定、独立故障操作、正常干扰对照、跨批次验证及真实无线测试，形成从测量、有限诊断到人工核查、处置复测的可追溯原型、实验数据和研究报告。前期已形成文献、未标定模型、合成对照、参数化装配和离线网站，实物及现场验证在条件落实后开展。</w:t>
            </w: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58578D28">
            <w:pPr>
              <w:keepNext/>
              <w:keepLines/>
              <w:spacing w:beforeLines="50" w:after="100" w:line="240" w:lineRule="auto"/>
              <w:jc w:val="both"/>
              <w:rPr>
                <w:rFonts w:hint="default" w:ascii="Times New Roman" w:hAnsi="Times New Roman" w:eastAsia="宋体" w:cs="Times New Roman"/>
                <w:b/>
                <w:sz w:val="21"/>
                <w:szCs w:val="28"/>
                <w:lang w:eastAsia="zh-CN"/>
              </w:rPr>
            </w:pPr>
            <w:r>
              <w:rPr>
                <w:rFonts w:hint="default" w:ascii="Times New Roman" w:hAnsi="Times New Roman" w:eastAsia="宋体" w:cs="Times New Roman"/>
                <w:b/>
                <w:sz w:val="21"/>
                <w:szCs w:val="28"/>
                <w:lang w:eastAsia="zh-CN"/>
              </w:rPr>
              <w:t>二、申请理由（包括自身/团队具备的知识条件、特长、兴趣等）</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F06A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461F4CE">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eastAsia="zh-CN"/>
                    </w:rPr>
                  </w:pPr>
                  <w:r>
                    <w:rPr>
                      <w:rFonts w:hint="default" w:ascii="Times New Roman" w:hAnsi="Times New Roman" w:eastAsia="宋体" w:cs="Times New Roman"/>
                      <w:b/>
                      <w:sz w:val="21"/>
                      <w:szCs w:val="28"/>
                      <w:vertAlign w:val="baseline"/>
                      <w:lang w:eastAsia="zh-CN"/>
                    </w:rPr>
                    <w:t>1 应用问题与专业结合</w:t>
                  </w:r>
                  <w:r>
                    <w:rPr>
                      <w:rFonts w:hint="default" w:ascii="Times New Roman" w:hAnsi="Times New Roman" w:eastAsia="宋体" w:cs="Times New Roman"/>
                      <w:b w:val="0"/>
                      <w:sz w:val="21"/>
                      <w:szCs w:val="28"/>
                      <w:vertAlign w:val="baseline"/>
                      <w:lang w:eastAsia="zh-CN"/>
                    </w:rPr>
                    <w:br w:type="textWrapping"/>
                  </w:r>
                  <w:r>
                    <w:rPr>
                      <w:rFonts w:hint="default" w:ascii="Times New Roman" w:hAnsi="Times New Roman" w:eastAsia="宋体" w:cs="Times New Roman"/>
                      <w:b w:val="0"/>
                      <w:sz w:val="21"/>
                      <w:szCs w:val="28"/>
                      <w:vertAlign w:val="baseline"/>
                      <w:lang w:eastAsia="zh-CN"/>
                    </w:rPr>
                    <w:t>滴灌支管的流量变化既可能来自正常供压和轮灌操作，也可能来自下游泄漏或局部阻力增长。巡检人员需要知道变化发生在哪个监测区段、有什么测量依据、应先检查什么。项目以这一维护需求组织传感采集、嵌入式诊断、无线协议和管理软件，使通信专业训练对应一个可重复、可检验的系统任务。</w:t>
                  </w:r>
                </w:p>
              </w:tc>
            </w:tr>
          </w:tbl>
          <w:p w14:paraId="4E5E53F3">
            <w:pPr>
              <w:keepNext/>
              <w:keepLines/>
              <w:spacing w:line="20" w:lineRule="exact"/>
              <w:jc w:val="both"/>
              <w:rPr>
                <w:rFonts w:hint="default" w:ascii="Times New Roman" w:hAnsi="Times New Roman" w:eastAsia="宋体" w:cs="Times New Roman"/>
                <w:b w:val="0"/>
                <w:sz w:val="2"/>
                <w:szCs w:val="28"/>
                <w:lang w:eastAsia="zh-CN"/>
              </w:rPr>
            </w:pPr>
          </w:p>
          <w:p w14:paraId="4901117F">
            <w:pPr>
              <w:keepNext w:val="0"/>
              <w:keepLines/>
              <w:spacing w:beforeLines="50" w:after="100" w:line="240" w:lineRule="auto"/>
              <w:jc w:val="both"/>
              <w:rPr>
                <w:rFonts w:hint="default" w:ascii="Times New Roman" w:hAnsi="Times New Roman" w:eastAsia="宋体" w:cs="Times New Roman"/>
                <w:sz w:val="21"/>
                <w:szCs w:val="28"/>
                <w:lang w:eastAsia="zh-CN"/>
              </w:rPr>
            </w:pPr>
            <w:r>
              <w:rPr>
                <w:rFonts w:hint="default" w:ascii="Times New Roman" w:hAnsi="Times New Roman" w:eastAsia="宋体" w:cs="Times New Roman"/>
                <w:sz w:val="21"/>
                <w:szCs w:val="28"/>
                <w:lang w:eastAsia="zh-CN"/>
              </w:rPr>
              <w:t>负责人为塔里木大学信息工程学院通信专业大二学生，已确认具备焊接能力，拟在导师指导下学习定时采样、脉冲计数、串口通信及实验数据分析。前期模型与软件由辅助工具协助形成，作为可复现的方案基础；申报与实施还需成员能够独立解释、运行和修改核心代码。申报前安排一次模型、接口和事件流程的复现讲解，以实际表现确定开发职责。</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96C4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01F5F398">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eastAsia="zh-CN"/>
                    </w:rPr>
                  </w:pPr>
                  <w:r>
                    <w:rPr>
                      <w:rFonts w:hint="default" w:ascii="Times New Roman" w:hAnsi="Times New Roman" w:eastAsia="宋体" w:cs="Times New Roman"/>
                      <w:b/>
                      <w:sz w:val="21"/>
                      <w:szCs w:val="28"/>
                      <w:vertAlign w:val="baseline"/>
                      <w:lang w:eastAsia="zh-CN"/>
                    </w:rPr>
                    <w:t>2 人员分工与实施条件</w:t>
                  </w:r>
                  <w:r>
                    <w:rPr>
                      <w:rFonts w:hint="default" w:ascii="Times New Roman" w:hAnsi="Times New Roman" w:eastAsia="宋体" w:cs="Times New Roman"/>
                      <w:b w:val="0"/>
                      <w:sz w:val="21"/>
                      <w:szCs w:val="28"/>
                      <w:vertAlign w:val="baseline"/>
                      <w:lang w:eastAsia="zh-CN"/>
                    </w:rPr>
                    <w:br w:type="textWrapping"/>
                  </w:r>
                  <w:r>
                    <w:rPr>
                      <w:rFonts w:hint="default" w:ascii="Times New Roman" w:hAnsi="Times New Roman" w:eastAsia="宋体" w:cs="Times New Roman"/>
                      <w:b w:val="0"/>
                      <w:sz w:val="21"/>
                      <w:szCs w:val="28"/>
                      <w:vertAlign w:val="baseline"/>
                      <w:lang w:eastAsia="zh-CN"/>
                    </w:rPr>
                    <w:t>拟设置系统与实验、嵌入式与无线、数据与Web三个岗位，实际成员名单及能力据实补充，团队含负责人不超过5人。系统岗位负责参考测量、操作标签和原型联调；嵌入式岗位负责采集、日志、事件缓存及无线；软件岗位负责接收存储、界面、统计与复现。导师审核问题、实验方案和测量进入条件，具体支持尚待确认。</w:t>
                  </w:r>
                </w:p>
              </w:tc>
            </w:tr>
          </w:tbl>
          <w:p w14:paraId="4FBE5ECC">
            <w:pPr>
              <w:keepNext/>
              <w:keepLines/>
              <w:spacing w:line="20" w:lineRule="exact"/>
              <w:jc w:val="both"/>
              <w:rPr>
                <w:rFonts w:hint="default" w:ascii="Times New Roman" w:hAnsi="Times New Roman" w:eastAsia="宋体" w:cs="Times New Roman"/>
                <w:b w:val="0"/>
                <w:sz w:val="2"/>
                <w:szCs w:val="28"/>
                <w:lang w:eastAsia="zh-CN"/>
              </w:rPr>
            </w:pPr>
          </w:p>
          <w:p w14:paraId="0D637003">
            <w:pPr>
              <w:keepNext w:val="0"/>
              <w:keepLines/>
              <w:spacing w:beforeLines="50" w:after="100" w:line="240" w:lineRule="auto"/>
              <w:jc w:val="both"/>
              <w:rPr>
                <w:rFonts w:hint="default" w:ascii="Times New Roman" w:hAnsi="Times New Roman" w:eastAsia="宋体" w:cs="Times New Roman"/>
                <w:sz w:val="21"/>
                <w:szCs w:val="28"/>
                <w:lang w:eastAsia="zh-CN"/>
              </w:rPr>
            </w:pPr>
            <w:r>
              <w:rPr>
                <w:rFonts w:hint="default" w:ascii="Times New Roman" w:hAnsi="Times New Roman" w:eastAsia="宋体" w:cs="Times New Roman"/>
                <w:sz w:val="21"/>
                <w:szCs w:val="28"/>
                <w:lang w:eastAsia="zh-CN"/>
              </w:rPr>
              <w:t>启动经费约2000元，按已有电脑、借用可调连续水源和参考仪器估算。场地、参考压力表、称量或容积计时设备、整机电流测量和田间许可目前未落实。先联系水路实验条件和合格压力器件报价，基础验证依托清水台架；现场调查与部署另以许可和经费为条件。项目的农业意义是辅助水力异常排查，节水、增产效益需独立农学证据。</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72D66E56">
            <w:pPr>
              <w:keepNext/>
              <w:keepLines/>
              <w:spacing w:beforeLines="50" w:after="100" w:line="240" w:lineRule="auto"/>
              <w:jc w:val="both"/>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三、项目方案（项目内容、项目目标、技术路线、实验方案、要解决的主要问题）</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C5FA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13C10148">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1 总体目标与系统结构</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拟完成一个P0/P1/Q感知诊断节点、一个LoRa接收端、双支路清水台架和现有电脑上的本地Web。系统回答两个问题：低成本双压力流量测量在何种工况和误差条件下可区分等效泄漏与等效受限；在相同本地判据及确认要求下，减少上报是否仍能维持远端告警及时性。原型承担完整的测量、有限诊断、传输、人工核查和独立评价，论文从其中证据充分的问题提炼贡献。</w:t>
                  </w:r>
                </w:p>
              </w:tc>
            </w:tr>
          </w:tbl>
          <w:p w14:paraId="1772E7E3">
            <w:pPr>
              <w:keepNext/>
              <w:keepLines/>
              <w:spacing w:line="20" w:lineRule="exact"/>
              <w:jc w:val="both"/>
              <w:rPr>
                <w:rFonts w:hint="default" w:ascii="Times New Roman" w:hAnsi="Times New Roman" w:eastAsia="宋体" w:cs="Times New Roman"/>
                <w:b w:val="0"/>
                <w:sz w:val="2"/>
                <w:szCs w:val="28"/>
                <w:lang w:val="en-US" w:eastAsia="zh-CN"/>
              </w:rPr>
            </w:pPr>
          </w:p>
          <w:p w14:paraId="4F21F8A3">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图1明确设备、软件及评价职责。节点保存采集记录和待确认事件，LoRa模块承担无线与串口桥接；接收持久化与去重由PC服务完成，数据库提交后才发送匹配ACK。Web记录已查看、处置和复测，独立操作标签及参考测量用于评价，三者分别留痕。</w:t>
            </w:r>
          </w:p>
          <w:p w14:paraId="371139B5">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系统职责与独立评价关系 拟实施方案" type="#_x0000_t75" style="height:289.8pt;width:42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图1 系统职责与独立评价关系 拟实施方案</w:t>
            </w:r>
          </w:p>
          <w:p w14:paraId="599D9EBA">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位置范围限定为所监测支管及两压力点包围区段。双支路提供共同供水和正常切换条件，只有A布设一个感知节点。自动阀控、云端、多节点和太阳能不是基础交付；它们需要新增设备、资源和独立验证。系统图中的联调链路是实施目标，当前离线Web没有连接节点或PC接收服务。</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3CEB9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478F27D">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2 水路与三维实验平台</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sz w:val="21"/>
                      <w:szCs w:val="28"/>
                      <w:vertAlign w:val="baseline"/>
                      <w:lang w:val="en-US" w:eastAsia="zh-CN"/>
                    </w:rPr>
                    <w:t>2.1 测点与独立故障标签</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监测水路依次为P0侧向取压、受限元件R、P1侧向取压、Q，随后分为正常A负载与泄漏旁路。Q记录两者总流量，两个压力点包围受限区段。B支路同源供水，仅制造正常共同负载扰动，不增加第二监测节点。图2规定测点、分流及故障位置，与模型和实验标签保持一致。</w:t>
                  </w:r>
                </w:p>
              </w:tc>
            </w:tr>
          </w:tbl>
          <w:p w14:paraId="55556E07">
            <w:pPr>
              <w:keepNext/>
              <w:keepLines/>
              <w:spacing w:line="20" w:lineRule="exact"/>
              <w:jc w:val="both"/>
              <w:rPr>
                <w:rFonts w:hint="default" w:ascii="Times New Roman" w:hAnsi="Times New Roman" w:eastAsia="宋体" w:cs="Times New Roman"/>
                <w:b w:val="0"/>
                <w:sz w:val="2"/>
                <w:szCs w:val="28"/>
                <w:lang w:val="en-US" w:eastAsia="zh-CN"/>
              </w:rPr>
            </w:pPr>
          </w:p>
          <w:p w14:paraId="7B346E5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清水台架与故障注入位置 原理关系示意" type="#_x0000_t75" style="height:273pt;width:4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图2 双支路清水台架与故障注入位置 原理关系示意</w:t>
            </w:r>
          </w:p>
          <w:p w14:paraId="7D2D0C8E">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逐步打开旁路形成等效泄漏，用独立收集与计时确定泄漏流量；调节R形成等效受限，记录阀操作并用参考压力流量核对程度。受限实验评价集中阻力变化的水力响应，不据此解释泥沙、化学或生物堵塞机理。操作标签与参考记录单独保存，不能由检测曲线反推故障真值。</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2A9F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254C1EE">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2.2 装配布局与计量条件</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图3来自同一参数化实体场景，安排侧向取压、活接、支架、采集盒、回水与独立收集。900×520mm底板、140mm管中心高度是暂定布局参数，不是定制平台采购要求；器件包络、螺纹、安装长度及流量计前后直管要求需按实际选型冻结。STEP和GLB用于核查布局与检修关系，模型未制造。</w:t>
                  </w:r>
                </w:p>
              </w:tc>
            </w:tr>
          </w:tbl>
          <w:p w14:paraId="6E792148">
            <w:pPr>
              <w:keepNext/>
              <w:keepLines/>
              <w:spacing w:line="20" w:lineRule="exact"/>
              <w:jc w:val="both"/>
              <w:rPr>
                <w:rFonts w:hint="default" w:ascii="Times New Roman" w:hAnsi="Times New Roman" w:eastAsia="宋体" w:cs="Times New Roman"/>
                <w:b w:val="0"/>
                <w:sz w:val="2"/>
                <w:szCs w:val="28"/>
                <w:lang w:val="en-US" w:eastAsia="zh-CN"/>
              </w:rPr>
            </w:pPr>
          </w:p>
          <w:p w14:paraId="76AE5D2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台架装配及独立收集布局 未制造概念模型" type="#_x0000_t75" style="height:378.85pt;width:42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图3 台架装配及独立收集布局 未制造概念模型</w:t>
            </w:r>
          </w:p>
          <w:p w14:paraId="13CD0641">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当前24组模型网格最大泄漏1.055L/min，候选空腔几何容量678.6mL。原30秒取样乘1.25余量需659.4mL，尚未扣除防溅和安全液位；本轮改为拟采用20秒分次取样，按同一上界需要439.6mL。实施前量取实际有效容量，至少达到440mL方采用该时长；实际泄漏超过模型上界时重算。杯口与出口保持20mm自由出流间隙，收集不得淹没出口或形成背压。长时实验另设排水，计时与称量误差须纳入标定。容量及取样窗口分析另附电子图，不把空腔计算当作容器实测。</w:t>
            </w:r>
          </w:p>
          <w:p w14:paraId="2E4E4C95">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前序已检查相关部件局部实体交集和20个离散取出位置，结果仅支持概念布局；全装配干涉、连续取出、密封耐压、防水及人体操作仍待验证。水路装配先检查固定、排气与漏水，再做稳定性和参考计量，合格后进入故障实验。</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10CB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63FA586">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 节点采集与测量建模</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sz w:val="21"/>
                      <w:szCs w:val="28"/>
                      <w:vertAlign w:val="baseline"/>
                      <w:lang w:val="en-US" w:eastAsia="zh-CN"/>
                    </w:rPr>
                    <w:t>3.1 候选硬件与接口</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节点采用STM32F103C8T6开发板候选，按64KB Flash、20KB SRAM规划；双压力采用MPM489系列或满足同等条件的器件，询价条件明确为表压0—200kPa、两线制4—20mA、A1或供方书面确认的±0.25%FS等级。型号系列不代表已获得所需规格。ADS1115通过I²C采集压力，SEN0549通过定时器计数，microSD经SPI保存记录，E220-400T22D通过UART连接。接收端为另一只E220及3.3V逻辑USB-TTL接电脑，不增加第二主控。</w:t>
                  </w:r>
                </w:p>
              </w:tc>
            </w:tr>
          </w:tbl>
          <w:p w14:paraId="201271FE">
            <w:pPr>
              <w:keepNext/>
              <w:keepLines/>
              <w:spacing w:line="20" w:lineRule="exact"/>
              <w:jc w:val="both"/>
              <w:rPr>
                <w:rFonts w:hint="default" w:ascii="Times New Roman" w:hAnsi="Times New Roman" w:eastAsia="宋体" w:cs="Times New Roman"/>
                <w:b w:val="0"/>
                <w:sz w:val="2"/>
                <w:szCs w:val="28"/>
                <w:lang w:val="en-US" w:eastAsia="zh-CN"/>
              </w:rPr>
            </w:pPr>
          </w:p>
          <w:p w14:paraId="4244AFE5">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图4把压力回路与流量电平放在同一采集论证中。24V压力回路经150Ω电阻得到0.6—3.0V，正常20mA时耗散0.06W，候选电阻0.1%、不低于0.25W。ADS1115为3.3V供电、±4.096V增益档，PGA不扩大引脚允许电压；22mA故障电流已使采样达到3.3V，限流、钳位、断电注入和共地必须另行定值与验证。该图是功能原理，不是可直接投板的制造图。</w:t>
            </w:r>
          </w:p>
          <w:p w14:paraId="52C57BBD">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双压力与流量采集接口 功能设计 保护定值待验证" type="#_x0000_t75" style="height:390.6pt;width:42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图4 双压力与流量采集接口 功能设计 保护定值待验证</w:t>
            </w:r>
          </w:p>
          <w:p w14:paraId="4E1A82E7">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SEN0549候选为5V供电、0.3—5L/min、540脉冲/L，脉冲经3.3V供电SN74LVC1G17转换至MCU输入。LoRa供电拟5V，UART逻辑仍为3.3V；两类电压不能混用。3.3V和5V电源各按不低于1A的设计预留核对，但这不是实测最大电流保证，需检验SD写入与发射同时发生的瞬态。前序17个候选引脚没有重复占用，编译后的Flash/RAM、实板引脚、模块固件与整机供电尚待检查。</w:t>
            </w:r>
          </w:p>
          <w:p w14:paraId="4043F4E8">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采集初版每1秒记录，压力分时转换与流量10秒滚动脉冲计数保留各自时间。128SPS设定下两次名义转换共15.625ms、中点错位约7.813ms，不含总线和时钟误差。计数一个脉冲在10秒窗对应0.01111L/min，1秒窗对应0.11111L/min；记录原始计数、窗口和时间，评价分辨率与延迟取舍。新增20,000组恒定流量与脉冲相位枚举验证理想计数步长，未包含抖动、漏脉冲及器件误差。现有高斯诊断回放未实现脉冲计数；实施时须另测10秒窗约5秒均值滞后对提前量的影响，不能将这些计算写成固件验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6371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90ED41E">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3.2 参考标定与误差进入条件</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先用独立参考压力表完成零点及工作范围内不少于5点的升降压标定，每点至少3次独立稳定读取，检验两压力通道在共同压力下的差值。流量用容积或称量计时在至少5个工作点校核，并检查取样时长、重复性和计数。保存参考仪器信息、原始值、拟合参数、残差、温度及时间，标定批次与后续验证分开。</w:t>
                  </w:r>
                </w:p>
              </w:tc>
            </w:tr>
          </w:tbl>
          <w:p w14:paraId="386453E6">
            <w:pPr>
              <w:keepNext/>
              <w:keepLines/>
              <w:spacing w:line="20" w:lineRule="exact"/>
              <w:jc w:val="both"/>
              <w:rPr>
                <w:rFonts w:hint="default" w:ascii="Times New Roman" w:hAnsi="Times New Roman" w:eastAsia="宋体" w:cs="Times New Roman"/>
                <w:b w:val="0"/>
                <w:sz w:val="2"/>
                <w:szCs w:val="28"/>
                <w:lang w:val="en-US" w:eastAsia="zh-CN"/>
              </w:rPr>
            </w:pPr>
          </w:p>
          <w:p w14:paraId="210415D8">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0.25%FS、200kPa条件下单压力标称界限为±0.5kPa，两路最不利差压界限1kPa，尚未包含调理、ADC、温漂与参考误差。随机相关性影响差压方差，偏差不会被均值消除；据实估计误差及协方差，不把ADC码宽当整机准确度。进入辨识实验前，要求目标变化相对扩展不确定度能够分离，初步以变化约为不确定度两倍作为保守预实验审查线，具体口径由导师冻结。</w:t>
            </w:r>
          </w:p>
          <w:p w14:paraId="6BBCB0C6">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若不满足，优先改量程、布点或可检程度，再重新标定；不得仅增加滤波次数兑现微小故障检出目标。流量公开±1%规格的基准尚待书面核对，暂同时分析按读数与按量程上限的误差假设。</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8197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04915E9">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3.3 等效模型与适用条件</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采用P0−P1=R·Q²、Q=(Cₙ+Cₗ)√P1的集中参数模型，用共同供水阻力连接A/B。R增大表示监测区段受限，Cₗ增大表示泄漏，但未知正常负载Cₙ增加也可形成相同观测。P单位kPa、Q单位L/min，R单位kPa/(L/min)²，C单位(L/min)/√kPa。模型用于布点、量程及辨识反例，不替代分布出流管网或CFD标定[2,3,12]。</w:t>
                  </w:r>
                </w:p>
              </w:tc>
            </w:tr>
          </w:tbl>
          <w:p w14:paraId="6D41AECE">
            <w:pPr>
              <w:keepNext/>
              <w:keepLines/>
              <w:spacing w:line="20" w:lineRule="exact"/>
              <w:jc w:val="both"/>
              <w:rPr>
                <w:rFonts w:hint="default" w:ascii="Times New Roman" w:hAnsi="Times New Roman" w:eastAsia="宋体" w:cs="Times New Roman"/>
                <w:b w:val="0"/>
                <w:sz w:val="2"/>
                <w:szCs w:val="28"/>
                <w:lang w:val="en-US" w:eastAsia="zh-CN"/>
              </w:rPr>
            </w:pPr>
          </w:p>
          <w:p w14:paraId="1EBB16B6">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当前设计为健康C=0.28、R=0.8，泄漏总C渐增至0.37，受限R渐增至8。三档供压与B开关等24组网格中A流量1.85—4.34L/min，模型最大供水总流量约7.95L/min。水源必须在同一连续压力—流量工作点满足需求，不能拼接商品最大流量和截止压力。网格覆盖是枚举计算，不是完整工作空间保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9584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1B00F6F">
                  <w:pPr>
                    <w:keepNext w:val="0"/>
                    <w:keepLines/>
                    <w:pageBreakBefore w:val="0"/>
                    <w:spacing w:beforeLines="50" w:after="100" w:line="240" w:lineRule="auto"/>
                    <w:jc w:val="both"/>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对288个静态有界误差组合分别检查健康与故障区间分离以及固定阈值触发余量。部分工况存在区间可分而现有阈值仍不能触发的情况，因此误差论证和在线检测结果分开报告。健康负载压力补偿或指数失配时先检验实测关系，修订经验曲线和适用范围；现有平方律结论不直接推广到所有滴灌负载。</w:t>
                  </w:r>
                </w:p>
              </w:tc>
            </w:tr>
          </w:tbl>
          <w:p w14:paraId="0712DE50">
            <w:pPr>
              <w:keepNext w:val="0"/>
              <w:keepLines/>
              <w:spacing w:line="20" w:lineRule="exact"/>
              <w:jc w:val="both"/>
              <w:rPr>
                <w:rFonts w:hint="default" w:ascii="Times New Roman" w:hAnsi="Times New Roman" w:eastAsia="宋体" w:cs="Times New Roman"/>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03E6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62019F4A">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4 渐进故障诊断与早期评价</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sz w:val="21"/>
                      <w:szCs w:val="28"/>
                      <w:vertAlign w:val="baseline"/>
                      <w:lang w:val="en-US" w:eastAsia="zh-CN"/>
                    </w:rPr>
                    <w:t>4.1 特征与有条件的模式输出</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利用K=Q/√P1描述下游等效负载，R̂=(P0−P1)/Q²描述监测区段阻力。拟实施流程见图5：首先检查量程、缺测及参考有效性，再确认运行工况可比，计算特征和误差区间，最后进行持续确认。工况未知或切换等待期间继续记录原始数据，暂缓单一原因判断，并统计该时间内的故障遗漏。</w:t>
                  </w:r>
                </w:p>
              </w:tc>
            </w:tr>
          </w:tbl>
          <w:p w14:paraId="67133FA0">
            <w:pPr>
              <w:keepNext/>
              <w:keepLines/>
              <w:spacing w:line="20" w:lineRule="exact"/>
              <w:jc w:val="both"/>
              <w:rPr>
                <w:rFonts w:hint="default" w:ascii="Times New Roman" w:hAnsi="Times New Roman" w:eastAsia="宋体" w:cs="Times New Roman"/>
                <w:b w:val="0"/>
                <w:sz w:val="2"/>
                <w:szCs w:val="28"/>
                <w:lang w:val="en-US" w:eastAsia="zh-CN"/>
              </w:rPr>
            </w:pPr>
          </w:p>
          <w:p w14:paraId="0DE6B01B">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质量与工况辅助诊断流程 拟实施 门控尚未实现" type="#_x0000_t75" style="height:357pt;width:420pt;" filled="f" o:preferrelative="t" stroked="f" coordsize="21600,21600">
                  <v:path/>
                  <v:fill on="f" focussize="0,0"/>
                  <v:stroke on="f"/>
                  <v:imagedata r:id="rId10"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图5 质量与工况辅助诊断流程 拟实施 门控尚未实现</w:t>
            </w:r>
          </w:p>
          <w:p w14:paraId="67A2E791">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输出为等效泄漏候选、等效受限候选、异常待检查或数据无效，附原始观测、特征偏离、阀态、质量与参照版本。K增加而R̂近似稳定时提示检查泄漏及正常负载变化；R̂增加时同时核查受限及压力偏置。两个特征同时变化或证据不足时不强制归因。真实原因仍由独立操作、参考测量和现场检查确认。</w:t>
            </w:r>
          </w:p>
          <w:p w14:paraId="1B26B983">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当前合成规则仅实现10样本因果均值、K相对参照增加6%、R̂绝对增加0.6及连续5次确认，未实现图5的操作门控、区间分类或自动参照迁移。实施阶段先完成基线复现，再加入可比性门控并作消融，不能把拟研究部分算入现有成果。</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D700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4D34DA8">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4.2 独立参照与评价目标</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实测拟以参考流量相对同供压、同B状态健康值的偏离定义5%、10%、15%程度，并分别核对泄漏收集量及受限操作。15%仅为当前演示失效参照，实际范围由预实验和导师在验证前冻结；它不等于泄漏占比、产量损失或农业失效标准。故障操作起点、独立参照、本地首次持续正确提示及远端首次持久化分别记录。</w:t>
                  </w:r>
                </w:p>
              </w:tc>
            </w:tr>
          </w:tbl>
          <w:p w14:paraId="6A6FDC78">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56FA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4BC91BB">
                  <w:pPr>
                    <w:keepNext w:val="0"/>
                    <w:keepLines/>
                    <w:pageBreakBefore w:val="0"/>
                    <w:spacing w:beforeLines="50" w:after="100" w:line="240" w:lineRule="auto"/>
                    <w:jc w:val="both"/>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有效早期要求故障前无确认误报、故障后首次确认模式正确且早于独立参照。报告每个独立试次的漏检、先错后对、迟检及未检出，不只平均成功提前量。拟定挑战目标是在通过测量进入审查的适用范围内，10%及15%故障组首次持续候选正确比例达到90%，正常运行确认误报不高于1次/小时，并评价到达15%参照前的有效早期比例；5%作为测量与辨识边界挑战，不预先承诺全部检出。以上均为研究目标而非已有性能，预实验后由导师核定并随任务书冻结；正式验证不回调阈值，未达标时保留结果、误差原因与任务调整记录。</w:t>
                  </w:r>
                </w:p>
              </w:tc>
            </w:tr>
          </w:tbl>
          <w:p w14:paraId="62617529">
            <w:pPr>
              <w:keepNext w:val="0"/>
              <w:keepLines/>
              <w:spacing w:line="20" w:lineRule="exact"/>
              <w:jc w:val="both"/>
              <w:rPr>
                <w:rFonts w:hint="default" w:ascii="Times New Roman" w:hAnsi="Times New Roman" w:eastAsia="宋体" w:cs="Times New Roman"/>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303C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D79D4EA">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5 LoRa可靠告警与接收服务</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节点把事件写入本地日志和待确认队列后发送，候选身份包含device、boot/session和seq，保存发生时刻、质量及测量摘要。现有主机协议候选采用44B事件、24B ACK及CRC校验与COBS串口定界。PC服务检查帧和身份，SQLite提交成功后发送匹配ACK；重复同内容事件只重发ACK，身份相同而内容不同则拒绝覆盖。图6分别展示正常确认和ACK丢失路径。</w:t>
                  </w:r>
                </w:p>
              </w:tc>
            </w:tr>
          </w:tbl>
          <w:p w14:paraId="367A50D8">
            <w:pPr>
              <w:keepNext/>
              <w:keepLines/>
              <w:spacing w:line="20" w:lineRule="exact"/>
              <w:jc w:val="both"/>
              <w:rPr>
                <w:rFonts w:hint="default" w:ascii="Times New Roman" w:hAnsi="Times New Roman" w:eastAsia="宋体" w:cs="Times New Roman"/>
                <w:b w:val="0"/>
                <w:sz w:val="2"/>
                <w:szCs w:val="28"/>
                <w:lang w:val="en-US" w:eastAsia="zh-CN"/>
              </w:rPr>
            </w:pPr>
          </w:p>
          <w:p w14:paraId="04C7A66B">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已完成字节编码和主机事务的独立检查，节点microSD恢复日志、boot身份分配及真实串口尚待实现。AUX含义随模块固件和配置变化，缓冲空闲不一定表示空中发送完成，更不等于远端ACK；实施前读取固件和参数并测实际时序。M0/M1、天线、UART、射频设置、载荷与重试参数保存在配置版本中。</w:t>
            </w:r>
          </w:p>
          <w:p w14:paraId="46A6D0ED">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比较快周期、慢周期、原始事件和滤波限频事件四策略，共用本地检测记录、载荷、确认、实际链路与时间基准。分别记录本地提示延迟、远端持久化延迟、P50/P95、期限内送达比例、未送达、重试和重复；帧数、字节及无线占用与整机能量分开。历史FIFO反例中首事件丢ACK使后续事件等待61秒，现有方案不承诺20秒送达或必然送达。拟比较限重试与队列调度，超期、拒绝入队和无法恢复的缺口显式记录，不静默丢弃。</w:t>
            </w:r>
          </w:p>
          <w:p w14:paraId="1B6ED1FE">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持久化确认与丢ACK重试关系 候选协议 非真实射频" type="#_x0000_t75" style="height:390.6pt;width:420pt;" filled="f" o:preferrelative="t" stroked="f" coordsize="21600,21600">
                  <v:path/>
                  <v:fill on="f" focussize="0,0"/>
                  <v:stroke on="f"/>
                  <v:imagedata r:id="rId11"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图6 持久化确认与丢ACK重试关系 候选协议 非真实射频</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D203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6E18743">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6 本地Web与维护复测</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运行网站提供总览、支管监测、异常事件、设备链路、历史记录和设置。当前已实现合成回放、质量状态、连续候选去重、快照冻结、查看处置、复测依据、本地保存和CSV/JSON导出。图7为当前主站原生局部截图；截图里的读数和候选来自合成数据，真实LoRa未接入。</w:t>
                  </w:r>
                </w:p>
              </w:tc>
            </w:tr>
          </w:tbl>
          <w:p w14:paraId="7F38AB6F">
            <w:pPr>
              <w:keepNext/>
              <w:keepLines/>
              <w:pageBreakBefore/>
              <w:spacing w:line="20" w:lineRule="exact"/>
              <w:jc w:val="both"/>
              <w:rPr>
                <w:rFonts w:hint="default" w:ascii="Times New Roman" w:hAnsi="Times New Roman" w:eastAsia="宋体" w:cs="Times New Roman"/>
                <w:b w:val="0"/>
                <w:sz w:val="2"/>
                <w:szCs w:val="28"/>
                <w:lang w:val="en-US" w:eastAsia="zh-CN"/>
              </w:rPr>
            </w:pPr>
          </w:p>
          <w:p w14:paraId="527C552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当前离线Web诊断卡片 原生截图 合成观测 未接实物" type="#_x0000_t75" style="height:475.05pt;width:390pt;" filled="f" o:preferrelative="t" stroked="f" coordsize="21600,21600">
                  <v:path/>
                  <v:fill on="f" focussize="0,0"/>
                  <v:stroke on="f"/>
                  <v:imagedata r:id="rId12"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图7 当前离线Web诊断卡片 原生截图 合成观测 未接实物</w:t>
            </w:r>
          </w:p>
          <w:p w14:paraId="3BD17C6A">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实施阶段由Python串口服务写入SQLite，Web读取真实记录，并关联试次、事件、配置与健康参照。断连显示无当前有效判断，不能拿旧值显示正常。人工已查看、处置及同工况复测分别留痕；数据无效、工况不可比或异常仍在时不归档。无线ACK只表示接收提交，人工归档只记录维护结论，不能互相代替。</w:t>
            </w:r>
          </w:p>
          <w:p w14:paraId="192EBC48">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联调先有线采集与原始日志，再接无线及PC服务，最后接网站。验收以同一事件的采集、判定、发送、持久化、显示与人工记录为链，至少完成两类故障的处置复测和一次误报核查，检查日志能否重建全过程。当前localStorage演示与已检查的主机SQLite是独立软件，尚未贯通。</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C0C0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C472E5A">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7 四工作包与分层实验</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表1把完整系统任务对应到交付与进入条件。系统集成是结项必做，测量边界和诊断比较形成主论文候选；真实告警调度取舍作为备选研究问题。每个工作包保留程序、配置、原始记录和失败清单，不以界面截图替代性能评价。</w:t>
                  </w:r>
                </w:p>
              </w:tc>
            </w:tr>
          </w:tbl>
          <w:p w14:paraId="1321F70D">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85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0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val="0"/>
                    <w:keepLines/>
                    <w:spacing w:beforeLines="50" w:after="140" w:line="240" w:lineRule="auto"/>
                    <w:jc w:val="both"/>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表1 四工作包与验证交付</w:t>
                  </w:r>
                </w:p>
                <w:tbl>
                  <w:tblPr>
                    <w:tblStyle w:val="6"/>
                    <w:tblW w:w="8500" w:type="dxa"/>
                    <w:tblInd w:w="3"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00"/>
                    <w:gridCol w:w="2000"/>
                    <w:gridCol w:w="2900"/>
                    <w:gridCol w:w="2200"/>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trPr>
                    <w:tc>
                      <w:tcPr>
                        <w:tcW w:w="1400" w:type="dxa"/>
                        <w:tcBorders>
                          <w:tl2br w:val="nil"/>
                          <w:tr2bl w:val="nil"/>
                        </w:tcBorders>
                        <w:shd w:val="clear" w:color="auto" w:fill="EDEDED"/>
                        <w:vAlign w:val="center"/>
                      </w:tcPr>
                      <w:p w14:paraId="4930BD0F">
                        <w:pPr>
                          <w:keepNext/>
                          <w:keepLines/>
                          <w:spacing w:beforeLines="50" w:after="40" w:line="240" w:lineRule="auto"/>
                          <w:jc w:val="both"/>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工作包</w:t>
                        </w:r>
                      </w:p>
                    </w:tc>
                    <w:tc>
                      <w:tcPr>
                        <w:tcW w:w="2000" w:type="dxa"/>
                        <w:tcBorders>
                          <w:tl2br w:val="nil"/>
                          <w:tr2bl w:val="nil"/>
                        </w:tcBorders>
                        <w:shd w:val="clear" w:color="auto" w:fill="EDEDED"/>
                        <w:vAlign w:val="center"/>
                      </w:tcPr>
                      <w:p w14:paraId="37A4E048">
                        <w:pPr>
                          <w:keepNext/>
                          <w:keepLines/>
                          <w:spacing w:beforeLines="50" w:after="40" w:line="240" w:lineRule="auto"/>
                          <w:jc w:val="both"/>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必交付</w:t>
                        </w:r>
                      </w:p>
                    </w:tc>
                    <w:tc>
                      <w:tcPr>
                        <w:tcW w:w="2900" w:type="dxa"/>
                        <w:tcBorders>
                          <w:tl2br w:val="nil"/>
                          <w:tr2bl w:val="nil"/>
                        </w:tcBorders>
                        <w:shd w:val="clear" w:color="auto" w:fill="EDEDED"/>
                        <w:vAlign w:val="center"/>
                      </w:tcPr>
                      <w:p w14:paraId="0DDB538E">
                        <w:pPr>
                          <w:keepNext/>
                          <w:keepLines/>
                          <w:spacing w:beforeLines="50" w:after="40" w:line="240" w:lineRule="auto"/>
                          <w:jc w:val="both"/>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评价及进入条件</w:t>
                        </w:r>
                      </w:p>
                    </w:tc>
                    <w:tc>
                      <w:tcPr>
                        <w:tcW w:w="2200" w:type="dxa"/>
                        <w:tcBorders>
                          <w:tl2br w:val="nil"/>
                          <w:tr2bl w:val="nil"/>
                        </w:tcBorders>
                        <w:shd w:val="clear" w:color="auto" w:fill="EDEDED"/>
                        <w:vAlign w:val="center"/>
                      </w:tcPr>
                      <w:p w14:paraId="25B59D82">
                        <w:pPr>
                          <w:keepNext/>
                          <w:keepLines/>
                          <w:spacing w:beforeLines="50" w:after="40" w:line="240" w:lineRule="auto"/>
                          <w:jc w:val="both"/>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证据与资源</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400" w:type="dxa"/>
                        <w:tcBorders>
                          <w:tl2br w:val="nil"/>
                          <w:tr2bl w:val="nil"/>
                        </w:tcBorders>
                        <w:shd w:val="clear" w:color="auto" w:fill="FFFFFF"/>
                        <w:vAlign w:val="center"/>
                      </w:tcPr>
                      <w:p w14:paraId="7754E0D2">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WP1 测量建模</w:t>
                        </w:r>
                      </w:p>
                    </w:tc>
                    <w:tc>
                      <w:tcPr>
                        <w:tcW w:w="2000" w:type="dxa"/>
                        <w:tcBorders>
                          <w:tl2br w:val="nil"/>
                          <w:tr2bl w:val="nil"/>
                        </w:tcBorders>
                        <w:shd w:val="clear" w:color="auto" w:fill="FFFFFF"/>
                        <w:vAlign w:val="center"/>
                      </w:tcPr>
                      <w:p w14:paraId="081C0F34">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台架、节点、有线日志与标定参数</w:t>
                        </w:r>
                      </w:p>
                    </w:tc>
                    <w:tc>
                      <w:tcPr>
                        <w:tcW w:w="2900" w:type="dxa"/>
                        <w:tcBorders>
                          <w:tl2br w:val="nil"/>
                          <w:tr2bl w:val="nil"/>
                        </w:tcBorders>
                        <w:shd w:val="clear" w:color="auto" w:fill="FFFFFF"/>
                        <w:vAlign w:val="center"/>
                      </w:tcPr>
                      <w:p w14:paraId="0B599AE7">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多点误差、重复性、共同压力差值；目标变化可分后进入WP2</w:t>
                        </w:r>
                      </w:p>
                    </w:tc>
                    <w:tc>
                      <w:tcPr>
                        <w:tcW w:w="2200" w:type="dxa"/>
                        <w:tcBorders>
                          <w:tl2br w:val="nil"/>
                          <w:tr2bl w:val="nil"/>
                        </w:tcBorders>
                        <w:shd w:val="clear" w:color="auto" w:fill="FFFFFF"/>
                        <w:vAlign w:val="center"/>
                      </w:tcPr>
                      <w:p w14:paraId="69C26562">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原始参考记录；水源、压力表、计量工具</w:t>
                        </w:r>
                      </w:p>
                    </w:tc>
                  </w:tr>
                  <w:tr w14:paraId="39D97AB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400" w:type="dxa"/>
                        <w:tcBorders>
                          <w:tl2br w:val="nil"/>
                          <w:tr2bl w:val="nil"/>
                        </w:tcBorders>
                        <w:shd w:val="clear" w:color="auto" w:fill="FFFFFF"/>
                        <w:vAlign w:val="center"/>
                      </w:tcPr>
                      <w:p w14:paraId="0AA055BC">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WP2 诊断边界</w:t>
                        </w:r>
                      </w:p>
                    </w:tc>
                    <w:tc>
                      <w:tcPr>
                        <w:tcW w:w="2000" w:type="dxa"/>
                        <w:tcBorders>
                          <w:tl2br w:val="nil"/>
                          <w:tr2bl w:val="nil"/>
                        </w:tcBorders>
                        <w:shd w:val="clear" w:color="auto" w:fill="FFFFFF"/>
                        <w:vAlign w:val="center"/>
                      </w:tcPr>
                      <w:p w14:paraId="3C86DF91">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冻结规则、正常干扰及故障验证</w:t>
                        </w:r>
                      </w:p>
                    </w:tc>
                    <w:tc>
                      <w:tcPr>
                        <w:tcW w:w="2900" w:type="dxa"/>
                        <w:tcBorders>
                          <w:tl2br w:val="nil"/>
                          <w:tr2bl w:val="nil"/>
                        </w:tcBorders>
                        <w:shd w:val="clear" w:color="auto" w:fill="FFFFFF"/>
                        <w:vAlign w:val="center"/>
                      </w:tcPr>
                      <w:p w14:paraId="416758C0">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试次级误报/漏检、模式、程度、有效提前量；未知负载另报</w:t>
                        </w:r>
                      </w:p>
                    </w:tc>
                    <w:tc>
                      <w:tcPr>
                        <w:tcW w:w="2200" w:type="dxa"/>
                        <w:tcBorders>
                          <w:tl2br w:val="nil"/>
                          <w:tr2bl w:val="nil"/>
                        </w:tcBorders>
                        <w:shd w:val="clear" w:color="auto" w:fill="FFFFFF"/>
                        <w:vAlign w:val="center"/>
                      </w:tcPr>
                      <w:p w14:paraId="597A68B7">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独立操作标签、留出批次与强基线</w:t>
                        </w:r>
                      </w:p>
                    </w:tc>
                  </w:tr>
                  <w:tr w14:paraId="1411EBC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400" w:type="dxa"/>
                        <w:tcBorders>
                          <w:tl2br w:val="nil"/>
                          <w:tr2bl w:val="nil"/>
                        </w:tcBorders>
                        <w:shd w:val="clear" w:color="auto" w:fill="FFFFFF"/>
                        <w:vAlign w:val="center"/>
                      </w:tcPr>
                      <w:p w14:paraId="0D33DB5F">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WP3 可靠告警</w:t>
                        </w:r>
                      </w:p>
                    </w:tc>
                    <w:tc>
                      <w:tcPr>
                        <w:tcW w:w="2000" w:type="dxa"/>
                        <w:tcBorders>
                          <w:tl2br w:val="nil"/>
                          <w:tr2bl w:val="nil"/>
                        </w:tcBorders>
                        <w:shd w:val="clear" w:color="auto" w:fill="FFFFFF"/>
                        <w:vAlign w:val="center"/>
                      </w:tcPr>
                      <w:p w14:paraId="5C3220BF">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节点缓存、接收提交后ACK与去重</w:t>
                        </w:r>
                      </w:p>
                    </w:tc>
                    <w:tc>
                      <w:tcPr>
                        <w:tcW w:w="2900" w:type="dxa"/>
                        <w:tcBorders>
                          <w:tl2br w:val="nil"/>
                          <w:tr2bl w:val="nil"/>
                        </w:tcBorders>
                        <w:shd w:val="clear" w:color="auto" w:fill="FFFFFF"/>
                        <w:vAlign w:val="center"/>
                      </w:tcPr>
                      <w:p w14:paraId="11D7916E">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远端延迟、未送达、重复、溢出、恢复及真实通信取舍</w:t>
                        </w:r>
                      </w:p>
                    </w:tc>
                    <w:tc>
                      <w:tcPr>
                        <w:tcW w:w="2200" w:type="dxa"/>
                        <w:tcBorders>
                          <w:tl2br w:val="nil"/>
                          <w:tr2bl w:val="nil"/>
                        </w:tcBorders>
                        <w:shd w:val="clear" w:color="auto" w:fill="FFFFFF"/>
                        <w:vAlign w:val="center"/>
                      </w:tcPr>
                      <w:p w14:paraId="05B97AAA">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发收日志、固件配置；电流测量借用</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400" w:type="dxa"/>
                        <w:tcBorders>
                          <w:tl2br w:val="nil"/>
                          <w:tr2bl w:val="nil"/>
                        </w:tcBorders>
                        <w:shd w:val="clear" w:color="auto" w:fill="FFFFFF"/>
                        <w:vAlign w:val="center"/>
                      </w:tcPr>
                      <w:p w14:paraId="2F9B6E7D">
                        <w:pPr>
                          <w:keepNext w:val="0"/>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WP4 系统集成</w:t>
                        </w:r>
                      </w:p>
                    </w:tc>
                    <w:tc>
                      <w:tcPr>
                        <w:tcW w:w="2000" w:type="dxa"/>
                        <w:tcBorders>
                          <w:tl2br w:val="nil"/>
                          <w:tr2bl w:val="nil"/>
                        </w:tcBorders>
                        <w:shd w:val="clear" w:color="auto" w:fill="FFFFFF"/>
                        <w:vAlign w:val="center"/>
                      </w:tcPr>
                      <w:p w14:paraId="163F2CDC">
                        <w:pPr>
                          <w:keepNext w:val="0"/>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六模块Web、真实接入与维护记录</w:t>
                        </w:r>
                      </w:p>
                    </w:tc>
                    <w:tc>
                      <w:tcPr>
                        <w:tcW w:w="2900" w:type="dxa"/>
                        <w:tcBorders>
                          <w:tl2br w:val="nil"/>
                          <w:tr2bl w:val="nil"/>
                        </w:tcBorders>
                        <w:shd w:val="clear" w:color="auto" w:fill="FFFFFF"/>
                        <w:vAlign w:val="center"/>
                      </w:tcPr>
                      <w:p w14:paraId="57372FF2">
                        <w:pPr>
                          <w:keepNext w:val="0"/>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同事件链可追溯；8小时记录、至少3次重启、两类故障复测</w:t>
                        </w:r>
                      </w:p>
                    </w:tc>
                    <w:tc>
                      <w:tcPr>
                        <w:tcW w:w="2200" w:type="dxa"/>
                        <w:tcBorders>
                          <w:tl2br w:val="nil"/>
                          <w:tr2bl w:val="nil"/>
                        </w:tcBorders>
                        <w:shd w:val="clear" w:color="auto" w:fill="FFFFFF"/>
                        <w:vAlign w:val="center"/>
                      </w:tcPr>
                      <w:p w14:paraId="115950C7">
                        <w:pPr>
                          <w:keepNext w:val="0"/>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串口/SQLite、原型照片、前后数据与结题材料</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453A7071">
            <w:pPr>
              <w:keepNext w:val="0"/>
              <w:keepLines/>
              <w:spacing w:line="20" w:lineRule="exact"/>
              <w:jc w:val="both"/>
              <w:rPr>
                <w:rFonts w:hint="default" w:ascii="Times New Roman" w:hAnsi="Times New Roman" w:eastAsia="宋体" w:cs="Times New Roman"/>
                <w:sz w:val="2"/>
                <w:szCs w:val="28"/>
                <w:lang w:val="en-US" w:eastAsia="zh-CN"/>
              </w:rPr>
            </w:pPr>
          </w:p>
          <w:p w14:paraId="7C05183D">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表2为计划规模，不是已经完成的实验。预实验调参与正式验证分开，以独立操作而非相邻采样点计重复。每试次保存日期、操作者、供压、阀态、原始观测、独立标签、缺失及配置；按整日、压力档或负载档留出。不能先观察测试结果再选择有利试次或修改阈值。</w:t>
            </w:r>
          </w:p>
          <w:tbl>
            <w:tblPr>
              <w:tblStyle w:val="6"/>
              <w:tblW w:w="85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0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7F0A491">
                  <w:pPr>
                    <w:keepNext w:val="0"/>
                    <w:keepLines/>
                    <w:spacing w:beforeLines="50" w:after="140" w:line="240" w:lineRule="auto"/>
                    <w:jc w:val="both"/>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表2 独立实验与对照安排</w:t>
                  </w:r>
                </w:p>
                <w:tbl>
                  <w:tblPr>
                    <w:tblStyle w:val="6"/>
                    <w:tblW w:w="8500" w:type="dxa"/>
                    <w:tblInd w:w="3"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700"/>
                    <w:gridCol w:w="2800"/>
                    <w:gridCol w:w="4000"/>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trPr>
                    <w:tc>
                      <w:tcPr>
                        <w:tcW w:w="1700" w:type="dxa"/>
                        <w:tcBorders>
                          <w:tl2br w:val="nil"/>
                          <w:tr2bl w:val="nil"/>
                        </w:tcBorders>
                        <w:shd w:val="clear" w:color="auto" w:fill="EDEDED"/>
                        <w:vAlign w:val="center"/>
                      </w:tcPr>
                      <w:p w14:paraId="64BD5A05">
                        <w:pPr>
                          <w:keepNext/>
                          <w:keepLines/>
                          <w:spacing w:beforeLines="50" w:after="40" w:line="240" w:lineRule="auto"/>
                          <w:jc w:val="both"/>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层次</w:t>
                        </w:r>
                      </w:p>
                    </w:tc>
                    <w:tc>
                      <w:tcPr>
                        <w:tcW w:w="2800" w:type="dxa"/>
                        <w:tcBorders>
                          <w:tl2br w:val="nil"/>
                          <w:tr2bl w:val="nil"/>
                        </w:tcBorders>
                        <w:shd w:val="clear" w:color="auto" w:fill="EDEDED"/>
                        <w:vAlign w:val="center"/>
                      </w:tcPr>
                      <w:p w14:paraId="020FEAA1">
                        <w:pPr>
                          <w:keepNext/>
                          <w:keepLines/>
                          <w:spacing w:beforeLines="50" w:after="40" w:line="240" w:lineRule="auto"/>
                          <w:jc w:val="both"/>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计划规模</w:t>
                        </w:r>
                      </w:p>
                    </w:tc>
                    <w:tc>
                      <w:tcPr>
                        <w:tcW w:w="4000" w:type="dxa"/>
                        <w:tcBorders>
                          <w:tl2br w:val="nil"/>
                          <w:tr2bl w:val="nil"/>
                        </w:tcBorders>
                        <w:shd w:val="clear" w:color="auto" w:fill="EDEDED"/>
                        <w:vAlign w:val="center"/>
                      </w:tcPr>
                      <w:p w14:paraId="1B4BD985">
                        <w:pPr>
                          <w:keepNext/>
                          <w:keepLines/>
                          <w:spacing w:beforeLines="50" w:after="40" w:line="240" w:lineRule="auto"/>
                          <w:jc w:val="both"/>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6B129201">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标定及健康关系</w:t>
                        </w:r>
                      </w:p>
                    </w:tc>
                    <w:tc>
                      <w:tcPr>
                        <w:tcW w:w="2800" w:type="dxa"/>
                        <w:tcBorders>
                          <w:tl2br w:val="nil"/>
                          <w:tr2bl w:val="nil"/>
                        </w:tcBorders>
                        <w:shd w:val="clear" w:color="auto" w:fill="FFFFFF"/>
                        <w:vAlign w:val="center"/>
                      </w:tcPr>
                      <w:p w14:paraId="69229CC9">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压力/流量各至少5点、每点至少3次；不同B状态健康小试</w:t>
                        </w:r>
                      </w:p>
                    </w:tc>
                    <w:tc>
                      <w:tcPr>
                        <w:tcW w:w="4000" w:type="dxa"/>
                        <w:tcBorders>
                          <w:tl2br w:val="nil"/>
                          <w:tr2bl w:val="nil"/>
                        </w:tcBorders>
                        <w:shd w:val="clear" w:color="auto" w:fill="FFFFFF"/>
                        <w:vAlign w:val="center"/>
                      </w:tcPr>
                      <w:p w14:paraId="17C6A85E">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独立参考、升降压与共同压力差值；确定可用范围</w:t>
                        </w:r>
                      </w:p>
                    </w:tc>
                  </w:tr>
                  <w:tr w14:paraId="322FABD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385CD061">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主要故障</w:t>
                        </w:r>
                      </w:p>
                    </w:tc>
                    <w:tc>
                      <w:tcPr>
                        <w:tcW w:w="2800" w:type="dxa"/>
                        <w:tcBorders>
                          <w:tl2br w:val="nil"/>
                          <w:tr2bl w:val="nil"/>
                        </w:tcBorders>
                        <w:shd w:val="clear" w:color="auto" w:fill="FFFFFF"/>
                        <w:vAlign w:val="center"/>
                      </w:tcPr>
                      <w:p w14:paraId="0319DCBA">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2类型×3供压×3程度×至少3独立操作，共54次</w:t>
                        </w:r>
                      </w:p>
                    </w:tc>
                    <w:tc>
                      <w:tcPr>
                        <w:tcW w:w="4000" w:type="dxa"/>
                        <w:tcBorders>
                          <w:tl2br w:val="nil"/>
                          <w:tr2bl w:val="nil"/>
                        </w:tcBorders>
                        <w:shd w:val="clear" w:color="auto" w:fill="FFFFFF"/>
                        <w:vAlign w:val="center"/>
                      </w:tcPr>
                      <w:p w14:paraId="2E5B205A">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80/120/160kPa、5/10/15%暂定；不足可分先调整测量</w:t>
                        </w:r>
                      </w:p>
                    </w:tc>
                  </w:tr>
                  <w:tr w14:paraId="2724C93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2240076C">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正常干扰</w:t>
                        </w:r>
                      </w:p>
                    </w:tc>
                    <w:tc>
                      <w:tcPr>
                        <w:tcW w:w="2800" w:type="dxa"/>
                        <w:tcBorders>
                          <w:tl2br w:val="nil"/>
                          <w:tr2bl w:val="nil"/>
                        </w:tcBorders>
                        <w:shd w:val="clear" w:color="auto" w:fill="FFFFFF"/>
                        <w:vAlign w:val="center"/>
                      </w:tcPr>
                      <w:p w14:paraId="620223D9">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3供压×2个B状态×3独立操作，共18次，每次至少20分钟</w:t>
                        </w:r>
                      </w:p>
                    </w:tc>
                    <w:tc>
                      <w:tcPr>
                        <w:tcW w:w="4000" w:type="dxa"/>
                        <w:tcBorders>
                          <w:tl2br w:val="nil"/>
                          <w:tr2bl w:val="nil"/>
                        </w:tcBorders>
                        <w:shd w:val="clear" w:color="auto" w:fill="FFFFFF"/>
                        <w:vAlign w:val="center"/>
                      </w:tcPr>
                      <w:p w14:paraId="52F3F6E5">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正常时长与误报次数同时报；供压变化、漂移另作挑战</w:t>
                        </w:r>
                      </w:p>
                    </w:tc>
                  </w:tr>
                  <w:tr w14:paraId="66C1A7F4">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144416D0">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切换期间故障</w:t>
                        </w:r>
                      </w:p>
                    </w:tc>
                    <w:tc>
                      <w:tcPr>
                        <w:tcW w:w="2800" w:type="dxa"/>
                        <w:tcBorders>
                          <w:tl2br w:val="nil"/>
                          <w:tr2bl w:val="nil"/>
                        </w:tcBorders>
                        <w:shd w:val="clear" w:color="auto" w:fill="FFFFFF"/>
                        <w:vAlign w:val="center"/>
                      </w:tcPr>
                      <w:p w14:paraId="4FCA5317">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2类型×3供压×2种切换方向，共12次</w:t>
                        </w:r>
                      </w:p>
                    </w:tc>
                    <w:tc>
                      <w:tcPr>
                        <w:tcW w:w="4000" w:type="dxa"/>
                        <w:tcBorders>
                          <w:tl2br w:val="nil"/>
                          <w:tr2bl w:val="nil"/>
                        </w:tcBorders>
                        <w:shd w:val="clear" w:color="auto" w:fill="FFFFFF"/>
                        <w:vAlign w:val="center"/>
                      </w:tcPr>
                      <w:p w14:paraId="365DFB23">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记录暂缓时间、期间故障和恢复判断，不删等待段</w:t>
                        </w:r>
                      </w:p>
                    </w:tc>
                  </w:tr>
                  <w:tr w14:paraId="66D9D84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7C48C89E">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真实无线对照</w:t>
                        </w:r>
                      </w:p>
                    </w:tc>
                    <w:tc>
                      <w:tcPr>
                        <w:tcW w:w="2800" w:type="dxa"/>
                        <w:tcBorders>
                          <w:tl2br w:val="nil"/>
                          <w:tr2bl w:val="nil"/>
                        </w:tcBorders>
                        <w:shd w:val="clear" w:color="auto" w:fill="FFFFFF"/>
                        <w:vAlign w:val="center"/>
                      </w:tcPr>
                      <w:p w14:paraId="1241C8AD">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4策略×3链路条件×至少3独立批次，共36次重放</w:t>
                        </w:r>
                      </w:p>
                    </w:tc>
                    <w:tc>
                      <w:tcPr>
                        <w:tcW w:w="4000" w:type="dxa"/>
                        <w:tcBorders>
                          <w:tl2br w:val="nil"/>
                          <w:tr2bl w:val="nil"/>
                        </w:tcBorders>
                        <w:shd w:val="clear" w:color="auto" w:fill="FFFFFF"/>
                        <w:vAlign w:val="center"/>
                      </w:tcPr>
                      <w:p w14:paraId="78BAFF8B">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同本地轨迹及确认规则；随机顺序或分块，保留超期/未送达</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18E88F34">
                        <w:pPr>
                          <w:keepNext w:val="0"/>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连续及恢复</w:t>
                        </w:r>
                      </w:p>
                    </w:tc>
                    <w:tc>
                      <w:tcPr>
                        <w:tcW w:w="2800" w:type="dxa"/>
                        <w:tcBorders>
                          <w:tl2br w:val="nil"/>
                          <w:tr2bl w:val="nil"/>
                        </w:tcBorders>
                        <w:shd w:val="clear" w:color="auto" w:fill="FFFFFF"/>
                        <w:vAlign w:val="center"/>
                      </w:tcPr>
                      <w:p w14:paraId="5B1139D1">
                        <w:pPr>
                          <w:keepNext w:val="0"/>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至少一次8小时台架记录、至少3次重启；维护前后配对</w:t>
                        </w:r>
                      </w:p>
                    </w:tc>
                    <w:tc>
                      <w:tcPr>
                        <w:tcW w:w="4000" w:type="dxa"/>
                        <w:tcBorders>
                          <w:tl2br w:val="nil"/>
                          <w:tr2bl w:val="nil"/>
                        </w:tcBorders>
                        <w:shd w:val="clear" w:color="auto" w:fill="FFFFFF"/>
                        <w:vAlign w:val="center"/>
                      </w:tcPr>
                      <w:p w14:paraId="458143BC">
                        <w:pPr>
                          <w:keepNext w:val="0"/>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原始日志、停机缺失、缓存恢复和参考复测；不是寿命保证</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280BD57">
            <w:pPr>
              <w:keepNext w:val="0"/>
              <w:keepLines/>
              <w:spacing w:line="20" w:lineRule="exact"/>
              <w:jc w:val="both"/>
              <w:rPr>
                <w:rFonts w:hint="default" w:ascii="Times New Roman" w:hAnsi="Times New Roman" w:eastAsia="宋体" w:cs="Times New Roman"/>
                <w:sz w:val="2"/>
                <w:szCs w:val="28"/>
                <w:lang w:val="en-US" w:eastAsia="zh-CN"/>
              </w:rPr>
            </w:pPr>
          </w:p>
          <w:p w14:paraId="4D7A924A">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固定Q阈值、同信息多变量阈值及拟实施K/R门控方法在相同训练/验证划分下比较；按预设正常误报约束选择阈值，再在独立集评价。消融分别去掉P0或工况信息，说明收益来自测点还是已知操作，而非把新方法更多信息的优势写成算法优越性。统计以独立试次及批次为单位，报告样本数和不确定性；54次基础网格并不自动满足高等级论文所需样本量，关键边界另补独立批次。</w:t>
            </w:r>
          </w:p>
          <w:p w14:paraId="1865B46D">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链路设置至少覆盖无遮挡稳定、遮挡衰减及受控阻断/ACK丢失，实际位置、配置和缺失日志完整保存。整机电流设备未借到时，仅报告通信指标并记录能量未验证；帧数不换算节电百分比。取得现场许可后，可调查轮灌、安装和遮挡并采集正常数据；没有独立田间故障标签时不报告田间故障准确率。</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02A6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2D4C1AD">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8 实施风险与后续研究</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测量不足时先调整量程与可检程度；报价超额或水源无法借用时先重编经费和任务；未知负载与泄漏同形时保留异常待检查，不用复杂模型宣称消除信息不足；掉电日志或无线恢复失败时保留缺口并返工。立项级别不能由系统名称或页面数量决定，实施资源与研究证据分别落实。</w:t>
                  </w:r>
                </w:p>
              </w:tc>
            </w:tr>
          </w:tbl>
          <w:p w14:paraId="7B0A74B2">
            <w:pPr>
              <w:keepNext/>
              <w:keepLines/>
              <w:spacing w:line="20" w:lineRule="exact"/>
              <w:jc w:val="both"/>
              <w:rPr>
                <w:rFonts w:hint="default" w:ascii="Times New Roman" w:hAnsi="Times New Roman" w:eastAsia="宋体" w:cs="Times New Roman"/>
                <w:b w:val="0"/>
                <w:sz w:val="2"/>
                <w:szCs w:val="28"/>
                <w:lang w:val="en-US" w:eastAsia="zh-CN"/>
              </w:rPr>
            </w:pPr>
          </w:p>
          <w:p w14:paraId="2768741E">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结项后优先研究跨工况迁移：增加负载档和日期，比较冻结参照、少量健康重标定与经验模型，整档留出评价误差和适应成本[2,12,13]。新增节点、公共供压和同步日志后，再研究多支管共同扰动、局部异常与事件竞争[10,13]。长期维护配对记录可用于检验参照漂移、复测稳定性及核查工作量[12,16]。扩展须落实数据和资源，基础任务仍为单区段验证。</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6A29CC6F">
            <w:pPr>
              <w:keepNext/>
              <w:keepLines/>
              <w:pageBreakBefore w:val="0"/>
              <w:spacing w:beforeLines="50" w:after="100" w:line="240" w:lineRule="auto"/>
              <w:jc w:val="both"/>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四、国、内外研究现状和发展动态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1CE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086FAB3">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1 南疆应用需求与研究对象</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李慧琴等结合南疆棉花“滴水出苗”提出压力均匀、铺管及用水管理建议[1]，说明运行压力是区域滴灌管理中需要关注的条件。Sun等研究南疆集体滴灌棉花生产约束，涉及灌水深度和土壤条件[17]。这些工作支持选择南疆滴灌巡检场景，但不直接证明本原型能够节水或增产。本期以支管水力故障的可观测变化为对象，实际轮灌方式与安装条件仍需现场核对。</w:t>
                  </w:r>
                </w:p>
              </w:tc>
            </w:tr>
          </w:tbl>
          <w:p w14:paraId="54D3C56D">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2270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6566A23">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2 滴灌水力模型与测量依据</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丁法龙等从变质量流动分析沿程压力，并以测压、测流试验验证模型[2]；王亚林等结合灌水试验与CFD研究不同滴头镶嵌方式对毛管水力特性的影响[3]。已有研究表明，实际滴灌压损需要考虑分布出流、结构与安装。本项目集中平方律模型仅用于监测区段的初步设计，不替代上述分布模型。实施时先检验健康压力—流量关系及残差，再冻结特征和阈值；拟通过布点、同步误差与差压不确定度的联合评价确定低成本测量的适用条件。</w:t>
                  </w:r>
                </w:p>
              </w:tc>
            </w:tr>
          </w:tbl>
          <w:p w14:paraId="5D46BBF4">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423E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FF50B26">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 堵塞机理与早期监测边界</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喻黎明等研究含沙水下额定流量、毛管位置与滴头堵塞的关系[4]；王惠等开展不同肥料及浓度的堵塞试验[5]；张唯一等研究近壁面水力剪切力与碳酸钙污垢的作用[6]。三类工作说明堵塞演化受水质、材料和水力条件影响。Petit等综述进一步指出，压力流量监测属于间接方法，未必反映滴头堵塞的最初阶段[12]。因此本项目用清水节流阀验证等效受限的水力响应，不把阀门操作写成泥沙、化学或生物堵塞试验；“早期”以独立测量确认的故障程度和预设失效参照评价，不宣称识别单滴头微观堵塞起点。</w:t>
                  </w:r>
                </w:p>
              </w:tc>
            </w:tr>
          </w:tbl>
          <w:p w14:paraId="065D9EBE">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E2C0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619FEFC">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4 多工况诊断与可控验证</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付建民等通过液相管道试验与模拟研究压力、流量对小孔泄漏速率的影响[7]；龚骏等研究多工况下泄漏与正常调节的区分[8]；马大中等将物理异常与信息传输异常纳入管网诊断[9]。这些输油或液相管道研究提供了耦合分析与异常分层的思路，参数、传感条件和识别率不能直接移植到滴灌。HydroNeuro研究阀态建模、嵌入式异常感知与扰动鲁棒性[13]，Loukatos等利用可控阀、压力流量及LoRa构建灌溉模拟平台[14]，也说明状态辅助和可控台架已有基础。本项目拟以同信息强基线、独立操作标签和跨批次留出验证研究渐进故障的辨识边界，保留未知负载、漂移及切换期间的失败实例。</w:t>
                  </w:r>
                </w:p>
              </w:tc>
            </w:tr>
          </w:tbl>
          <w:p w14:paraId="0A0BD4D9">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D94C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F93F8B6">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5 农业物联网与通信评价</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孟祥等完成基于LoRa的农田智能灌溉系统设计[10]；刘天翔等构建设施番茄称量反馈灌溉系统[11]，为传感、通信和软件组织提供国内系统研究实例。本项目将系统交付细化为测量节点、接收存储、有限诊断、事件证据与管理确认，不能仅以使用LoRa或增加页面作为创新。Lozoya等以田间对照评价事件通信与功耗[15]，Orihuela等开展农业事件通信的长期评估[16]。本项目拟在检测器、载荷和确认机制相同条件下比较周期与事件策略，将本地检测延迟、远端送达延迟和整机能量分别测量，不以发送帧数推算真实续航。</w:t>
                  </w:r>
                </w:p>
              </w:tc>
            </w:tr>
          </w:tbl>
          <w:p w14:paraId="0474FAD2">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8F91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E191F99">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6 本项目拟研究的增量</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上述中文研究构成场景、水力、堵塞、诊断和系统集成的主要依据，英文研究补充间接监测边界、可控平台及通信评价。拟研究的增量集中于两个问题：低成本双压力流量与操作信息在何种故障程度和误差条件下能够改善巡检提示；在统一检测与确认机制下，减少通信是否仍能维持远端及时告警。通过可重复台架、强对照与分层评价形成结论，是否具有可发表贡献以进一步全文研读和独立实测为准。</w:t>
                  </w:r>
                </w:p>
              </w:tc>
            </w:tr>
          </w:tbl>
          <w:p w14:paraId="58A49629">
            <w:pPr>
              <w:keepNext/>
              <w:keepLines/>
              <w:spacing w:line="20" w:lineRule="exact"/>
              <w:jc w:val="both"/>
              <w:rPr>
                <w:rFonts w:hint="default" w:ascii="Times New Roman" w:hAnsi="Times New Roman" w:eastAsia="宋体" w:cs="Times New Roman"/>
                <w:b w:val="0"/>
                <w:sz w:val="2"/>
                <w:szCs w:val="28"/>
                <w:lang w:val="en-US" w:eastAsia="zh-CN"/>
              </w:rPr>
            </w:pPr>
          </w:p>
          <w:p w14:paraId="756251A6">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参考文献</w:t>
            </w:r>
          </w:p>
          <w:tbl>
            <w:tblPr>
              <w:tblStyle w:val="6"/>
              <w:tblW w:w="85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00"/>
            </w:tblGrid>
            <w:tr w14:paraId="7CFE1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5FA1932C">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 李慧琴, 王潭刚, 孔宪辉. 新疆南疆棉花“滴水出苗”技术问题及建议[J]. 中国棉花, 2022, 49(6): 36-38. DOI:10.11963/cc20220080.</w:t>
                  </w:r>
                </w:p>
              </w:tc>
            </w:tr>
            <w:tr w14:paraId="524CB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74ADD610">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[2] 丁法龙, 茅泽育, 王文娥, 等. 滴灌管主流道沿程压力分布模型及验证[J]. 农业工程学报, 2019, 35(3): 117-124. DOI:10.11975/j.issn.1002-6819.2019.03.015.</w:t>
                  </w:r>
                </w:p>
              </w:tc>
            </w:tr>
            <w:tr w14:paraId="5C35B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25E34D03">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[3] 王亚林, 李京芳, 鄢锐, 等. 圆柱式滴头内镶及外包对滴灌毛管水力特性影响的模拟研究[J]. 华南农业大学学报, 2021, 42(4): 106-112. DOI:10.7671/j.issn.1001-411X.202009004.</w:t>
                  </w:r>
                </w:p>
              </w:tc>
            </w:tr>
            <w:tr w14:paraId="5B66A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248DAE45">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[4] 喻黎明, 曹丽, 李娜, 等. 额定流量与毛管位置对纽扣式滴头堵塞的影响及机理分析[J]. 农业工程学报, 2023, 39(20): 123-131. DOI:10.11975/j.issn.1002-6819.202307109.</w:t>
                  </w:r>
                </w:p>
              </w:tc>
            </w:tr>
            <w:tr w14:paraId="3CFCE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6EC0D37F">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[5] 王惠, 凌刚, 查晴, 等. 肥料种类与浓度对灌水器堵塞特征的影响及防堵策略[J]. 农业工程学报, 2023, 39(5): 53-60. DOI:10.11975/j.issn.1002-6819.202212095.</w:t>
                  </w:r>
                </w:p>
              </w:tc>
            </w:tr>
            <w:tr w14:paraId="50D0B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0C406F85">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[6] 张唯一, 肖洋, 马长健, 等. 水流近壁面水力剪切力对滴灌系统碳酸钙污垢的影响[J]. 农业工程学报, 2023, 39(7): 137-144. DOI:10.11975/j.issn.1002-6819.202208008.</w:t>
                  </w:r>
                </w:p>
              </w:tc>
            </w:tr>
            <w:tr w14:paraId="13808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224ACF6B">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[7] 付建民, 赵振洋, 陈国明, 等. 液相管道流量与压力对小孔泄漏速率的影响[J]. 石油学报, 2016, 37(2): 257-265. DOI:10.7623/syxb201602013.</w:t>
                  </w:r>
                </w:p>
              </w:tc>
            </w:tr>
            <w:tr w14:paraId="32A0B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5920D481">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[8] 龚骏, 税爱社, 包建明, 等. 多工况下基于RBF神经网络的管道泄漏检测[J]. 油气储运, 2015, 34(7): 759-763. DOI:10.6047/j.issn.1000-8241.2015.07.017.</w:t>
                  </w:r>
                </w:p>
              </w:tc>
            </w:tr>
            <w:tr w14:paraId="0DB6F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0D58A4E9">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[9] 马大中, 胡旭光, 孙秋野, 等. 基于数据特征融合的管网信息物理异常诊断方法[J]. 自动化学报, 2019, 45(1): 163-173. DOI:10.16383/j.aas.2018.c180383.</w:t>
                  </w:r>
                </w:p>
              </w:tc>
            </w:tr>
            <w:tr w14:paraId="3676A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56477B31">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[10] 孟祥, 赵莹, 徐卓威, 等. 基于LoRa技术的农田智能灌溉系统设计[J]. 中国农机化学报, 2023, 44(9): 161-168. DOI:10.13733/j.jcam.issn.2095-5553.2023.09.023.</w:t>
                  </w:r>
                </w:p>
              </w:tc>
            </w:tr>
            <w:tr w14:paraId="144D1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0DE370BA">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[11] 刘天翔, 郭文忠, 韩晓蓓, 等. 基于称量反馈的设施番茄灌溉系统的构建与应用[J]. 农业工程学报, 2024, 40(13): 85-96. DOI:10.11975/j.issn.1002-6819.202401146.</w:t>
                  </w:r>
                </w:p>
              </w:tc>
            </w:tr>
            <w:tr w14:paraId="24B34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78E47EF7">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[12] Petit J, García S M, Molle B, et al. Methods for drip irrigation clogging detection, analysis and understanding: State of the art and perspectives[J]. Agricultural Water Management, 2022, 272: 107873. DOI:10.1016/j.agwat.2022.107873.</w:t>
                  </w:r>
                </w:p>
              </w:tc>
            </w:tr>
            <w:tr w14:paraId="5965C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1DE99179">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[13] Somaali N, Hayouni M, Sboui L, et al. HydroNeuro: A Data-Efficient IoT Sensing and Edge-AI Framework for Real-Time Hydraulic Anomaly Detection[J]. Sensors, 2026, 26(10): 3010. DOI:10.3390/s26103010.</w:t>
                  </w:r>
                </w:p>
              </w:tc>
            </w:tr>
            <w:tr w14:paraId="211EE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06904F41">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[14] Loukatos D, Fragkos A, Londra P, et al. A Simple Platform for Emulating Irrigation Scenarios and Its Applicability for Big Data Collection Toward Water Preservation via In Situ Experiments[J]. Land, 2026, 15(3): 464. DOI:10.3390/land15030464.</w:t>
                  </w:r>
                </w:p>
              </w:tc>
            </w:tr>
            <w:tr w14:paraId="2B6A2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248BBDA9">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[15] Lozoya C, Favela-Contreras A, Aguilar-Gonzalez A, et al. Energy-Efficient Wireless Communication Strategy for Precision Agriculture Irrigation Control[J]. Sensors, 2021, 21(16): 5541. DOI:10.3390/s21165541.</w:t>
                  </w:r>
                </w:p>
              </w:tc>
            </w:tr>
            <w:tr w14:paraId="551A7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42A50955">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[16] Orihuela L, Bareiro J, Reales F, et al. Long-term assessment of event-based communication for irrigation control in a bell pepper farm[J]. IFAC-PapersOnLine, 2025, 59(23): 44-49. DOI:10.1016/j.ifacol.2025.11.761.</w:t>
                  </w:r>
                </w:p>
              </w:tc>
            </w:tr>
            <w:tr w14:paraId="3F451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41647EAF">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[17] Sun Z, Wang Z, Li J. Identification and Evaluation of the Main Constraints on Cotton Production Within a Collective Drip Irrigation System in Southern Xinjiang, China[J]. Agronomy, 2025, 15(4): 760. DOI:10.3390/agronomy15040760.</w:t>
                  </w:r>
                </w:p>
              </w:tc>
            </w:tr>
          </w:tbl>
          <w:p w14:paraId="4E619FC8">
            <w:pPr>
              <w:keepNext w:val="0"/>
              <w:keepLines/>
              <w:spacing w:line="20" w:lineRule="exact"/>
              <w:jc w:val="both"/>
              <w:rPr>
                <w:rFonts w:hint="default" w:ascii="Times New Roman" w:hAnsi="Times New Roman" w:eastAsia="宋体" w:cs="Times New Roman"/>
                <w:sz w:val="2"/>
                <w:szCs w:val="28"/>
                <w:lang w:val="en-US" w:eastAsia="zh-CN"/>
              </w:rPr>
            </w:pPr>
          </w:p>
          <w:p w14:paraId="36A8446F">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制度参考：塔里木大学大学生创新创业训练计划实施细则，校教发〔2025〕1号，2025-01-02，https://jwc.taru.edu.cn/info/1035/3872.htm。本批要求以正式通知为准。</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6154B09F">
            <w:pPr>
              <w:keepNext/>
              <w:keepLines/>
              <w:spacing w:beforeLines="50" w:after="100" w:line="240" w:lineRule="auto"/>
              <w:jc w:val="both"/>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五、项目的特色与创新点</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98F9714">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1 面向支管巡检的完整证据链</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项目将双压力流量采集、有限诊断、无线持久化确认与人工复测组织成原型系统，独立参考与操作标签贯穿验证。特色是让维护线索及其依据可追溯，而非仅展示阈值报警。清水台架、同源装配、原始日志和六模块管理共同支撑工程训练，南疆实际部署条件另经调查校核。</w:t>
                  </w:r>
                </w:p>
              </w:tc>
            </w:tr>
          </w:tbl>
          <w:p w14:paraId="54241A0C">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2EC5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84BE185">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2 测量误差与运行信息约束下的辨识研究</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拟研究故障程度、差压不确定度和工况信息如何影响早期候选，把误报、漏检、模式与有效提前量同时报告。用同信息强基线和测点/门控消融检验增量，未知负载、漂移及模型失配纳入失败边界。创新方向是可验证的条件与方法取舍；双压力本身、使用LoRa或增加网页都不作为首创声明。</w:t>
                  </w:r>
                </w:p>
              </w:tc>
            </w:tr>
          </w:tbl>
          <w:p w14:paraId="3F22D9F9">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5672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97879AE">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 统一检测规则下的可靠告警取舍</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拟把本地提示与远端持久化分开测量，在同检测、载荷和确认要求下比较周期、事件及队列调度，分析阻断、丢ACK和事件拥塞下的及时性。当前已有独立主机事务与模型回放基础，真实节点、射频和整机验证是后续任务，尚未证明节能比例或算法优越性。</w:t>
                  </w:r>
                </w:p>
              </w:tc>
            </w:tr>
          </w:tbl>
          <w:p w14:paraId="2E2F7C64">
            <w:pPr>
              <w:keepNext/>
              <w:keepLines/>
              <w:spacing w:line="20" w:lineRule="exact"/>
              <w:jc w:val="both"/>
              <w:rPr>
                <w:rFonts w:hint="default" w:ascii="Times New Roman" w:hAnsi="Times New Roman" w:eastAsia="宋体" w:cs="Times New Roman"/>
                <w:b w:val="0"/>
                <w:sz w:val="2"/>
                <w:szCs w:val="28"/>
                <w:lang w:val="en-US" w:eastAsia="zh-CN"/>
              </w:rPr>
            </w:pP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1A84A31D">
            <w:pPr>
              <w:keepNext/>
              <w:keepLines/>
              <w:spacing w:beforeLines="50" w:after="100" w:line="240" w:lineRule="auto"/>
              <w:jc w:val="both"/>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六、项目预期成果</w:t>
            </w:r>
          </w:p>
          <w:p w14:paraId="7DF5F46B">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基础结项交付1套可演示原型：一个P0/P1/Q节点、一个LoRa接收端、双支路清水台架和本地Web，实现从参考标定、候选提示到接收存储、人工核查、处置复测及导出。交付可复现程序、硬件连接与使用说明、过程记录、调研与研究/结题报告，按获批任务书检查。</w:t>
            </w:r>
          </w:p>
          <w:p w14:paraId="031E99CE">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形成独立原始数据包，包含标定、计划54次主要故障、正常干扰、切换期间故障、真实无线及连续恢复记录。数据量为拟定基础规模，实测前冻结实验协议；每项结果同时保存对照、失败、缺失和版本。若某性能目标未达到，报告原因、适用边界和修订记录，不以合成数据补足实测指标。</w:t>
            </w:r>
          </w:p>
          <w:p w14:paraId="05431EAB">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形成1篇以实际证据为基础的研究论文稿，优先提炼跨工况辨识与低成本测量边界，备选可靠告警取舍。贡献、样本与对照充分后经导师审核投稿；结项、论文稿、投稿、录用、发表与收录分别登记。论文级别和录用不作为已有成绩，专利与软著依实际成果判断，不列为必须凑出的数量。</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7E54C1F8">
            <w:pPr>
              <w:keepNext/>
              <w:keepLines/>
              <w:spacing w:beforeLines="50" w:after="100" w:line="240" w:lineRule="auto"/>
              <w:jc w:val="both"/>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七、项目年度目标和工作内容（按年度写）</w:t>
            </w:r>
          </w:p>
          <w:p w14:paraId="6B336498">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2027年完成测量、独立诊断实验、真实通信和软件集成，形成研究稿与阶段报告；2028年1—2月完成任务对照、补验证及结项归档。表3同时给出申报前的进入条件，实施周期以本批获批任务书核定。</w:t>
            </w:r>
          </w:p>
          <w:tbl>
            <w:tblPr>
              <w:tblStyle w:val="6"/>
              <w:tblW w:w="85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0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070" w:type="dxa"/>
                  <w:tcBorders>
                    <w:tl2br w:val="nil"/>
                    <w:tr2bl w:val="nil"/>
                  </w:tcBorders>
                </w:tcPr>
                <w:p w14:paraId="629DF3B9">
                  <w:pPr>
                    <w:keepNext w:val="0"/>
                    <w:keepLines/>
                    <w:spacing w:beforeLines="50" w:after="140" w:line="240" w:lineRule="auto"/>
                    <w:jc w:val="both"/>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表3 三阶段与实施里程碑</w:t>
                  </w:r>
                </w:p>
                <w:tbl>
                  <w:tblPr>
                    <w:tblStyle w:val="6"/>
                    <w:tblW w:w="8500" w:type="dxa"/>
                    <w:tblInd w:w="3"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00"/>
                    <w:gridCol w:w="3000"/>
                    <w:gridCol w:w="3700"/>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PrEx>
                    <w:trPr>
                      <w:cantSplit/>
                      <w:tblHeader/>
                    </w:trPr>
                    <w:tc>
                      <w:tcPr>
                        <w:tcW w:w="1800" w:type="dxa"/>
                        <w:tcBorders>
                          <w:tl2br w:val="nil"/>
                          <w:tr2bl w:val="nil"/>
                        </w:tcBorders>
                        <w:shd w:val="clear" w:color="auto" w:fill="EDEDED"/>
                        <w:vAlign w:val="center"/>
                      </w:tcPr>
                      <w:p w14:paraId="2AB02D4D">
                        <w:pPr>
                          <w:keepNext/>
                          <w:keepLines/>
                          <w:spacing w:beforeLines="50" w:after="40" w:line="240" w:lineRule="auto"/>
                          <w:jc w:val="both"/>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时段</w:t>
                        </w:r>
                      </w:p>
                    </w:tc>
                    <w:tc>
                      <w:tcPr>
                        <w:tcW w:w="3000" w:type="dxa"/>
                        <w:tcBorders>
                          <w:tl2br w:val="nil"/>
                          <w:tr2bl w:val="nil"/>
                        </w:tcBorders>
                        <w:shd w:val="clear" w:color="auto" w:fill="EDEDED"/>
                        <w:vAlign w:val="center"/>
                      </w:tcPr>
                      <w:p w14:paraId="4F4080FB">
                        <w:pPr>
                          <w:keepNext/>
                          <w:keepLines/>
                          <w:spacing w:beforeLines="50" w:after="40" w:line="240" w:lineRule="auto"/>
                          <w:jc w:val="both"/>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工作与交付</w:t>
                        </w:r>
                      </w:p>
                    </w:tc>
                    <w:tc>
                      <w:tcPr>
                        <w:tcW w:w="3700" w:type="dxa"/>
                        <w:tcBorders>
                          <w:tl2br w:val="nil"/>
                          <w:tr2bl w:val="nil"/>
                        </w:tcBorders>
                        <w:shd w:val="clear" w:color="auto" w:fill="EDEDED"/>
                        <w:vAlign w:val="center"/>
                      </w:tcPr>
                      <w:p w14:paraId="14CA3BD6">
                        <w:pPr>
                          <w:keepNext/>
                          <w:keepLines/>
                          <w:spacing w:beforeLines="50" w:after="40" w:line="240" w:lineRule="auto"/>
                          <w:jc w:val="both"/>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进入或验收条件</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00" w:type="dxa"/>
                        <w:tcBorders>
                          <w:tl2br w:val="nil"/>
                          <w:tr2bl w:val="nil"/>
                        </w:tcBorders>
                        <w:shd w:val="clear" w:color="auto" w:fill="FFFFFF"/>
                        <w:vAlign w:val="center"/>
                      </w:tcPr>
                      <w:p w14:paraId="273AD28A">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当前申报</w:t>
                        </w:r>
                      </w:p>
                    </w:tc>
                    <w:tc>
                      <w:tcPr>
                        <w:tcW w:w="3000" w:type="dxa"/>
                        <w:tcBorders>
                          <w:tl2br w:val="nil"/>
                          <w:tr2bl w:val="nil"/>
                        </w:tcBorders>
                        <w:shd w:val="clear" w:color="auto" w:fill="FFFFFF"/>
                        <w:vAlign w:val="center"/>
                      </w:tcPr>
                      <w:p w14:paraId="2289229F">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九节模板、支撑模型/软件、分项验收；正文稳定后同步PPT</w:t>
                        </w:r>
                      </w:p>
                    </w:tc>
                    <w:tc>
                      <w:tcPr>
                        <w:tcW w:w="3700" w:type="dxa"/>
                        <w:tcBorders>
                          <w:tl2br w:val="nil"/>
                          <w:tr2bl w:val="nil"/>
                        </w:tcBorders>
                        <w:shd w:val="clear" w:color="auto" w:fill="FFFFFF"/>
                        <w:vAlign w:val="center"/>
                      </w:tcPr>
                      <w:p w14:paraId="647FAD68">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每项已有有证据，行政字段真实；导师核定问题、资源和任务</w:t>
                        </w:r>
                      </w:p>
                    </w:tc>
                  </w:tr>
                  <w:tr w14:paraId="1CED676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00" w:type="dxa"/>
                        <w:tcBorders>
                          <w:tl2br w:val="nil"/>
                          <w:tr2bl w:val="nil"/>
                        </w:tcBorders>
                        <w:shd w:val="clear" w:color="auto" w:fill="FFFFFF"/>
                        <w:vAlign w:val="center"/>
                      </w:tcPr>
                      <w:p w14:paraId="7CA84E0C">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2026年11月至2027年2月</w:t>
                        </w:r>
                      </w:p>
                    </w:tc>
                    <w:tc>
                      <w:tcPr>
                        <w:tcW w:w="3000" w:type="dxa"/>
                        <w:tcBorders>
                          <w:tl2br w:val="nil"/>
                          <w:tr2bl w:val="nil"/>
                        </w:tcBorders>
                        <w:shd w:val="clear" w:color="auto" w:fill="FFFFFF"/>
                        <w:vAlign w:val="center"/>
                      </w:tcPr>
                      <w:p w14:paraId="44ED2CE4">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C/采集/串口训练、团队分工、询价与借用</w:t>
                        </w:r>
                      </w:p>
                    </w:tc>
                    <w:tc>
                      <w:tcPr>
                        <w:tcW w:w="3700" w:type="dxa"/>
                        <w:tcBorders>
                          <w:tl2br w:val="nil"/>
                          <w:tr2bl w:val="nil"/>
                        </w:tcBorders>
                        <w:shd w:val="clear" w:color="auto" w:fill="FFFFFF"/>
                        <w:vAlign w:val="center"/>
                      </w:tcPr>
                      <w:p w14:paraId="77288172">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成员能复现修改核心程序；测量设备与水源可取得</w:t>
                        </w:r>
                      </w:p>
                    </w:tc>
                  </w:tr>
                  <w:tr w14:paraId="03F6921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00" w:type="dxa"/>
                        <w:tcBorders>
                          <w:tl2br w:val="nil"/>
                          <w:tr2bl w:val="nil"/>
                        </w:tcBorders>
                        <w:shd w:val="clear" w:color="auto" w:fill="FFFFFF"/>
                        <w:vAlign w:val="center"/>
                      </w:tcPr>
                      <w:p w14:paraId="240A572B">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2027年3—4月</w:t>
                        </w:r>
                      </w:p>
                    </w:tc>
                    <w:tc>
                      <w:tcPr>
                        <w:tcW w:w="3000" w:type="dxa"/>
                        <w:tcBorders>
                          <w:tl2br w:val="nil"/>
                          <w:tr2bl w:val="nil"/>
                        </w:tcBorders>
                        <w:shd w:val="clear" w:color="auto" w:fill="FFFFFF"/>
                        <w:vAlign w:val="center"/>
                      </w:tcPr>
                      <w:p w14:paraId="4A31D6CC">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台架、参考标定、健康关系与有线日志</w:t>
                        </w:r>
                      </w:p>
                    </w:tc>
                    <w:tc>
                      <w:tcPr>
                        <w:tcW w:w="3700" w:type="dxa"/>
                        <w:tcBorders>
                          <w:tl2br w:val="nil"/>
                          <w:tr2bl w:val="nil"/>
                        </w:tcBorders>
                        <w:shd w:val="clear" w:color="auto" w:fill="FFFFFF"/>
                        <w:vAlign w:val="center"/>
                      </w:tcPr>
                      <w:p w14:paraId="53FB780F">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目标变化可测且可重复，固定BOM和参照，未通过先返工</w:t>
                        </w:r>
                      </w:p>
                    </w:tc>
                  </w:tr>
                  <w:tr w14:paraId="124E56C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00" w:type="dxa"/>
                        <w:tcBorders>
                          <w:tl2br w:val="nil"/>
                          <w:tr2bl w:val="nil"/>
                        </w:tcBorders>
                        <w:shd w:val="clear" w:color="auto" w:fill="FFFFFF"/>
                        <w:vAlign w:val="center"/>
                      </w:tcPr>
                      <w:p w14:paraId="2AFEA5CF">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2027年5—6月</w:t>
                        </w:r>
                      </w:p>
                    </w:tc>
                    <w:tc>
                      <w:tcPr>
                        <w:tcW w:w="3000" w:type="dxa"/>
                        <w:tcBorders>
                          <w:tl2br w:val="nil"/>
                          <w:tr2bl w:val="nil"/>
                        </w:tcBorders>
                        <w:shd w:val="clear" w:color="auto" w:fill="FFFFFF"/>
                        <w:vAlign w:val="center"/>
                      </w:tcPr>
                      <w:p w14:paraId="5F3D9975">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故障/正常/切换独立操作、基线与门控</w:t>
                        </w:r>
                      </w:p>
                    </w:tc>
                    <w:tc>
                      <w:tcPr>
                        <w:tcW w:w="3700" w:type="dxa"/>
                        <w:tcBorders>
                          <w:tl2br w:val="nil"/>
                          <w:tr2bl w:val="nil"/>
                        </w:tcBorders>
                        <w:shd w:val="clear" w:color="auto" w:fill="FFFFFF"/>
                        <w:vAlign w:val="center"/>
                      </w:tcPr>
                      <w:p w14:paraId="631CB317">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冻结方法；独立标签、时长及试次级结果完整</w:t>
                        </w:r>
                      </w:p>
                    </w:tc>
                  </w:tr>
                  <w:tr w14:paraId="2FCC26C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00" w:type="dxa"/>
                        <w:tcBorders>
                          <w:tl2br w:val="nil"/>
                          <w:tr2bl w:val="nil"/>
                        </w:tcBorders>
                        <w:shd w:val="clear" w:color="auto" w:fill="FFFFFF"/>
                        <w:vAlign w:val="center"/>
                      </w:tcPr>
                      <w:p w14:paraId="3C0FA34B">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2027年7—8月</w:t>
                        </w:r>
                      </w:p>
                    </w:tc>
                    <w:tc>
                      <w:tcPr>
                        <w:tcW w:w="3000" w:type="dxa"/>
                        <w:tcBorders>
                          <w:tl2br w:val="nil"/>
                          <w:tr2bl w:val="nil"/>
                        </w:tcBorders>
                        <w:shd w:val="clear" w:color="auto" w:fill="FFFFFF"/>
                        <w:vAlign w:val="center"/>
                      </w:tcPr>
                      <w:p w14:paraId="0208B716">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LoRa发收、接收服务与Web，连续/恢复及复测</w:t>
                        </w:r>
                      </w:p>
                    </w:tc>
                    <w:tc>
                      <w:tcPr>
                        <w:tcW w:w="3700" w:type="dxa"/>
                        <w:tcBorders>
                          <w:tl2br w:val="nil"/>
                          <w:tr2bl w:val="nil"/>
                        </w:tcBorders>
                        <w:shd w:val="clear" w:color="auto" w:fill="FFFFFF"/>
                        <w:vAlign w:val="center"/>
                      </w:tcPr>
                      <w:p w14:paraId="186DA31B">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同事件可追溯，缺失与超期可见，不靠页面数值验收</w:t>
                        </w:r>
                      </w:p>
                    </w:tc>
                  </w:tr>
                  <w:tr w14:paraId="00A23200">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00" w:type="dxa"/>
                        <w:tcBorders>
                          <w:tl2br w:val="nil"/>
                          <w:tr2bl w:val="nil"/>
                        </w:tcBorders>
                        <w:shd w:val="clear" w:color="auto" w:fill="FFFFFF"/>
                        <w:vAlign w:val="center"/>
                      </w:tcPr>
                      <w:p w14:paraId="1F381E5E">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2027年9—10月</w:t>
                        </w:r>
                      </w:p>
                    </w:tc>
                    <w:tc>
                      <w:tcPr>
                        <w:tcW w:w="3000" w:type="dxa"/>
                        <w:tcBorders>
                          <w:tl2br w:val="nil"/>
                          <w:tr2bl w:val="nil"/>
                        </w:tcBorders>
                        <w:shd w:val="clear" w:color="auto" w:fill="FFFFFF"/>
                        <w:vAlign w:val="center"/>
                      </w:tcPr>
                      <w:p w14:paraId="37A7B1D8">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留出批次、消融、关键边界补试验，论文初稿</w:t>
                        </w:r>
                      </w:p>
                    </w:tc>
                    <w:tc>
                      <w:tcPr>
                        <w:tcW w:w="3700" w:type="dxa"/>
                        <w:tcBorders>
                          <w:tl2br w:val="nil"/>
                          <w:tr2bl w:val="nil"/>
                        </w:tcBorders>
                        <w:shd w:val="clear" w:color="auto" w:fill="FFFFFF"/>
                        <w:vAlign w:val="center"/>
                      </w:tcPr>
                      <w:p w14:paraId="169A0612">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数据与方法冻结，导师检查贡献及统计充分性</w:t>
                        </w:r>
                      </w:p>
                    </w:tc>
                  </w:tr>
                  <w:tr w14:paraId="0AF53E5E">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00" w:type="dxa"/>
                        <w:tcBorders>
                          <w:tl2br w:val="nil"/>
                          <w:tr2bl w:val="nil"/>
                        </w:tcBorders>
                        <w:shd w:val="clear" w:color="auto" w:fill="FFFFFF"/>
                        <w:vAlign w:val="center"/>
                      </w:tcPr>
                      <w:p w14:paraId="10119555">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2027年11月至2028年2月</w:t>
                        </w:r>
                      </w:p>
                    </w:tc>
                    <w:tc>
                      <w:tcPr>
                        <w:tcW w:w="3000" w:type="dxa"/>
                        <w:tcBorders>
                          <w:tl2br w:val="nil"/>
                          <w:tr2bl w:val="nil"/>
                        </w:tcBorders>
                        <w:shd w:val="clear" w:color="auto" w:fill="FFFFFF"/>
                        <w:vAlign w:val="center"/>
                      </w:tcPr>
                      <w:p w14:paraId="771DACF2">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补验证、原型修订、研究报告与结项材料</w:t>
                        </w:r>
                      </w:p>
                    </w:tc>
                    <w:tc>
                      <w:tcPr>
                        <w:tcW w:w="3700" w:type="dxa"/>
                        <w:tcBorders>
                          <w:tl2br w:val="nil"/>
                          <w:tr2bl w:val="nil"/>
                        </w:tcBorders>
                        <w:shd w:val="clear" w:color="auto" w:fill="FFFFFF"/>
                        <w:vAlign w:val="center"/>
                      </w:tcPr>
                      <w:p w14:paraId="6418A8E0">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对照获批任务书；论文状态如实记录，审稿不冒充发表</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00" w:type="dxa"/>
                        <w:tcBorders>
                          <w:tl2br w:val="nil"/>
                          <w:tr2bl w:val="nil"/>
                        </w:tcBorders>
                        <w:shd w:val="clear" w:color="auto" w:fill="FFFFFF"/>
                        <w:vAlign w:val="center"/>
                      </w:tcPr>
                      <w:p w14:paraId="0C79A9B3">
                        <w:pPr>
                          <w:keepNext w:val="0"/>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论文深化与发表</w:t>
                        </w:r>
                      </w:p>
                    </w:tc>
                    <w:tc>
                      <w:tcPr>
                        <w:tcW w:w="3000" w:type="dxa"/>
                        <w:tcBorders>
                          <w:tl2br w:val="nil"/>
                          <w:tr2bl w:val="nil"/>
                        </w:tcBorders>
                        <w:shd w:val="clear" w:color="auto" w:fill="FFFFFF"/>
                        <w:vAlign w:val="center"/>
                      </w:tcPr>
                      <w:p w14:paraId="07F6D501">
                        <w:pPr>
                          <w:keepNext w:val="0"/>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在真实数据充分后完成稿件、审查、投稿与修订</w:t>
                        </w:r>
                      </w:p>
                    </w:tc>
                    <w:tc>
                      <w:tcPr>
                        <w:tcW w:w="3700" w:type="dxa"/>
                        <w:tcBorders>
                          <w:tl2br w:val="nil"/>
                          <w:tr2bl w:val="nil"/>
                        </w:tcBorders>
                        <w:shd w:val="clear" w:color="auto" w:fill="FFFFFF"/>
                        <w:vAlign w:val="center"/>
                      </w:tcPr>
                      <w:p w14:paraId="51F55800">
                        <w:pPr>
                          <w:keepNext w:val="0"/>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第一作者贡献、发表及收录各留证明；未来学院认定另核实</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7D945A47">
            <w:pPr>
              <w:keepNext w:val="0"/>
              <w:keepLines/>
              <w:spacing w:line="20" w:lineRule="exact"/>
              <w:jc w:val="both"/>
              <w:rPr>
                <w:rFonts w:hint="default" w:ascii="Times New Roman" w:hAnsi="Times New Roman" w:eastAsia="宋体" w:cs="Times New Roman"/>
                <w:sz w:val="2"/>
                <w:szCs w:val="28"/>
                <w:lang w:val="en-US" w:eastAsia="zh-CN"/>
              </w:rPr>
            </w:pPr>
          </w:p>
          <w:p w14:paraId="27763406">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具体成员责任在名单确定后落到上述岗位，导师定期检查阶段产物。资源和方法未达到进入条件时调整方案并留记录；论文审稿超过实施期时按真实已完成成果办理项目验收，不把计划进度自动改为发表状态。</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785FE92D">
            <w:pPr>
              <w:keepNext/>
              <w:keepLines/>
              <w:pageBreakBefore/>
              <w:numPr>
                <w:ilvl w:val="0"/>
                <w:numId w:val="0"/>
              </w:numPr>
              <w:spacing w:beforeLines="50" w:after="100" w:line="240" w:lineRule="auto"/>
              <w:jc w:val="both"/>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八、已有基础</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39AD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8FC3872">
                  <w:pPr>
                    <w:keepNext w:val="0"/>
                    <w:keepLines/>
                    <w:pageBreakBefore w:val="0"/>
                    <w:numPr>
                      <w:ilvl w:val="0"/>
                      <w:numId w:val="0"/>
                    </w:numPr>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1 文献与当前模型证据</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已形成17篇文献及正文对应，其中中文11篇、英文6篇；完成参数化台架、接口条件核对、未标定模型和离线软件。尚无真实硬件、无线、整机功耗、田间效果或已发表成果。当前诊断版本为20261004-A06A07-v1，使用与台架设计一致的C、R参数，历史配置另存，不混用统计。</w:t>
                  </w:r>
                </w:p>
              </w:tc>
            </w:tr>
          </w:tbl>
          <w:p w14:paraId="375B7BBB">
            <w:pPr>
              <w:keepNext/>
              <w:keepLines/>
              <w:numPr>
                <w:ilvl w:val="0"/>
                <w:numId w:val="0"/>
              </w:numPr>
              <w:spacing w:line="20" w:lineRule="exact"/>
              <w:jc w:val="both"/>
              <w:rPr>
                <w:rFonts w:hint="default" w:ascii="Times New Roman" w:hAnsi="Times New Roman" w:eastAsia="宋体" w:cs="Times New Roman"/>
                <w:b w:val="0"/>
                <w:sz w:val="2"/>
                <w:szCs w:val="28"/>
                <w:lang w:val="en-US" w:eastAsia="zh-CN"/>
              </w:rPr>
            </w:pPr>
          </w:p>
          <w:p w14:paraId="4B4688B6">
            <w:pPr>
              <w:keepNext w:val="0"/>
              <w:keepLines/>
              <w:numPr>
                <w:ilvl w:val="0"/>
                <w:numId w:val="0"/>
              </w:numPr>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六场景、四压力随机噪声档和20个基础种子形成480个合成试次，两规则形成960条配对结果；20个随机序列跨场景和噪声档复用，不是480个独立实物试验。两压力噪声假定独立，σ=0.3/1/3/10kPa，流量σ=0.02L/min；随机σ不等于厂家有界精度。图8保留固定Q对照与全部有效早期计数。</w:t>
            </w:r>
          </w:p>
          <w:p w14:paraId="7A5BFDA1">
            <w:pPr>
              <w:keepNext w:val="0"/>
              <w:keepLines/>
              <w:numPr>
                <w:ilvl w:val="0"/>
                <w:numId w:val="0"/>
              </w:numPr>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不同压力噪声下的有效早期计数 同源合成统计 非实测" type="#_x0000_t75" style="height:405.3pt;width:420pt;" filled="f" o:preferrelative="t" stroked="f" coordsize="21600,21600">
                  <v:path/>
                  <v:fill on="f" focussize="0,0"/>
                  <v:stroke on="f"/>
                  <v:imagedata r:id="rId13"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图8 不同压力噪声下的有效早期计数 同源合成统计 非实测</w:t>
            </w:r>
          </w:p>
          <w:p w14:paraId="398F0CD4">
            <w:pPr>
              <w:keepNext w:val="0"/>
              <w:keepLines/>
              <w:numPr>
                <w:ilvl w:val="0"/>
                <w:numId w:val="0"/>
              </w:numPr>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σ=0.3、1、3kPa时两类故障的K/R与固定Q均为20/20有效早期；σ=10kPa时K/R泄漏仅1/20、受限2/20，固定Q两类仍20/20。高噪声K/R泄漏含18次前期误报及1次首次模式错误，受限含18次前期误报，因此当前结果不能证明双压力方法普遍优于固定Q。图中Wilson95%区间只反映假定噪声生成器的组内比例，不能外推实物准确率。</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4CD7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02CFFC5F">
                  <w:pPr>
                    <w:keepNext w:val="0"/>
                    <w:keepLines/>
                    <w:pageBreakBefore w:val="0"/>
                    <w:numPr>
                      <w:ilvl w:val="0"/>
                      <w:numId w:val="0"/>
                    </w:numPr>
                    <w:spacing w:beforeLines="50" w:after="100" w:line="240" w:lineRule="auto"/>
                    <w:jc w:val="both"/>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种子10300、σ=0.3kPa：泄漏402s确认、454s到演示参照，提前52s；受限384s确认、494s到参照，提前110s。独立参照不输入检测规则；单轨迹提前量不能掩盖总体失败。</w:t>
                  </w:r>
                </w:p>
              </w:tc>
            </w:tr>
          </w:tbl>
          <w:p w14:paraId="45012EE4">
            <w:pPr>
              <w:keepNext w:val="0"/>
              <w:keepLines/>
              <w:numPr>
                <w:ilvl w:val="0"/>
                <w:numId w:val="0"/>
              </w:numPr>
              <w:spacing w:line="20" w:lineRule="exact"/>
              <w:jc w:val="both"/>
              <w:rPr>
                <w:rFonts w:hint="default" w:ascii="Times New Roman" w:hAnsi="Times New Roman" w:eastAsia="宋体" w:cs="Times New Roman"/>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4720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8A9EA74">
                  <w:pPr>
                    <w:keepNext w:val="0"/>
                    <w:keepLines/>
                    <w:pageBreakBefore w:val="0"/>
                    <w:numPr>
                      <w:ilvl w:val="0"/>
                      <w:numId w:val="0"/>
                    </w:numPr>
                    <w:spacing w:beforeLines="50" w:after="100" w:line="240" w:lineRule="auto"/>
                    <w:jc w:val="both"/>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图9展示必须保留的失败。未知正常负载按与泄漏相同总导流变化生成，与泄漏观测逐值相同；P0偏移会产生受限候选，负载指数失配也可能在正常供压变化时误报。现有压力差分、高斯滤波或增加显示页面不能消除这些条件限制，后续研究需测量标定、状态信息及有条件输出。</w:t>
                  </w:r>
                </w:p>
              </w:tc>
            </w:tr>
          </w:tbl>
          <w:p w14:paraId="059B521D">
            <w:pPr>
              <w:keepNext w:val="0"/>
              <w:keepLines/>
              <w:numPr>
                <w:ilvl w:val="0"/>
                <w:numId w:val="0"/>
              </w:numPr>
              <w:spacing w:line="20" w:lineRule="exact"/>
              <w:jc w:val="both"/>
              <w:rPr>
                <w:rFonts w:hint="default" w:ascii="Times New Roman" w:hAnsi="Times New Roman" w:eastAsia="宋体" w:cs="Times New Roman"/>
                <w:sz w:val="2"/>
                <w:szCs w:val="28"/>
                <w:lang w:val="en-US" w:eastAsia="zh-CN"/>
              </w:rPr>
            </w:pPr>
          </w:p>
          <w:p w14:paraId="4E89EC37">
            <w:pPr>
              <w:keepNext w:val="0"/>
              <w:keepLines/>
              <w:numPr>
                <w:ilvl w:val="0"/>
                <w:numId w:val="0"/>
              </w:numPr>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未知负载 漂移与模型失配反例 合成证据" type="#_x0000_t75" style="height:405.3pt;width:420pt;" filled="f" o:preferrelative="t" stroked="f" coordsize="21600,21600">
                  <v:path/>
                  <v:fill on="f" focussize="0,0"/>
                  <v:stroke on="f"/>
                  <v:imagedata r:id="rId14"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图9 未知负载 漂移与模型失配反例 合成证据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384B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5F3C541">
                  <w:pPr>
                    <w:keepNext w:val="0"/>
                    <w:keepLines/>
                    <w:pageBreakBefore w:val="0"/>
                    <w:numPr>
                      <w:ilvl w:val="0"/>
                      <w:numId w:val="0"/>
                    </w:numPr>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2 接口 软件及协议准备</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已核对17个候选引脚、正常采样量程、电平与供电设计预留；三维容量、局部交集和离散取出检查有同源记录。保护定值、器件采购与整体制造未验证。前序完成12组实际主机字节与SQLite事务检查，复现1920行历史通信回放，保留FIFO后续事件等待61秒反例；这些不构成真实节点或射频试验。</w:t>
                  </w:r>
                </w:p>
              </w:tc>
            </w:tr>
          </w:tbl>
          <w:p w14:paraId="348DA2C2">
            <w:pPr>
              <w:keepNext/>
              <w:keepLines/>
              <w:numPr>
                <w:ilvl w:val="0"/>
                <w:numId w:val="0"/>
              </w:numPr>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79AB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788F20BB">
                  <w:pPr>
                    <w:keepNext w:val="0"/>
                    <w:keepLines/>
                    <w:pageBreakBefore w:val="0"/>
                    <w:numPr>
                      <w:ilvl w:val="0"/>
                      <w:numId w:val="0"/>
                    </w:numPr>
                    <w:spacing w:beforeLines="50" w:after="100" w:line="240" w:lineRule="auto"/>
                    <w:jc w:val="both"/>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运行Web已接入当前版本24条冻结带噪观测，K/R̂取模型10样本均值。本轮六页面四宽度及横屏、20项软件流程和3个实际导出检查通过，截图来自原生浏览器；事件冻结来源与模型版本，离线/无效禁止恢复归档，人工操作与ACK分开。当前Web没有接入主机SQLite，独立主机检查不能相加称系统端到端完成。</w:t>
                  </w:r>
                </w:p>
              </w:tc>
            </w:tr>
          </w:tbl>
          <w:p w14:paraId="0C5BCAD5">
            <w:pPr>
              <w:keepNext w:val="0"/>
              <w:keepLines/>
              <w:numPr>
                <w:ilvl w:val="0"/>
                <w:numId w:val="0"/>
              </w:numPr>
              <w:spacing w:line="20" w:lineRule="exact"/>
              <w:jc w:val="both"/>
              <w:rPr>
                <w:rFonts w:hint="default" w:ascii="Times New Roman" w:hAnsi="Times New Roman" w:eastAsia="宋体" w:cs="Times New Roman"/>
                <w:sz w:val="2"/>
                <w:szCs w:val="28"/>
                <w:lang w:val="en-US" w:eastAsia="zh-CN"/>
              </w:rPr>
            </w:pPr>
          </w:p>
          <w:p w14:paraId="3F7D4C4E">
            <w:pPr>
              <w:keepNext w:val="0"/>
              <w:keepLines/>
              <w:numPr>
                <w:ilvl w:val="0"/>
                <w:numId w:val="0"/>
              </w:numPr>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程序、JSON/CSV、参数、图源和验收记录随附件提供。图文审阅标明支撑主张及限制，额外量程、误差、安装、计量与整页截图作为电子附件，不重复堆入正文。</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0178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18E3E4C">
                  <w:pPr>
                    <w:keepNext w:val="0"/>
                    <w:keepLines/>
                    <w:pageBreakBefore w:val="0"/>
                    <w:numPr>
                      <w:ilvl w:val="0"/>
                      <w:numId w:val="0"/>
                    </w:numPr>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 尚缺条件及落实顺序</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负责人会焊接，启动额度约2000元。先落实开发分工、水源与独立参考，再询价两压力规格，冻结BOM、接口和采集保护。成员、场地、导师支持及实际电脑条件待确认；现场自行联系，未获许可时先完成台架，南疆适应性保留待项。</w:t>
                  </w:r>
                </w:p>
              </w:tc>
            </w:tr>
          </w:tbl>
          <w:p w14:paraId="035CAC0D">
            <w:pPr>
              <w:keepNext/>
              <w:keepLines/>
              <w:numPr>
                <w:ilvl w:val="0"/>
                <w:numId w:val="0"/>
              </w:numPr>
              <w:spacing w:line="20" w:lineRule="exact"/>
              <w:jc w:val="both"/>
              <w:rPr>
                <w:rFonts w:hint="default" w:ascii="Times New Roman" w:hAnsi="Times New Roman" w:eastAsia="宋体" w:cs="Times New Roman"/>
                <w:b w:val="0"/>
                <w:sz w:val="2"/>
                <w:szCs w:val="28"/>
                <w:lang w:val="en-US" w:eastAsia="zh-CN"/>
              </w:rPr>
            </w:pPr>
          </w:p>
          <w:p w14:paraId="520D9123">
            <w:pPr>
              <w:keepNext w:val="0"/>
              <w:keepLines/>
              <w:numPr>
                <w:ilvl w:val="0"/>
                <w:numId w:val="0"/>
              </w:numPr>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测量不达标时调整可检程度与研究目标；报价或借用不能落实时重编预算和任务书。没有电流设备就不声明整机节能，没有现场故障标签就不计算田间检出率；将未解决条件列入阶段检查，不编写为已有实验室、合作基地或获奖成绩。</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09093E88">
            <w:pPr>
              <w:keepNext/>
              <w:keepLines/>
              <w:spacing w:beforeLines="50" w:after="100" w:line="240" w:lineRule="auto"/>
              <w:jc w:val="both"/>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九、项目经费使用计划</w:t>
            </w:r>
          </w:p>
          <w:p w14:paraId="41D9A9B4">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表4按2000元启动额度设条件性上限，不是学校资助或整机报价。两压力合计680元为预算帽，每只340元不是询价结果；指定规格报价超过此帽即超出基础预算。其他项上限合计1320元，正式科目及申请额按本批要求、真实询价和导师审核重编。</w:t>
            </w:r>
          </w:p>
          <w:p w14:paraId="4EA766BE">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预算以已有电脑和借用水源、独立压力/流量参考及电流设备为前提，不含新泵站、多节点或论文费。厂家和淘宝入口附选型记录，配图是供应商产品而非样机；现货、规格与借用待确认。扩大资助优先补标定与独立验证。</w:t>
            </w:r>
          </w:p>
          <w:tbl>
            <w:tblPr>
              <w:tblStyle w:val="6"/>
              <w:tblW w:w="85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00"/>
            </w:tblGrid>
            <w:tr w14:paraId="717DE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DEFC1F7">
                  <w:pPr>
                    <w:keepNext w:val="0"/>
                    <w:keepLines/>
                    <w:spacing w:beforeLines="50" w:after="140" w:line="240" w:lineRule="auto"/>
                    <w:jc w:val="both"/>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表4 候选资源与条件预算</w:t>
                  </w:r>
                </w:p>
                <w:tbl>
                  <w:tblPr>
                    <w:tblStyle w:val="6"/>
                    <w:tblW w:w="8500" w:type="dxa"/>
                    <w:tblInd w:w="3"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2200"/>
                    <w:gridCol w:w="1100"/>
                    <w:gridCol w:w="5200"/>
                  </w:tblGrid>
                  <w:tr w14:paraId="1E03C914">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trPr>
                    <w:tc>
                      <w:tcPr>
                        <w:tcW w:w="2200" w:type="dxa"/>
                        <w:tcBorders>
                          <w:tl2br w:val="nil"/>
                          <w:tr2bl w:val="nil"/>
                        </w:tcBorders>
                        <w:shd w:val="clear" w:color="auto" w:fill="EDEDED"/>
                        <w:vAlign w:val="center"/>
                      </w:tcPr>
                      <w:p w14:paraId="0411DB38">
                        <w:pPr>
                          <w:keepNext/>
                          <w:keepLines/>
                          <w:spacing w:beforeLines="50" w:after="40" w:line="240" w:lineRule="auto"/>
                          <w:jc w:val="both"/>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用途</w:t>
                        </w:r>
                      </w:p>
                    </w:tc>
                    <w:tc>
                      <w:tcPr>
                        <w:tcW w:w="1100" w:type="dxa"/>
                        <w:tcBorders>
                          <w:tl2br w:val="nil"/>
                          <w:tr2bl w:val="nil"/>
                        </w:tcBorders>
                        <w:shd w:val="clear" w:color="auto" w:fill="EDEDED"/>
                        <w:vAlign w:val="center"/>
                      </w:tcPr>
                      <w:p w14:paraId="5383F25E">
                        <w:pPr>
                          <w:keepNext/>
                          <w:keepLines/>
                          <w:spacing w:beforeLines="50" w:after="40" w:line="240" w:lineRule="auto"/>
                          <w:jc w:val="both"/>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上限 元</w:t>
                        </w:r>
                      </w:p>
                    </w:tc>
                    <w:tc>
                      <w:tcPr>
                        <w:tcW w:w="5200" w:type="dxa"/>
                        <w:tcBorders>
                          <w:tl2br w:val="nil"/>
                          <w:tr2bl w:val="nil"/>
                        </w:tcBorders>
                        <w:shd w:val="clear" w:color="auto" w:fill="EDEDED"/>
                        <w:vAlign w:val="center"/>
                      </w:tcPr>
                      <w:p w14:paraId="3CFC1569">
                        <w:pPr>
                          <w:keepNext/>
                          <w:keepLines/>
                          <w:spacing w:beforeLines="50" w:after="40" w:line="240" w:lineRule="auto"/>
                          <w:jc w:val="both"/>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配置与价格依据</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200" w:type="dxa"/>
                        <w:tcBorders>
                          <w:tl2br w:val="nil"/>
                          <w:tr2bl w:val="nil"/>
                        </w:tcBorders>
                        <w:shd w:val="clear" w:color="auto" w:fill="FFFFFF"/>
                        <w:vAlign w:val="center"/>
                      </w:tcPr>
                      <w:p w14:paraId="1F5A1AD4">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主控 无线 日志 调试</w:t>
                        </w:r>
                      </w:p>
                    </w:tc>
                    <w:tc>
                      <w:tcPr>
                        <w:tcW w:w="1100" w:type="dxa"/>
                        <w:tcBorders>
                          <w:tl2br w:val="nil"/>
                          <w:tr2bl w:val="nil"/>
                        </w:tcBorders>
                        <w:shd w:val="clear" w:color="auto" w:fill="FFFFFF"/>
                        <w:vAlign w:val="center"/>
                      </w:tcPr>
                      <w:p w14:paraId="0B030ABF">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350</w:t>
                        </w:r>
                      </w:p>
                    </w:tc>
                    <w:tc>
                      <w:tcPr>
                        <w:tcW w:w="5200" w:type="dxa"/>
                        <w:tcBorders>
                          <w:tl2br w:val="nil"/>
                          <w:tr2bl w:val="nil"/>
                        </w:tcBorders>
                        <w:shd w:val="clear" w:color="auto" w:fill="FFFFFF"/>
                        <w:vAlign w:val="center"/>
                      </w:tcPr>
                      <w:p w14:paraId="110EFE6B">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1个MCU、2只E220、天线、SD与USB-TTL，整体待报价</w:t>
                        </w:r>
                      </w:p>
                    </w:tc>
                  </w:tr>
                  <w:tr w14:paraId="71B0AD9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200" w:type="dxa"/>
                        <w:tcBorders>
                          <w:tl2br w:val="nil"/>
                          <w:tr2bl w:val="nil"/>
                        </w:tcBorders>
                        <w:shd w:val="clear" w:color="auto" w:fill="FFFFFF"/>
                        <w:vAlign w:val="center"/>
                      </w:tcPr>
                      <w:p w14:paraId="01B8361D">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两压力变送器</w:t>
                        </w:r>
                      </w:p>
                    </w:tc>
                    <w:tc>
                      <w:tcPr>
                        <w:tcW w:w="1100" w:type="dxa"/>
                        <w:tcBorders>
                          <w:tl2br w:val="nil"/>
                          <w:tr2bl w:val="nil"/>
                        </w:tcBorders>
                        <w:shd w:val="clear" w:color="auto" w:fill="FFFFFF"/>
                        <w:vAlign w:val="center"/>
                      </w:tcPr>
                      <w:p w14:paraId="76FEE3EC">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680</w:t>
                        </w:r>
                      </w:p>
                    </w:tc>
                    <w:tc>
                      <w:tcPr>
                        <w:tcW w:w="5200" w:type="dxa"/>
                        <w:tcBorders>
                          <w:tl2br w:val="nil"/>
                          <w:tr2bl w:val="nil"/>
                        </w:tcBorders>
                        <w:shd w:val="clear" w:color="auto" w:fill="FFFFFF"/>
                        <w:vAlign w:val="center"/>
                      </w:tcPr>
                      <w:p w14:paraId="606810E8">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0—200kPa、A1或书面等效、4—20mA；每只340预算帽，未报价</w:t>
                        </w:r>
                      </w:p>
                    </w:tc>
                  </w:tr>
                  <w:tr w14:paraId="5C580C0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200" w:type="dxa"/>
                        <w:tcBorders>
                          <w:tl2br w:val="nil"/>
                          <w:tr2bl w:val="nil"/>
                        </w:tcBorders>
                        <w:shd w:val="clear" w:color="auto" w:fill="FFFFFF"/>
                        <w:vAlign w:val="center"/>
                      </w:tcPr>
                      <w:p w14:paraId="515FF213">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流量与压力ADC</w:t>
                        </w:r>
                      </w:p>
                    </w:tc>
                    <w:tc>
                      <w:tcPr>
                        <w:tcW w:w="1100" w:type="dxa"/>
                        <w:tcBorders>
                          <w:tl2br w:val="nil"/>
                          <w:tr2bl w:val="nil"/>
                        </w:tcBorders>
                        <w:shd w:val="clear" w:color="auto" w:fill="FFFFFF"/>
                        <w:vAlign w:val="center"/>
                      </w:tcPr>
                      <w:p w14:paraId="4AA5B5F4">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200</w:t>
                        </w:r>
                      </w:p>
                    </w:tc>
                    <w:tc>
                      <w:tcPr>
                        <w:tcW w:w="5200" w:type="dxa"/>
                        <w:tcBorders>
                          <w:tl2br w:val="nil"/>
                          <w:tr2bl w:val="nil"/>
                        </w:tcBorders>
                        <w:shd w:val="clear" w:color="auto" w:fill="FFFFFF"/>
                        <w:vAlign w:val="center"/>
                      </w:tcPr>
                      <w:p w14:paraId="5BF10FC8">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SEN0549与ADS1115候选；10月4日官网展示109与79元，非成交价</w:t>
                        </w:r>
                      </w:p>
                    </w:tc>
                  </w:tr>
                  <w:tr w14:paraId="1AC9D31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200" w:type="dxa"/>
                        <w:tcBorders>
                          <w:tl2br w:val="nil"/>
                          <w:tr2bl w:val="nil"/>
                        </w:tcBorders>
                        <w:shd w:val="clear" w:color="auto" w:fill="FFFFFF"/>
                        <w:vAlign w:val="center"/>
                      </w:tcPr>
                      <w:p w14:paraId="0A57C380">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模拟调理及电平</w:t>
                        </w:r>
                      </w:p>
                    </w:tc>
                    <w:tc>
                      <w:tcPr>
                        <w:tcW w:w="1100" w:type="dxa"/>
                        <w:tcBorders>
                          <w:tl2br w:val="nil"/>
                          <w:tr2bl w:val="nil"/>
                        </w:tcBorders>
                        <w:shd w:val="clear" w:color="auto" w:fill="FFFFFF"/>
                        <w:vAlign w:val="center"/>
                      </w:tcPr>
                      <w:p w14:paraId="7691BA4F">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80</w:t>
                        </w:r>
                      </w:p>
                    </w:tc>
                    <w:tc>
                      <w:tcPr>
                        <w:tcW w:w="5200" w:type="dxa"/>
                        <w:tcBorders>
                          <w:tl2br w:val="nil"/>
                          <w:tr2bl w:val="nil"/>
                        </w:tcBorders>
                        <w:shd w:val="clear" w:color="auto" w:fill="FFFFFF"/>
                        <w:vAlign w:val="center"/>
                      </w:tcPr>
                      <w:p w14:paraId="4CC453AC">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精密电阻、保护、SN74LVC1G17和连接，保护定值未冻结</w:t>
                        </w:r>
                      </w:p>
                    </w:tc>
                  </w:tr>
                  <w:tr w14:paraId="4273814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200" w:type="dxa"/>
                        <w:tcBorders>
                          <w:tl2br w:val="nil"/>
                          <w:tr2bl w:val="nil"/>
                        </w:tcBorders>
                        <w:shd w:val="clear" w:color="auto" w:fill="FFFFFF"/>
                        <w:vAlign w:val="center"/>
                      </w:tcPr>
                      <w:p w14:paraId="7B1919BB">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水路及独立收集</w:t>
                        </w:r>
                      </w:p>
                    </w:tc>
                    <w:tc>
                      <w:tcPr>
                        <w:tcW w:w="1100" w:type="dxa"/>
                        <w:tcBorders>
                          <w:tl2br w:val="nil"/>
                          <w:tr2bl w:val="nil"/>
                        </w:tcBorders>
                        <w:shd w:val="clear" w:color="auto" w:fill="FFFFFF"/>
                        <w:vAlign w:val="center"/>
                      </w:tcPr>
                      <w:p w14:paraId="4E23B4AB">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350</w:t>
                        </w:r>
                      </w:p>
                    </w:tc>
                    <w:tc>
                      <w:tcPr>
                        <w:tcW w:w="5200" w:type="dxa"/>
                        <w:tcBorders>
                          <w:tl2br w:val="nil"/>
                          <w:tr2bl w:val="nil"/>
                        </w:tcBorders>
                        <w:shd w:val="clear" w:color="auto" w:fill="FFFFFF"/>
                        <w:vAlign w:val="center"/>
                      </w:tcPr>
                      <w:p w14:paraId="40323D66">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阀、三通、活接、回水、容器与夹具，不含水源采购</w:t>
                        </w:r>
                      </w:p>
                    </w:tc>
                  </w:tr>
                  <w:tr w14:paraId="442EF55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200" w:type="dxa"/>
                        <w:tcBorders>
                          <w:tl2br w:val="nil"/>
                          <w:tr2bl w:val="nil"/>
                        </w:tcBorders>
                        <w:shd w:val="clear" w:color="auto" w:fill="FFFFFF"/>
                        <w:vAlign w:val="center"/>
                      </w:tcPr>
                      <w:p w14:paraId="63B7E986">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供电及安装防护</w:t>
                        </w:r>
                      </w:p>
                    </w:tc>
                    <w:tc>
                      <w:tcPr>
                        <w:tcW w:w="1100" w:type="dxa"/>
                        <w:tcBorders>
                          <w:tl2br w:val="nil"/>
                          <w:tr2bl w:val="nil"/>
                        </w:tcBorders>
                        <w:shd w:val="clear" w:color="auto" w:fill="FFFFFF"/>
                        <w:vAlign w:val="center"/>
                      </w:tcPr>
                      <w:p w14:paraId="37E7951B">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200</w:t>
                        </w:r>
                      </w:p>
                    </w:tc>
                    <w:tc>
                      <w:tcPr>
                        <w:tcW w:w="5200" w:type="dxa"/>
                        <w:tcBorders>
                          <w:tl2br w:val="nil"/>
                          <w:tr2bl w:val="nil"/>
                        </w:tcBorders>
                        <w:shd w:val="clear" w:color="auto" w:fill="FFFFFF"/>
                        <w:vAlign w:val="center"/>
                      </w:tcPr>
                      <w:p w14:paraId="50E2BF53">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24V回路、降压、外壳和安装，实物瞬态待检验</w:t>
                        </w:r>
                      </w:p>
                    </w:tc>
                  </w:tr>
                  <w:tr w14:paraId="6898729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200" w:type="dxa"/>
                        <w:tcBorders>
                          <w:tl2br w:val="nil"/>
                          <w:tr2bl w:val="nil"/>
                        </w:tcBorders>
                        <w:shd w:val="clear" w:color="auto" w:fill="FFFFFF"/>
                        <w:vAlign w:val="center"/>
                      </w:tcPr>
                      <w:p w14:paraId="49DFA0BB">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记录耗材</w:t>
                        </w:r>
                      </w:p>
                    </w:tc>
                    <w:tc>
                      <w:tcPr>
                        <w:tcW w:w="1100" w:type="dxa"/>
                        <w:tcBorders>
                          <w:tl2br w:val="nil"/>
                          <w:tr2bl w:val="nil"/>
                        </w:tcBorders>
                        <w:shd w:val="clear" w:color="auto" w:fill="FFFFFF"/>
                        <w:vAlign w:val="center"/>
                      </w:tcPr>
                      <w:p w14:paraId="4F7C6BA6">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60</w:t>
                        </w:r>
                      </w:p>
                    </w:tc>
                    <w:tc>
                      <w:tcPr>
                        <w:tcW w:w="5200" w:type="dxa"/>
                        <w:tcBorders>
                          <w:tl2br w:val="nil"/>
                          <w:tr2bl w:val="nil"/>
                        </w:tcBorders>
                        <w:shd w:val="clear" w:color="auto" w:fill="FFFFFF"/>
                        <w:vAlign w:val="center"/>
                      </w:tcPr>
                      <w:p w14:paraId="5E5F85DF">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实验记录与必要消耗，按允许科目报销</w:t>
                        </w:r>
                      </w:p>
                    </w:tc>
                  </w:tr>
                  <w:tr w14:paraId="1A993EEE">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200" w:type="dxa"/>
                        <w:tcBorders>
                          <w:tl2br w:val="nil"/>
                          <w:tr2bl w:val="nil"/>
                        </w:tcBorders>
                        <w:shd w:val="clear" w:color="auto" w:fill="FFFFFF"/>
                        <w:vAlign w:val="center"/>
                      </w:tcPr>
                      <w:p w14:paraId="53B087D9">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返工预留</w:t>
                        </w:r>
                      </w:p>
                    </w:tc>
                    <w:tc>
                      <w:tcPr>
                        <w:tcW w:w="1100" w:type="dxa"/>
                        <w:tcBorders>
                          <w:tl2br w:val="nil"/>
                          <w:tr2bl w:val="nil"/>
                        </w:tcBorders>
                        <w:shd w:val="clear" w:color="auto" w:fill="FFFFFF"/>
                        <w:vAlign w:val="center"/>
                      </w:tcPr>
                      <w:p w14:paraId="4F77520F">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80</w:t>
                        </w:r>
                      </w:p>
                    </w:tc>
                    <w:tc>
                      <w:tcPr>
                        <w:tcW w:w="5200" w:type="dxa"/>
                        <w:tcBorders>
                          <w:tl2br w:val="nil"/>
                          <w:tr2bl w:val="nil"/>
                        </w:tcBorders>
                        <w:shd w:val="clear" w:color="auto" w:fill="FFFFFF"/>
                        <w:vAlign w:val="center"/>
                      </w:tcPr>
                      <w:p w14:paraId="18802CED">
                        <w:pPr>
                          <w:keepNext/>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按询价及学校规定调剂，不作已发生支出</w:t>
                        </w:r>
                      </w:p>
                    </w:tc>
                  </w:tr>
                  <w:tr w14:paraId="0F95E68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200" w:type="dxa"/>
                        <w:tcBorders>
                          <w:tl2br w:val="nil"/>
                          <w:tr2bl w:val="nil"/>
                        </w:tcBorders>
                        <w:shd w:val="clear" w:color="auto" w:fill="FFFFFF"/>
                        <w:vAlign w:val="center"/>
                      </w:tcPr>
                      <w:p w14:paraId="1DD58664">
                        <w:pPr>
                          <w:keepNext w:val="0"/>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合计</w:t>
                        </w:r>
                      </w:p>
                    </w:tc>
                    <w:tc>
                      <w:tcPr>
                        <w:tcW w:w="1100" w:type="dxa"/>
                        <w:tcBorders>
                          <w:tl2br w:val="nil"/>
                          <w:tr2bl w:val="nil"/>
                        </w:tcBorders>
                        <w:shd w:val="clear" w:color="auto" w:fill="FFFFFF"/>
                        <w:vAlign w:val="center"/>
                      </w:tcPr>
                      <w:p w14:paraId="5D0E9759">
                        <w:pPr>
                          <w:keepNext w:val="0"/>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2000</w:t>
                        </w:r>
                      </w:p>
                    </w:tc>
                    <w:tc>
                      <w:tcPr>
                        <w:tcW w:w="5200" w:type="dxa"/>
                        <w:tcBorders>
                          <w:tl2br w:val="nil"/>
                          <w:tr2bl w:val="nil"/>
                        </w:tcBorders>
                        <w:shd w:val="clear" w:color="auto" w:fill="FFFFFF"/>
                        <w:vAlign w:val="center"/>
                      </w:tcPr>
                      <w:p w14:paraId="78030F59">
                        <w:pPr>
                          <w:keepNext w:val="0"/>
                          <w:keepLines/>
                          <w:spacing w:beforeLines="50" w:after="40" w:line="240" w:lineRule="auto"/>
                          <w:jc w:val="both"/>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其他1320＋双压力680；全部为条件预算</w:t>
                        </w:r>
                      </w:p>
                    </w:tc>
                  </w:tr>
                </w:tbl>
                <w:p w14:paraId="1E4A3410">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700CEC5">
            <w:pPr>
              <w:keepNext w:val="0"/>
              <w:keepLines/>
              <w:spacing w:line="20" w:lineRule="exact"/>
              <w:jc w:val="both"/>
              <w:rPr>
                <w:rFonts w:hint="default" w:ascii="Times New Roman" w:hAnsi="Times New Roman" w:eastAsia="宋体" w:cs="Times New Roman"/>
                <w:sz w:val="2"/>
                <w:szCs w:val="28"/>
                <w:lang w:val="en-US" w:eastAsia="zh-CN"/>
              </w:rPr>
            </w:pP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lang/>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lang/>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228E066-A289-4023-A8AF-44B5667A808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6DECD086-F288-438A-ABE8-BC22E968CAC0}"/>
  </w:font>
  <w:font w:name="小标宋">
    <w:altName w:val="微软雅黑"/>
    <w:panose1 w:val="03000509000000000000"/>
    <w:charset w:val="86"/>
    <w:family w:val="auto"/>
    <w:pitch w:val="default"/>
    <w:sig w:usb0="00000001" w:usb1="080E0000" w:usb2="00000000" w:usb3="00000000" w:csb0="00040000" w:csb1="00000000"/>
    <w:embedRegular r:id="rId3" w:fontKey="{496C08BD-EA25-4E95-8CE5-8F23F1C172C8}"/>
  </w:font>
  <w:font w:name="楷体_GB2312">
    <w:altName w:val="楷体"/>
    <w:panose1 w:val="02010609030101010101"/>
    <w:charset w:val="86"/>
    <w:family w:val="modern"/>
    <w:pitch w:val="default"/>
    <w:sig w:usb0="00000001" w:usb1="080E0000" w:usb2="00000000" w:usb3="00000000" w:csb0="00040000" w:csb1="00000000"/>
    <w:embedRegular r:id="rId4" w:fontKey="{D453D8F5-02A3-4887-902E-C7F603482CCB}"/>
  </w:font>
  <w:font w:name="仿宋_GB2312">
    <w:altName w:val="仿宋"/>
    <w:panose1 w:val="02010609030101010101"/>
    <w:charset w:val="86"/>
    <w:family w:val="modern"/>
    <w:pitch w:val="default"/>
    <w:sig w:usb0="00000001" w:usb1="080E0000" w:usb2="00000000" w:usb3="00000000" w:csb0="00040000" w:csb1="00000000"/>
    <w:embedRegular r:id="rId5" w:fontKey="{4DCB1228-297F-4568-9542-D0D557D25429}"/>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B0419E3"/>
    <w:rsid w:val="0F8A271E"/>
    <w:rsid w:val="18A40355"/>
    <w:rsid w:val="19F92A7C"/>
    <w:rsid w:val="24D448BC"/>
    <w:rsid w:val="2B7175E9"/>
    <w:rsid w:val="391E4B76"/>
    <w:rsid w:val="46006614"/>
    <w:rsid w:val="50BC0C37"/>
    <w:rsid w:val="532474A3"/>
    <w:rsid w:val="5C4F0B22"/>
    <w:rsid w:val="5DAE1817"/>
    <w:rsid w:val="5FC33C0F"/>
    <w:rsid w:val="61892ED4"/>
    <w:rsid w:val="62864897"/>
    <w:rsid w:val="63F4655B"/>
    <w:rsid w:val="7A0F27A6"/>
    <w:rsid w:val="7C076A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宋体"/>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spacing w:before="100" w:beforeAutospacing="1" w:after="100" w:afterAutospacing="1"/>
      <w:ind w:left="0" w:right="0"/>
      <w:jc w:val="left"/>
    </w:pPr>
    <w:rPr>
      <w:kern w:val="0"/>
      <w:sz w:val="24"/>
      <w:lang w:val="en-US" w:eastAsia="zh-CN" w:bidi="ar"/>
    </w:rPr>
  </w:style>
  <w:style w:type="table" w:styleId="6">
    <w:name w:val="Table Grid"/>
    <w:basedOn w:val="5"/>
    <w:uiPriority w:val="0"/>
    <w:pPr>
      <w:widowControl w:val="0"/>
      <w:jc w:val="both"/>
    </w:pPr>
    <w:rPr>
      <w:rFonts w:eastAsia="宋体"/>
    </w:r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23</Pages>
  <Words>477</Words>
  <Characters>481</Characters>
  <Lines>7</Lines>
  <Paragraphs>2</Paragraphs>
  <TotalTime>0</TotalTime>
  <ScaleCrop>false</ScaleCrop>
  <LinksUpToDate>false</LinksUpToDate>
  <CharactersWithSpaces>761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2022-10-26T02:38:36Z</cp:lastPrinted>
  <dcterms:modified xsi:type="dcterms:W3CDTF">2026-10-04T19:22:50Z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ies>
</file>