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南疆滴灌支管道故障诊断系统实施项目书</w:t>
      </w:r>
    </w:p>
    <w:p>
      <w:pPr>
        <w:widowControl/>
        <w:jc w:val="both"/>
      </w:pPr>
      <w:r>
        <w:t>项目名称：基于 LoRa 的南疆滴灌支管道早期故障诊断物联网原型系统</w:t>
      </w:r>
    </w:p>
    <w:p>
      <w:pPr>
        <w:widowControl/>
        <w:jc w:val="both"/>
      </w:pPr>
      <w:r>
        <w:t>项目类别：大学生创新训练项目；拟实施期：2027年3月至2028年2月。</w:t>
      </w:r>
    </w:p>
    <w:p>
      <w:pPr>
        <w:widowControl/>
        <w:jc w:val="both"/>
      </w:pPr>
      <w:r>
        <w:t>编制日期：2026年10月5日；版本：实施规划第一版。</w:t>
      </w:r>
    </w:p>
    <w:p>
      <w:pPr>
        <w:widowControl/>
        <w:jc w:val="both"/>
      </w:pPr>
      <w:r>
        <w:t>负责人、指导教师、团队成员、正式编号及获批级别：待真实立项资料确认。</w:t>
      </w:r>
    </w:p>
    <w:p>
      <w:pPr>
        <w:widowControl/>
        <w:jc w:val="both"/>
      </w:pPr>
      <w:r>
        <w:t>本书供负责人、导师及团队安排工作、检查阶段产物和控制变更。目标是完成一个可重复验证的物联网原型及一篇有真实数据支撑的论文稿。当前主要成果为模型、几何设计、接口论证、主机协议检查和合成数据网站；采购、标定、实物与田间验证尚未开展。</w:t>
      </w:r>
    </w:p>
    <w:p>
      <w:pPr>
        <w:widowControl/>
        <w:jc w:val="both"/>
      </w:pPr>
      <w:r>
        <w:t>本书为自主编制的实施执行稿。学校正式任务书在立项后按当批模板填写，名称、编号、人员、经费及目标须与批准材料对应；本书不替代学校审批表。</w:t>
      </w:r>
    </w:p>
    <w:p>
      <w:pPr>
        <w:pStyle w:val="Heading1"/>
        <w:pageBreakBefore/>
      </w:pPr>
      <w:r>
        <w:t>一 项目目标与交付边界</w:t>
      </w:r>
    </w:p>
    <w:p>
      <w:pPr>
        <w:pStyle w:val="Heading2"/>
      </w:pPr>
      <w:r>
        <w:t>1 研究问题和系统任务</w:t>
      </w:r>
    </w:p>
    <w:p>
      <w:pPr>
        <w:widowControl/>
        <w:jc w:val="both"/>
      </w:pPr>
      <w:r>
        <w:t>围绕低成本双压力流量测量，在供压及轮灌负载改变时，研究等效泄漏与等效受限何时可辨、何时必须暂缓归因。围绕同一检测规则，研究周期与事件上报在有限无线链路下的远端及时性、未送达及通信开销。系统训练覆盖测量、嵌入式日志、LoRa、接收存储、Web和独立实验，研究贡献取决于对照和实测结论。</w:t>
      </w:r>
    </w:p>
    <w:p>
      <w:pPr>
        <w:widowControl/>
        <w:jc w:val="both"/>
      </w:pPr>
      <w:r>
        <w:t>基础交付限定为一个P0/P1/Q感知诊断节点、一个E220接收桥、现有PC上的接收服务及SQLite、本地六模块Web和双支路清水台架。A为监测支路，B仅作正常负载切换。监测位置是两压力点包围区段及其下游等效负载，不能精确定位每个滴头。自动阀控、云端、太阳能和多节点另有资源与验证要求。</w:t>
      </w:r>
    </w:p>
    <w:p>
      <w:pPr>
        <w:pStyle w:val="Heading2"/>
      </w:pPr>
      <w:r>
        <w:t>2 三阶段目标及证据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800"/>
        <w:gridCol w:w="2700"/>
        <w:gridCol w:w="3900"/>
      </w:tblGrid>
      <w:tr>
        <w:trPr>
          <w:cantSplit/>
          <w:tblHeader/>
        </w:trPr>
        <w:tc>
          <w:tcPr>
            <w:tcW w:type="dxa" w:w="1800"/>
            <w:vAlign w:val="center"/>
            <w:shd w:fill="F0F0F0"/>
          </w:tcPr>
          <w:p>
            <w:pPr>
              <w:keepNext/>
              <w:spacing w:after="60" w:before="60" w:line="276" w:lineRule="auto"/>
            </w:pPr>
            <w:r>
              <w:rPr>
                <w:b/>
                <w:sz w:val="21"/>
              </w:rPr>
              <w:t>阶段</w:t>
            </w:r>
          </w:p>
        </w:tc>
        <w:tc>
          <w:tcPr>
            <w:tcW w:type="dxa" w:w="2700"/>
            <w:vAlign w:val="center"/>
            <w:shd w:fill="F0F0F0"/>
          </w:tcPr>
          <w:p>
            <w:pPr>
              <w:keepNext/>
              <w:spacing w:after="60" w:before="60" w:line="276" w:lineRule="auto"/>
            </w:pPr>
            <w:r>
              <w:rPr>
                <w:b/>
                <w:sz w:val="21"/>
              </w:rPr>
              <w:t>应完成的内容</w:t>
            </w:r>
          </w:p>
        </w:tc>
        <w:tc>
          <w:tcPr>
            <w:tcW w:type="dxa" w:w="3900"/>
            <w:vAlign w:val="center"/>
            <w:shd w:fill="F0F0F0"/>
          </w:tcPr>
          <w:p>
            <w:pPr>
              <w:keepNext/>
              <w:spacing w:after="60" w:before="60" w:line="276" w:lineRule="auto"/>
            </w:pPr>
            <w:r>
              <w:rPr>
                <w:b/>
                <w:sz w:val="21"/>
              </w:rPr>
              <w:t>验收所需证据</w:t>
            </w:r>
          </w:p>
        </w:tc>
      </w:tr>
      <w:tr>
        <w:trPr>
          <w:cantSplit/>
        </w:trPr>
        <w:tc>
          <w:tcPr>
            <w:tcW w:type="dxa" w:w="1800"/>
            <w:vAlign w:val="center"/>
          </w:tcPr>
          <w:p>
            <w:pPr>
              <w:keepNext/>
              <w:spacing w:after="60" w:before="60" w:line="276" w:lineRule="auto"/>
            </w:pPr>
            <w:r>
              <w:rPr>
                <w:b w:val="0"/>
                <w:sz w:val="21"/>
              </w:rPr>
              <w:t>立项准备</w:t>
            </w:r>
          </w:p>
        </w:tc>
        <w:tc>
          <w:tcPr>
            <w:tcW w:type="dxa" w:w="2700"/>
            <w:vAlign w:val="center"/>
          </w:tcPr>
          <w:p>
            <w:pPr>
              <w:keepNext/>
              <w:spacing w:after="60" w:before="60" w:line="276" w:lineRule="auto"/>
            </w:pPr>
            <w:r>
              <w:rPr>
                <w:b w:val="0"/>
                <w:sz w:val="21"/>
              </w:rPr>
              <w:t>九节申报书、支撑模型与图、资源计划；稳定后同步PPT</w:t>
            </w:r>
          </w:p>
        </w:tc>
        <w:tc>
          <w:tcPr>
            <w:tcW w:type="dxa" w:w="3900"/>
            <w:vAlign w:val="center"/>
          </w:tcPr>
          <w:p>
            <w:pPr>
              <w:keepNext/>
              <w:spacing w:after="60" w:before="60" w:line="276" w:lineRule="auto"/>
            </w:pPr>
            <w:r>
              <w:rPr>
                <w:b w:val="0"/>
                <w:sz w:val="21"/>
              </w:rPr>
              <w:t>原模板、可复算数据、图片来源与适用边界；已做与拟做分开</w:t>
            </w:r>
          </w:p>
        </w:tc>
      </w:tr>
      <w:tr>
        <w:trPr>
          <w:cantSplit/>
        </w:trPr>
        <w:tc>
          <w:tcPr>
            <w:tcW w:type="dxa" w:w="1800"/>
            <w:vAlign w:val="center"/>
          </w:tcPr>
          <w:p>
            <w:pPr>
              <w:keepNext/>
              <w:spacing w:after="60" w:before="60" w:line="276" w:lineRule="auto"/>
            </w:pPr>
            <w:r>
              <w:rPr>
                <w:b w:val="0"/>
                <w:sz w:val="21"/>
              </w:rPr>
              <w:t>大创实施和结项</w:t>
            </w:r>
          </w:p>
        </w:tc>
        <w:tc>
          <w:tcPr>
            <w:tcW w:type="dxa" w:w="2700"/>
            <w:vAlign w:val="center"/>
          </w:tcPr>
          <w:p>
            <w:pPr>
              <w:keepNext/>
              <w:spacing w:after="60" w:before="60" w:line="276" w:lineRule="auto"/>
            </w:pPr>
            <w:r>
              <w:rPr>
                <w:b w:val="0"/>
                <w:sz w:val="21"/>
              </w:rPr>
              <w:t>真实台架和节点、参考标定、诊断对照、无线接入、维护复测及归档</w:t>
            </w:r>
          </w:p>
        </w:tc>
        <w:tc>
          <w:tcPr>
            <w:tcW w:type="dxa" w:w="3900"/>
            <w:vAlign w:val="center"/>
          </w:tcPr>
          <w:p>
            <w:pPr>
              <w:keepNext/>
              <w:spacing w:after="60" w:before="60" w:line="276" w:lineRule="auto"/>
            </w:pPr>
            <w:r>
              <w:rPr>
                <w:b w:val="0"/>
                <w:sz w:val="21"/>
              </w:rPr>
              <w:t>原型、硬件连接、原始日志、独立标签、失败清单、研究报告及获批任务对照</w:t>
            </w:r>
          </w:p>
        </w:tc>
      </w:tr>
      <w:tr>
        <w:trPr>
          <w:cantSplit/>
        </w:trPr>
        <w:tc>
          <w:tcPr>
            <w:tcW w:type="dxa" w:w="1800"/>
            <w:vAlign w:val="center"/>
          </w:tcPr>
          <w:p>
            <w:pPr>
              <w:keepNext w:val="0"/>
              <w:spacing w:after="60" w:before="60" w:line="276" w:lineRule="auto"/>
            </w:pPr>
            <w:r>
              <w:rPr>
                <w:b w:val="0"/>
                <w:sz w:val="21"/>
              </w:rPr>
              <w:t>论文深化</w:t>
            </w:r>
          </w:p>
        </w:tc>
        <w:tc>
          <w:tcPr>
            <w:tcW w:type="dxa" w:w="2700"/>
            <w:vAlign w:val="center"/>
          </w:tcPr>
          <w:p>
            <w:pPr>
              <w:keepNext w:val="0"/>
              <w:spacing w:after="60" w:before="60" w:line="276" w:lineRule="auto"/>
            </w:pPr>
            <w:r>
              <w:rPr>
                <w:b w:val="0"/>
                <w:sz w:val="21"/>
              </w:rPr>
              <w:t>从测量辨识或可靠告警中提炼一个主要问题，完成对照与独立留出验证</w:t>
            </w:r>
          </w:p>
        </w:tc>
        <w:tc>
          <w:tcPr>
            <w:tcW w:type="dxa" w:w="3900"/>
            <w:vAlign w:val="center"/>
          </w:tcPr>
          <w:p>
            <w:pPr>
              <w:keepNext w:val="0"/>
              <w:spacing w:after="60" w:before="60" w:line="276" w:lineRule="auto"/>
            </w:pPr>
            <w:r>
              <w:rPr>
                <w:b w:val="0"/>
                <w:sz w:val="21"/>
              </w:rPr>
              <w:t>冻结方法、批次数据、可复算统计、消融及局限；导师审核后投稿</w:t>
            </w:r>
          </w:p>
        </w:tc>
      </w:tr>
    </w:tbl>
    <w:p>
      <w:pPr>
        <w:spacing w:after="20"/>
      </w:pPr>
    </w:p>
    <w:p>
      <w:pPr>
        <w:widowControl/>
        <w:jc w:val="both"/>
      </w:pPr>
      <w:r>
        <w:t>在可测且工况可比的范围内，提出10%及15%故障组首次持续候选正确比例达到90%、正常确认误报不高于1次/小时的挑战目标；评价到达15%独立参照前的有效早期比例，5%组研究可检边界。这些是拟研究目标。预实验完成后由导师审核并按正式任务书冻结，正式验证不能为达到指标回调阈值。未达标须保留结果并履行变更程序。</w:t>
      </w:r>
    </w:p>
    <w:p>
      <w:pPr>
        <w:pStyle w:val="Heading2"/>
      </w:pPr>
      <w:r>
        <w:t>3 现有证据能支持到哪里</w:t>
      </w:r>
    </w:p>
    <w:p>
      <w:pPr>
        <w:widowControl/>
        <w:jc w:val="both"/>
      </w:pPr>
      <w:r>
        <w:t>当前480个合成试次、960条配对方法结果和288个静态有界误差组合用于查找条件与反例；20个基础随机序列跨场景和噪声档复用，不能当成480次独立实物试验。低压力噪声下两条规则均可早期提示；σ=10kPa时K/R泄漏仅1/20、受限2/20，固定Q两类仍为20/20。未知正常负载可与泄漏产生相同观测，压力漂移也可产生受限候选。</w:t>
      </w:r>
    </w:p>
    <w:p>
      <w:pPr>
        <w:widowControl/>
        <w:jc w:val="both"/>
      </w:pPr>
      <w:r>
        <w:t>199个有效实体、96个稀疏流道中心探针、局部交集和20个离散取出姿态支持概念布局，不证明制造尺寸、密封、全装配无干涉或连续取出路径。12项主机编码与SQLite事务检查支持协议逻辑，不证明节点缓存恢复或真实射频。Web支持合成回放和人工记录，尚未与主机数据库贯通。</w:t>
      </w:r>
    </w:p>
    <w:p>
      <w:pPr>
        <w:pStyle w:val="Heading1"/>
      </w:pPr>
      <w:r>
        <w:t>二 系统结构与工程设计</w:t>
      </w:r>
    </w:p>
    <w:p>
      <w:pPr>
        <w:pStyle w:val="Heading2"/>
      </w:pPr>
      <w:r>
        <w:t>1 数据与维护职责</w:t>
      </w:r>
    </w:p>
    <w:p>
      <w:pPr>
        <w:widowControl/>
        <w:jc w:val="both"/>
      </w:pPr>
      <w:r>
        <w:t>节点保存原始采样、质量和工况信息，计算有条件的候选模式，把事件持久化入队后发送。接收模块仅桥接无线字节，PC校验与去重，SQLite提交成功后回ACK。Web读库显示测量、事件与来源，人工已查看、处置和同工况复测分别记录。无线ACK不是人工确认，也不能证明故障已经消失。</w:t>
      </w:r>
    </w:p>
    <w:p>
      <w:pPr>
        <w:keepLines/>
        <w:jc w:val="center"/>
      </w:pPr>
      <w:r>
        <w:drawing>
          <wp:inline xmlns:a="http://schemas.openxmlformats.org/drawingml/2006/main" xmlns:pic="http://schemas.openxmlformats.org/drawingml/2006/picture">
            <wp:extent cx="5334000" cy="3680460"/>
            <wp:docPr id="1" name="Picture 1"/>
            <wp:cNvGraphicFramePr>
              <a:graphicFrameLocks noChangeAspect="1"/>
            </wp:cNvGraphicFramePr>
            <a:graphic>
              <a:graphicData uri="http://schemas.openxmlformats.org/drawingml/2006/picture">
                <pic:pic>
                  <pic:nvPicPr>
                    <pic:cNvPr id="0" name="system_responsibilities.png"/>
                    <pic:cNvPicPr/>
                  </pic:nvPicPr>
                  <pic:blipFill>
                    <a:blip r:embed="rId11"/>
                    <a:stretch>
                      <a:fillRect/>
                    </a:stretch>
                  </pic:blipFill>
                  <pic:spPr>
                    <a:xfrm>
                      <a:off x="0" y="0"/>
                      <a:ext cx="5334000" cy="3680460"/>
                    </a:xfrm>
                    <a:prstGeom prst="rect"/>
                  </pic:spPr>
                </pic:pic>
              </a:graphicData>
            </a:graphic>
          </wp:inline>
        </w:drawing>
      </w:r>
      <w:r>
        <w:br/>
      </w:r>
      <w:r>
        <w:rPr>
          <w:sz w:val="19"/>
        </w:rPr>
        <w:t>图1 拟实施系统职责与独立评价关系</w:t>
      </w:r>
    </w:p>
    <w:p>
      <w:pPr>
        <w:widowControl/>
        <w:jc w:val="both"/>
      </w:pPr>
      <w:r>
        <w:t>拟统一事件身份为device、boot/session与seq，配置版本、健康参照和试次ID随记录保存。原始测量、本地判定、发送、接收提交和显示时间分别记录；跨设备时间须注明同步方法及偏差，未完成同步时不能直接相减声称精确延迟。</w:t>
      </w:r>
    </w:p>
    <w:p>
      <w:pPr>
        <w:pStyle w:val="Heading2"/>
      </w:pPr>
      <w:r>
        <w:t>2 水路和装配冻结</w:t>
      </w:r>
    </w:p>
    <w:p>
      <w:pPr>
        <w:widowControl/>
        <w:jc w:val="both"/>
      </w:pPr>
      <w:r>
        <w:t>A依次设置P0侧向取压、受限元件R、P1侧向取压、Q，之后分为正常负载与泄漏旁路。Q计入正常与泄漏总量。泄漏必须独立收集计时，之后人工回水；B为同源正常切换支路。集中参数平方律先用于设计，实际健康关系须用参考数据检验。</w:t>
      </w:r>
    </w:p>
    <w:p>
      <w:pPr>
        <w:keepLines/>
        <w:jc w:val="center"/>
      </w:pPr>
      <w:r>
        <w:drawing>
          <wp:inline xmlns:a="http://schemas.openxmlformats.org/drawingml/2006/main" xmlns:pic="http://schemas.openxmlformats.org/drawingml/2006/picture">
            <wp:extent cx="5334000" cy="3467100"/>
            <wp:docPr id="2" name="Picture 2"/>
            <wp:cNvGraphicFramePr>
              <a:graphicFrameLocks noChangeAspect="1"/>
            </wp:cNvGraphicFramePr>
            <a:graphic>
              <a:graphicData uri="http://schemas.openxmlformats.org/drawingml/2006/picture">
                <pic:pic>
                  <pic:nvPicPr>
                    <pic:cNvPr id="0" name="water_layout.png"/>
                    <pic:cNvPicPr/>
                  </pic:nvPicPr>
                  <pic:blipFill>
                    <a:blip r:embed="rId12"/>
                    <a:stretch>
                      <a:fillRect/>
                    </a:stretch>
                  </pic:blipFill>
                  <pic:spPr>
                    <a:xfrm>
                      <a:off x="0" y="0"/>
                      <a:ext cx="5334000" cy="3467100"/>
                    </a:xfrm>
                    <a:prstGeom prst="rect"/>
                  </pic:spPr>
                </pic:pic>
              </a:graphicData>
            </a:graphic>
          </wp:inline>
        </w:drawing>
      </w:r>
      <w:r>
        <w:br/>
      </w:r>
      <w:r>
        <w:rPr>
          <w:sz w:val="19"/>
        </w:rPr>
        <w:t>图2 测点与故障注入的水路关系</w:t>
      </w:r>
    </w:p>
    <w:p>
      <w:pPr>
        <w:widowControl/>
        <w:jc w:val="both"/>
      </w:pPr>
      <w:r>
        <w:t>900×520mm底板与140mm管中心高度暂用于布局。采购前核对实际接头、活接、流量计直管段、支架和维护空间，形成版本化装配清单。先检查固定、排气、清水漏水与安全电源布置，再进行稳定性测试。需要压力回路、电子盒及水路隔开布置，先按实际器件说明确认允许压力，不以模型压力代替耐压规格。</w:t>
      </w:r>
    </w:p>
    <w:p>
      <w:pPr>
        <w:widowControl/>
        <w:jc w:val="both"/>
      </w:pPr>
      <w:r>
        <w:t>候选空腔几何容量678.6mL；模型最大泄漏1.055L/min时，20秒取样乘1.25余量需439.6mL。先标定容器安全液位下的有效容量达到440mL，再采用20秒分次取样。泄漏出口与杯口保持20mm自由出流设计间隙，装配后核对飞溅、出口浸没及背压。若实测上界变大，按V≥1.25×q最大×t/60重算容量。8小时记录另设排水，不能由小杯连续承接。</w:t>
      </w:r>
    </w:p>
    <w:p>
      <w:pPr>
        <w:pStyle w:val="Heading2"/>
      </w:pPr>
      <w:r>
        <w:t>3 采集接口与计数窗口</w:t>
      </w:r>
    </w:p>
    <w:p>
      <w:pPr>
        <w:widowControl/>
        <w:jc w:val="both"/>
      </w:pPr>
      <w:r>
        <w:t>候选采用STM32F103C8T6、两路0—200kPa两线制4—20mA压力器件、ADS1115、SEN0549、microSD及E220-400T22D。两压力要求A1或书面确认的±0.25%FS等级；MPM489系列名不能替代订货规格。按64KB Flash与20KB SRAM规划，以实际编译、堆栈和日志压力检查为准。</w:t>
      </w:r>
    </w:p>
    <w:p>
      <w:pPr>
        <w:widowControl/>
        <w:jc w:val="both"/>
      </w:pPr>
      <w:r>
        <w:t>压力回路24V经150Ω得到0.6—3.0V，ADS1115为3.3V供电；22mA已达到3.3V，保护必须覆盖过流及ADC断电时的注入。正常耗散0.06W不等于故障耗散上限。SEN0549的5V脉冲经3.3V供电SN74LVC1G17转换，E220拟5V供电而UART为3.3V。保护定值、去耦、接地和接线经导师或具备能力的成员复核后才上电。</w:t>
      </w:r>
    </w:p>
    <w:p>
      <w:pPr>
        <w:widowControl/>
        <w:jc w:val="both"/>
      </w:pPr>
      <w:r>
        <w:t>拟每1秒记录压力读数与原始脉冲数，流量采用10秒因果滚动窗。540脉冲/L条件下单脉冲步长为0.01111L/min，均值窗对应约5秒滞后；两压力128SPS名义转换共15.625ms，错位约7.813ms。记录转换时间、计数窗口、缺测与时钟偏差，在突变试验中检验这些错位对特征的影响。</w:t>
      </w:r>
    </w:p>
    <w:p>
      <w:pPr>
        <w:keepLines/>
        <w:jc w:val="center"/>
      </w:pPr>
      <w:r>
        <w:drawing>
          <wp:inline xmlns:a="http://schemas.openxmlformats.org/drawingml/2006/main" xmlns:pic="http://schemas.openxmlformats.org/drawingml/2006/picture">
            <wp:extent cx="5334000" cy="3680460"/>
            <wp:docPr id="3" name="Picture 3"/>
            <wp:cNvGraphicFramePr>
              <a:graphicFrameLocks noChangeAspect="1"/>
            </wp:cNvGraphicFramePr>
            <a:graphic>
              <a:graphicData uri="http://schemas.openxmlformats.org/drawingml/2006/picture">
                <pic:pic>
                  <pic:nvPicPr>
                    <pic:cNvPr id="0" name="sampling_window_tradeoff.png"/>
                    <pic:cNvPicPr/>
                  </pic:nvPicPr>
                  <pic:blipFill>
                    <a:blip r:embed="rId13"/>
                    <a:stretch>
                      <a:fillRect/>
                    </a:stretch>
                  </pic:blipFill>
                  <pic:spPr>
                    <a:xfrm>
                      <a:off x="0" y="0"/>
                      <a:ext cx="5334000" cy="3680460"/>
                    </a:xfrm>
                    <a:prstGeom prst="rect"/>
                  </pic:spPr>
                </pic:pic>
              </a:graphicData>
            </a:graphic>
          </wp:inline>
        </w:drawing>
      </w:r>
      <w:r>
        <w:br/>
      </w:r>
      <w:r>
        <w:rPr>
          <w:sz w:val="19"/>
        </w:rPr>
        <w:t>图3 取样容量与脉冲窗口的设计取舍</w:t>
      </w:r>
    </w:p>
    <w:p>
      <w:pPr>
        <w:widowControl/>
        <w:jc w:val="both"/>
      </w:pPr>
      <w:r>
        <w:t>本图中的75%有效容量仅为敏感性假设。20,000组理想恒定流量与脉冲相位枚举验证量化步长，不含抖动、漏脉冲、实际流量计误差；高斯诊断回放尚未实现脉冲计数。实物计数需要独立生成已知频率或参考流量，对比输入、日志与计算结果。</w:t>
      </w:r>
    </w:p>
    <w:p>
      <w:pPr>
        <w:pStyle w:val="Heading1"/>
      </w:pPr>
      <w:r>
        <w:t>三 四工作包及阶段退出条件</w:t>
      </w:r>
    </w:p>
    <w:p>
      <w:pPr>
        <w:pStyle w:val="Heading2"/>
      </w:pPr>
      <w:r>
        <w:t>WP1 测量建模和台架</w:t>
      </w:r>
    </w:p>
    <w:p>
      <w:pPr>
        <w:widowControl/>
        <w:jc w:val="both"/>
      </w:pPr>
      <w:r>
        <w:t>输入为实际器件资料、借用仪器记录、连续水源工作点及候选几何。系统与实验岗位核对报价和安装，嵌入式岗位先实现有线采集及原始日志；故障规则暂不开启。完成稳定排气、共同压力、压力升降压和流量计量，再拟合健康关系与残差。</w:t>
      </w:r>
    </w:p>
    <w:p>
      <w:pPr>
        <w:widowControl/>
        <w:jc w:val="both"/>
      </w:pPr>
      <w:r>
        <w:t>交付包括BOM与照片、连接表、器件资料、容器有效容量、至少5点标定及每点至少3次独立稳定读取、健康批次和误差预算。对参考仪器的精度、单位、校验信息和计时误差明确记录。退出条件为目标变化能够在不确定度下分离，暂以变化约为扩展不确定度两倍作保守审查线，具体口径由导师冻结。</w:t>
      </w:r>
    </w:p>
    <w:p>
      <w:pPr>
        <w:widowControl/>
        <w:jc w:val="both"/>
      </w:pPr>
      <w:r>
        <w:t>不满足时调整量程、测点或可检程度，再标定。参考仪器未落实时不能进入正式辨识验证，不能以厂家标称或ADC分辨率补上参考测量。水源须在所需连续压力—流量工作点满足供水，模型总流量上界约7.95L/min，不能拼接商品最大流量与截止压力。</w:t>
      </w:r>
    </w:p>
    <w:p>
      <w:pPr>
        <w:pStyle w:val="Heading2"/>
      </w:pPr>
      <w:r>
        <w:t>WP2 诊断边界和独立对照</w:t>
      </w:r>
    </w:p>
    <w:p>
      <w:pPr>
        <w:widowControl/>
        <w:jc w:val="both"/>
      </w:pPr>
      <w:r>
        <w:t>输入为通过WP1的适用范围、原始日志、独立参考、已知阀态和冻结健康参照。先复现固定Q及K/R基线，再实现缺测、工况可比与切换暂缓门控，记录暂缓期内的故障遗漏。特征K=Q/√P1，R̂=(P0−P1)/Q²；持续确认、阈值及参照更新策略在预实验集确定。</w:t>
      </w:r>
    </w:p>
    <w:p>
      <w:pPr>
        <w:widowControl/>
        <w:jc w:val="both"/>
      </w:pPr>
      <w:r>
        <w:t>交付包括冻结协议、训练与留出批次清单、54次主要故障基础网格、18次正常干扰、12次切换期故障、逐试次输出及统计。比较固定Q、同信息多变量阈值和拟实施方法，并去掉P0或工况信息做消融。按整日、压力档或负载档留出，不随机拆相邻采样点。</w:t>
      </w:r>
    </w:p>
    <w:p>
      <w:pPr>
        <w:widowControl/>
        <w:jc w:val="both"/>
      </w:pPr>
      <w:r>
        <w:t>退出条件是每次操作都有独立真值、所有方法面对相同验证集、首次持续模式与15%参照可复算，误报、漏检、先错后对、迟检和无输出均计入。性能未达目标时仍形成有边界的研究结论，并按正式目标办理调整；未知负载不能强制判成泄漏，漂移不能强制解释为水力受限。</w:t>
      </w:r>
    </w:p>
    <w:p>
      <w:pPr>
        <w:pStyle w:val="Heading2"/>
      </w:pPr>
      <w:r>
        <w:t>WP3 可靠告警和接收服务</w:t>
      </w:r>
    </w:p>
    <w:p>
      <w:pPr>
        <w:widowControl/>
        <w:jc w:val="both"/>
      </w:pPr>
      <w:r>
        <w:t>输入为同一份冻结本地检测日志、事件身份、实际E220固件与配置。实现节点日志和掉电恢复，再有线验证帧、CRC、COBS及事务，最后接入真实无线。初版候选44B事件及24B ACK，8次/300秒为候选重试上限；配置改变时记录版本。</w:t>
      </w:r>
    </w:p>
    <w:p>
      <w:pPr>
        <w:keepLines/>
        <w:jc w:val="center"/>
      </w:pPr>
      <w:r>
        <w:drawing>
          <wp:inline xmlns:a="http://schemas.openxmlformats.org/drawingml/2006/main" xmlns:pic="http://schemas.openxmlformats.org/drawingml/2006/picture">
            <wp:extent cx="5334000" cy="4960620"/>
            <wp:docPr id="4" name="Picture 4"/>
            <wp:cNvGraphicFramePr>
              <a:graphicFrameLocks noChangeAspect="1"/>
            </wp:cNvGraphicFramePr>
            <a:graphic>
              <a:graphicData uri="http://schemas.openxmlformats.org/drawingml/2006/picture">
                <pic:pic>
                  <pic:nvPicPr>
                    <pic:cNvPr id="0" name="durable_event_sequence.png"/>
                    <pic:cNvPicPr/>
                  </pic:nvPicPr>
                  <pic:blipFill>
                    <a:blip r:embed="rId14"/>
                    <a:stretch>
                      <a:fillRect/>
                    </a:stretch>
                  </pic:blipFill>
                  <pic:spPr>
                    <a:xfrm>
                      <a:off x="0" y="0"/>
                      <a:ext cx="5334000" cy="4960620"/>
                    </a:xfrm>
                    <a:prstGeom prst="rect"/>
                  </pic:spPr>
                </pic:pic>
              </a:graphicData>
            </a:graphic>
          </wp:inline>
        </w:drawing>
      </w:r>
      <w:r>
        <w:br/>
      </w:r>
      <w:r>
        <w:rPr>
          <w:sz w:val="19"/>
        </w:rPr>
        <w:t>图4 提交后确认与重复事件的接收关系</w:t>
      </w:r>
    </w:p>
    <w:p>
      <w:pPr>
        <w:widowControl/>
        <w:jc w:val="both"/>
      </w:pPr>
      <w:r>
        <w:t>交付包括节点与服务代码、协议向量、正常/错帧/重复/身份冲突/丢ACK/重启记录、四策略真实链路对照和未送达清单。比较快周期、慢周期、原始事件、滤波限频事件，在相同载荷、检测器及确认规则下重放相同本地轨迹。链路覆盖稳定、遮挡衰减和受控阻断，记录距离、环境、参数及实际中断。</w:t>
      </w:r>
    </w:p>
    <w:p>
      <w:pPr>
        <w:widowControl/>
        <w:jc w:val="both"/>
      </w:pPr>
      <w:r>
        <w:t>退出条件为重复记录不覆盖、提交失败不回成功ACK、恢复后事件身份不冲突，超期、拒绝入队和丢失显式可见。已有FIFO反例会使后续事件等待61秒，应研究队列调度而非承诺必然20秒送达。未取得整机电流仪器时只交付通信评价，帧数不换算节电或续航。</w:t>
      </w:r>
    </w:p>
    <w:p>
      <w:pPr>
        <w:pStyle w:val="Heading2"/>
      </w:pPr>
      <w:r>
        <w:t>WP4 软件集成和维护复测</w:t>
      </w:r>
    </w:p>
    <w:p>
      <w:pPr>
        <w:widowControl/>
        <w:jc w:val="both"/>
      </w:pPr>
      <w:r>
        <w:t>输入为真实串口、SQLite记录与前三包通过项。把现有离线网站的总览、支管监测、异常事件、设备链路、历史记录及设置接入真实服务，保留合成回放入口和来源字段。断连或无效时显示无当前有效判断，旧值仅作历史，不显示为正常运行。</w:t>
      </w:r>
    </w:p>
    <w:p>
      <w:pPr>
        <w:keepLines/>
        <w:jc w:val="center"/>
      </w:pPr>
      <w:r>
        <w:drawing>
          <wp:inline xmlns:a="http://schemas.openxmlformats.org/drawingml/2006/main" xmlns:pic="http://schemas.openxmlformats.org/drawingml/2006/picture">
            <wp:extent cx="4953000" cy="6033434"/>
            <wp:docPr id="5" name="Picture 5"/>
            <wp:cNvGraphicFramePr>
              <a:graphicFrameLocks noChangeAspect="1"/>
            </wp:cNvGraphicFramePr>
            <a:graphic>
              <a:graphicData uri="http://schemas.openxmlformats.org/drawingml/2006/picture">
                <pic:pic>
                  <pic:nvPicPr>
                    <pic:cNvPr id="0" name="website_diagnosis_panel.png"/>
                    <pic:cNvPicPr/>
                  </pic:nvPicPr>
                  <pic:blipFill>
                    <a:blip r:embed="rId15"/>
                    <a:stretch>
                      <a:fillRect/>
                    </a:stretch>
                  </pic:blipFill>
                  <pic:spPr>
                    <a:xfrm>
                      <a:off x="0" y="0"/>
                      <a:ext cx="4953000" cy="6033434"/>
                    </a:xfrm>
                    <a:prstGeom prst="rect"/>
                  </pic:spPr>
                </pic:pic>
              </a:graphicData>
            </a:graphic>
          </wp:inline>
        </w:drawing>
      </w:r>
      <w:r>
        <w:br/>
      </w:r>
      <w:r>
        <w:rPr>
          <w:sz w:val="19"/>
        </w:rPr>
        <w:t>图5 当前合成回放网站的诊断卡片</w:t>
      </w:r>
    </w:p>
    <w:p>
      <w:pPr>
        <w:widowControl/>
        <w:jc w:val="both"/>
      </w:pPr>
      <w:r>
        <w:t>交付包括启动说明、数据库结构、接口映射、事件全过程日志、两类故障处置复测和一次误报核查。至少一次8小时台架记录、至少3次重启，检查缺失、缓存和恢复；这不是寿命或田间长期可靠性保证。375/768/1024/1440宽度及横屏均需可用，关键键盘路径、保存失败和导出数据接受独立检查。</w:t>
      </w:r>
    </w:p>
    <w:p>
      <w:pPr>
        <w:widowControl/>
        <w:jc w:val="both"/>
      </w:pPr>
      <w:r>
        <w:t>退出条件为同一事件的测量、判定、发送、提交、显示和人工记录可以由日志重建。已查看不能当处置完成；数据无效、工况不可比或异常仍在时不能归档。界面截图只是功能说明，不能代替实测指标。最终与获批申报书和任务书逐项对应，缺项返工或按要求办理变更。</w:t>
      </w:r>
    </w:p>
    <w:p>
      <w:pPr>
        <w:pStyle w:val="Heading1"/>
      </w:pPr>
      <w:r>
        <w:t>四 实验协议与数据管理</w:t>
      </w:r>
    </w:p>
    <w:p>
      <w:pPr>
        <w:pStyle w:val="Heading2"/>
      </w:pPr>
      <w:r>
        <w:t>1 实验规模和独立重复</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800"/>
        <w:gridCol w:w="2700"/>
        <w:gridCol w:w="3900"/>
      </w:tblGrid>
      <w:tr>
        <w:trPr>
          <w:cantSplit/>
          <w:tblHeader/>
        </w:trPr>
        <w:tc>
          <w:tcPr>
            <w:tcW w:type="dxa" w:w="1800"/>
            <w:vAlign w:val="center"/>
            <w:shd w:fill="F0F0F0"/>
          </w:tcPr>
          <w:p>
            <w:pPr>
              <w:keepNext/>
              <w:spacing w:after="60" w:before="60" w:line="276" w:lineRule="auto"/>
            </w:pPr>
            <w:r>
              <w:rPr>
                <w:b/>
                <w:sz w:val="21"/>
              </w:rPr>
              <w:t>项目</w:t>
            </w:r>
          </w:p>
        </w:tc>
        <w:tc>
          <w:tcPr>
            <w:tcW w:type="dxa" w:w="2700"/>
            <w:vAlign w:val="center"/>
            <w:shd w:fill="F0F0F0"/>
          </w:tcPr>
          <w:p>
            <w:pPr>
              <w:keepNext/>
              <w:spacing w:after="60" w:before="60" w:line="276" w:lineRule="auto"/>
            </w:pPr>
            <w:r>
              <w:rPr>
                <w:b/>
                <w:sz w:val="21"/>
              </w:rPr>
              <w:t>拟定规模</w:t>
            </w:r>
          </w:p>
        </w:tc>
        <w:tc>
          <w:tcPr>
            <w:tcW w:type="dxa" w:w="3900"/>
            <w:vAlign w:val="center"/>
            <w:shd w:fill="F0F0F0"/>
          </w:tcPr>
          <w:p>
            <w:pPr>
              <w:keepNext/>
              <w:spacing w:after="60" w:before="60" w:line="276" w:lineRule="auto"/>
            </w:pPr>
            <w:r>
              <w:rPr>
                <w:b/>
                <w:sz w:val="21"/>
              </w:rPr>
              <w:t>必须记录及通过条件</w:t>
            </w:r>
          </w:p>
        </w:tc>
      </w:tr>
      <w:tr>
        <w:trPr>
          <w:cantSplit/>
        </w:trPr>
        <w:tc>
          <w:tcPr>
            <w:tcW w:type="dxa" w:w="1800"/>
            <w:vAlign w:val="center"/>
          </w:tcPr>
          <w:p>
            <w:pPr>
              <w:keepNext/>
              <w:spacing w:after="60" w:before="60" w:line="276" w:lineRule="auto"/>
            </w:pPr>
            <w:r>
              <w:rPr>
                <w:b w:val="0"/>
                <w:sz w:val="21"/>
              </w:rPr>
              <w:t>参考标定</w:t>
            </w:r>
          </w:p>
        </w:tc>
        <w:tc>
          <w:tcPr>
            <w:tcW w:type="dxa" w:w="2700"/>
            <w:vAlign w:val="center"/>
          </w:tcPr>
          <w:p>
            <w:pPr>
              <w:keepNext/>
              <w:spacing w:after="60" w:before="60" w:line="276" w:lineRule="auto"/>
            </w:pPr>
            <w:r>
              <w:rPr>
                <w:b w:val="0"/>
                <w:sz w:val="21"/>
              </w:rPr>
              <w:t>压力和流量各至少5点，每点至少3次；共同压力检查</w:t>
            </w:r>
          </w:p>
        </w:tc>
        <w:tc>
          <w:tcPr>
            <w:tcW w:type="dxa" w:w="3900"/>
            <w:vAlign w:val="center"/>
          </w:tcPr>
          <w:p>
            <w:pPr>
              <w:keepNext/>
              <w:spacing w:after="60" w:before="60" w:line="276" w:lineRule="auto"/>
            </w:pPr>
            <w:r>
              <w:rPr>
                <w:b w:val="0"/>
                <w:sz w:val="21"/>
              </w:rPr>
              <w:t>原始参考、升降方向、计时、温度、残差及批次</w:t>
            </w:r>
          </w:p>
        </w:tc>
      </w:tr>
      <w:tr>
        <w:trPr>
          <w:cantSplit/>
        </w:trPr>
        <w:tc>
          <w:tcPr>
            <w:tcW w:type="dxa" w:w="1800"/>
            <w:vAlign w:val="center"/>
          </w:tcPr>
          <w:p>
            <w:pPr>
              <w:keepNext/>
              <w:spacing w:after="60" w:before="60" w:line="276" w:lineRule="auto"/>
            </w:pPr>
            <w:r>
              <w:rPr>
                <w:b w:val="0"/>
                <w:sz w:val="21"/>
              </w:rPr>
              <w:t>主要故障</w:t>
            </w:r>
          </w:p>
        </w:tc>
        <w:tc>
          <w:tcPr>
            <w:tcW w:type="dxa" w:w="2700"/>
            <w:vAlign w:val="center"/>
          </w:tcPr>
          <w:p>
            <w:pPr>
              <w:keepNext/>
              <w:spacing w:after="60" w:before="60" w:line="276" w:lineRule="auto"/>
            </w:pPr>
            <w:r>
              <w:rPr>
                <w:b w:val="0"/>
                <w:sz w:val="21"/>
              </w:rPr>
              <w:t>2类型×3供压×3程度×3操作，共54次</w:t>
            </w:r>
          </w:p>
        </w:tc>
        <w:tc>
          <w:tcPr>
            <w:tcW w:type="dxa" w:w="3900"/>
            <w:vAlign w:val="center"/>
          </w:tcPr>
          <w:p>
            <w:pPr>
              <w:keepNext/>
              <w:spacing w:after="60" w:before="60" w:line="276" w:lineRule="auto"/>
            </w:pPr>
            <w:r>
              <w:rPr>
                <w:b w:val="0"/>
                <w:sz w:val="21"/>
              </w:rPr>
              <w:t>80/120/160kPa和5/10/15%暂定，预实验后冻结可用范围</w:t>
            </w:r>
          </w:p>
        </w:tc>
      </w:tr>
      <w:tr>
        <w:trPr>
          <w:cantSplit/>
        </w:trPr>
        <w:tc>
          <w:tcPr>
            <w:tcW w:type="dxa" w:w="1800"/>
            <w:vAlign w:val="center"/>
          </w:tcPr>
          <w:p>
            <w:pPr>
              <w:keepNext/>
              <w:spacing w:after="60" w:before="60" w:line="276" w:lineRule="auto"/>
            </w:pPr>
            <w:r>
              <w:rPr>
                <w:b w:val="0"/>
                <w:sz w:val="21"/>
              </w:rPr>
              <w:t>正常干扰</w:t>
            </w:r>
          </w:p>
        </w:tc>
        <w:tc>
          <w:tcPr>
            <w:tcW w:type="dxa" w:w="2700"/>
            <w:vAlign w:val="center"/>
          </w:tcPr>
          <w:p>
            <w:pPr>
              <w:keepNext/>
              <w:spacing w:after="60" w:before="60" w:line="276" w:lineRule="auto"/>
            </w:pPr>
            <w:r>
              <w:rPr>
                <w:b w:val="0"/>
                <w:sz w:val="21"/>
              </w:rPr>
              <w:t>3供压×2个B状态×3操作，共18次，各至少20分钟</w:t>
            </w:r>
          </w:p>
        </w:tc>
        <w:tc>
          <w:tcPr>
            <w:tcW w:type="dxa" w:w="3900"/>
            <w:vAlign w:val="center"/>
          </w:tcPr>
          <w:p>
            <w:pPr>
              <w:keepNext/>
              <w:spacing w:after="60" w:before="60" w:line="276" w:lineRule="auto"/>
            </w:pPr>
            <w:r>
              <w:rPr>
                <w:b w:val="0"/>
                <w:sz w:val="21"/>
              </w:rPr>
              <w:t>正常运行至少6小时基础时长，同时报时长与误报次数</w:t>
            </w:r>
          </w:p>
        </w:tc>
      </w:tr>
      <w:tr>
        <w:trPr>
          <w:cantSplit/>
        </w:trPr>
        <w:tc>
          <w:tcPr>
            <w:tcW w:type="dxa" w:w="1800"/>
            <w:vAlign w:val="center"/>
          </w:tcPr>
          <w:p>
            <w:pPr>
              <w:keepNext/>
              <w:spacing w:after="60" w:before="60" w:line="276" w:lineRule="auto"/>
            </w:pPr>
            <w:r>
              <w:rPr>
                <w:b w:val="0"/>
                <w:sz w:val="21"/>
              </w:rPr>
              <w:t>切换期故障</w:t>
            </w:r>
          </w:p>
        </w:tc>
        <w:tc>
          <w:tcPr>
            <w:tcW w:type="dxa" w:w="2700"/>
            <w:vAlign w:val="center"/>
          </w:tcPr>
          <w:p>
            <w:pPr>
              <w:keepNext/>
              <w:spacing w:after="60" w:before="60" w:line="276" w:lineRule="auto"/>
            </w:pPr>
            <w:r>
              <w:rPr>
                <w:b w:val="0"/>
                <w:sz w:val="21"/>
              </w:rPr>
              <w:t>2类型×3供压×2切换方向，共12次</w:t>
            </w:r>
          </w:p>
        </w:tc>
        <w:tc>
          <w:tcPr>
            <w:tcW w:type="dxa" w:w="3900"/>
            <w:vAlign w:val="center"/>
          </w:tcPr>
          <w:p>
            <w:pPr>
              <w:keepNext/>
              <w:spacing w:after="60" w:before="60" w:line="276" w:lineRule="auto"/>
            </w:pPr>
            <w:r>
              <w:rPr>
                <w:b w:val="0"/>
                <w:sz w:val="21"/>
              </w:rPr>
              <w:t>切换、暂缓、故障发生及恢复判断时刻，不删除等待段</w:t>
            </w:r>
          </w:p>
        </w:tc>
      </w:tr>
      <w:tr>
        <w:trPr>
          <w:cantSplit/>
        </w:trPr>
        <w:tc>
          <w:tcPr>
            <w:tcW w:type="dxa" w:w="1800"/>
            <w:vAlign w:val="center"/>
          </w:tcPr>
          <w:p>
            <w:pPr>
              <w:keepNext/>
              <w:spacing w:after="60" w:before="60" w:line="276" w:lineRule="auto"/>
            </w:pPr>
            <w:r>
              <w:rPr>
                <w:b w:val="0"/>
                <w:sz w:val="21"/>
              </w:rPr>
              <w:t>无线对照</w:t>
            </w:r>
          </w:p>
        </w:tc>
        <w:tc>
          <w:tcPr>
            <w:tcW w:type="dxa" w:w="2700"/>
            <w:vAlign w:val="center"/>
          </w:tcPr>
          <w:p>
            <w:pPr>
              <w:keepNext/>
              <w:spacing w:after="60" w:before="60" w:line="276" w:lineRule="auto"/>
            </w:pPr>
            <w:r>
              <w:rPr>
                <w:b w:val="0"/>
                <w:sz w:val="21"/>
              </w:rPr>
              <w:t>4策略×3链路×3批次，共36次重放</w:t>
            </w:r>
          </w:p>
        </w:tc>
        <w:tc>
          <w:tcPr>
            <w:tcW w:type="dxa" w:w="3900"/>
            <w:vAlign w:val="center"/>
          </w:tcPr>
          <w:p>
            <w:pPr>
              <w:keepNext/>
              <w:spacing w:after="60" w:before="60" w:line="276" w:lineRule="auto"/>
            </w:pPr>
            <w:r>
              <w:rPr>
                <w:b w:val="0"/>
                <w:sz w:val="21"/>
              </w:rPr>
              <w:t>同轨迹与规则，随机顺序或分块，保留超期和未送达</w:t>
            </w:r>
          </w:p>
        </w:tc>
      </w:tr>
      <w:tr>
        <w:trPr>
          <w:cantSplit/>
        </w:trPr>
        <w:tc>
          <w:tcPr>
            <w:tcW w:type="dxa" w:w="1800"/>
            <w:vAlign w:val="center"/>
          </w:tcPr>
          <w:p>
            <w:pPr>
              <w:keepNext w:val="0"/>
              <w:spacing w:after="60" w:before="60" w:line="276" w:lineRule="auto"/>
            </w:pPr>
            <w:r>
              <w:rPr>
                <w:b w:val="0"/>
                <w:sz w:val="21"/>
              </w:rPr>
              <w:t>连续与恢复</w:t>
            </w:r>
          </w:p>
        </w:tc>
        <w:tc>
          <w:tcPr>
            <w:tcW w:type="dxa" w:w="2700"/>
            <w:vAlign w:val="center"/>
          </w:tcPr>
          <w:p>
            <w:pPr>
              <w:keepNext w:val="0"/>
              <w:spacing w:after="60" w:before="60" w:line="276" w:lineRule="auto"/>
            </w:pPr>
            <w:r>
              <w:rPr>
                <w:b w:val="0"/>
                <w:sz w:val="21"/>
              </w:rPr>
              <w:t>至少1次8小时、至少3次重启及维护配对</w:t>
            </w:r>
          </w:p>
        </w:tc>
        <w:tc>
          <w:tcPr>
            <w:tcW w:type="dxa" w:w="3900"/>
            <w:vAlign w:val="center"/>
          </w:tcPr>
          <w:p>
            <w:pPr>
              <w:keepNext w:val="0"/>
              <w:spacing w:after="60" w:before="60" w:line="276" w:lineRule="auto"/>
            </w:pPr>
            <w:r>
              <w:rPr>
                <w:b w:val="0"/>
                <w:sz w:val="21"/>
              </w:rPr>
              <w:t>停机与缺测、恢复日志、配置、人工记录和同工况复测</w:t>
            </w:r>
          </w:p>
        </w:tc>
      </w:tr>
    </w:tbl>
    <w:p>
      <w:pPr>
        <w:spacing w:after="20"/>
      </w:pPr>
    </w:p>
    <w:p>
      <w:pPr>
        <w:widowControl/>
        <w:jc w:val="both"/>
      </w:pPr>
      <w:r>
        <w:t>以上是基础任务量，不自动满足论文样本量。关键测量边界、跨日泛化及置信区间精度不足时补充独立批次。验证集标签由操作记录和独立参考确定；操作者与分析人员能分开时采用盲化，无法分开时说明限制并先锁定试次顺序与分析程序。</w:t>
      </w:r>
    </w:p>
    <w:p>
      <w:pPr>
        <w:pStyle w:val="Heading2"/>
      </w:pPr>
      <w:r>
        <w:t>2 单试次执行顺序</w:t>
      </w:r>
    </w:p>
    <w:p>
      <w:pPr>
        <w:widowControl/>
        <w:jc w:val="both"/>
      </w:pPr>
      <w:r>
        <w:t>开始前核对日期、仪器、配置、阀态、供压、健康参照和容器有效容量，生成唯一试次ID。确认稳定健康段并保存原始数据；按预定顺序开展正常操作或逐步故障注入，独立记录开始时刻和程度。检测程序仅接收允许的信息，不能读取独立参照的到达时刻。结束后保留恢复及参考复测，记录缺失和异常，再做完整性检查。</w:t>
      </w:r>
    </w:p>
    <w:p>
      <w:pPr>
        <w:widowControl/>
        <w:jc w:val="both"/>
      </w:pPr>
      <w:r>
        <w:t>预实验用于确定稳定时间、取样误差、阈值与门控等待，不进入最终验证统计。正式验证由另一批次执行，配置与方法冻结。失败试次若因仪器损坏等原因需要排除，按事先规则列明原因、数量与原始记录；不能因检测失败而排除。补做试次采用新ID，不能覆盖原记录。</w:t>
      </w:r>
    </w:p>
    <w:p>
      <w:pPr>
        <w:pStyle w:val="Heading2"/>
      </w:pPr>
      <w:r>
        <w:t>3 指标的计算口径</w:t>
      </w:r>
    </w:p>
    <w:p>
      <w:pPr>
        <w:widowControl/>
        <w:jc w:val="both"/>
      </w:pPr>
      <w:r>
        <w:t>故障程度用独立参考流量相对同供压、同B状态健康值的偏离定义，分别核对泄漏量和受限操作；15%为暂定演示参照，不等于农业失效、产量损失或泄漏占比。有效早期要求故障前无确认误报、故障后首次确认模式正确且早于参照。提前量为参照时刻减首次正确持续确认时刻，失败及未检出同时报分母。</w:t>
      </w:r>
    </w:p>
    <w:p>
      <w:pPr>
        <w:widowControl/>
        <w:jc w:val="both"/>
      </w:pPr>
      <w:r>
        <w:t>本地检测延迟从独立操作开始算到本地确认；远端交付延迟按明确的事件起点算到数据库提交，传输延迟另用发送时刻计算。报告P50/P95、期限内送达、重试、重复、未送达及恢复缺口，时间不同步时报告区间或同设备时间。整机能量用实测电压电流积分并包含采集、日志、发收与空闲；无仪器则不报告该指标。</w:t>
      </w:r>
    </w:p>
    <w:p>
      <w:pPr>
        <w:widowControl/>
        <w:jc w:val="both"/>
      </w:pPr>
      <w:r>
        <w:t>统计以独立操作和日期批次为单位。比例报告样本数及Wilson等适当区间；连续指标保留分布与失败截尾，配对比较使用同一试次。不能把每秒记录当独立样本扩大样本量。模型随机噪声区间与实物重复区间分开。</w:t>
      </w:r>
    </w:p>
    <w:p>
      <w:pPr>
        <w:pStyle w:val="Heading2"/>
      </w:pPr>
      <w:r>
        <w:t>4 文件结构与复现</w:t>
      </w:r>
    </w:p>
    <w:p>
      <w:pPr>
        <w:widowControl/>
        <w:jc w:val="both"/>
      </w:pPr>
      <w:r>
        <w:t>每批次保存原始只读数据、参考及操作记录、配置、派生结果、分析代码、软件与固件版本、图片、问题和复测。CSV至少包括trial_id、device、session、seq、采集及窗口时间、P0/P1/Q、原始ADC/脉冲数、阀态、质量、健康参照及配置版本；参考、事件、通信和维护分表关联。文件附单位、时区和缺失编码说明。</w:t>
      </w:r>
    </w:p>
    <w:p>
      <w:pPr>
        <w:widowControl/>
        <w:jc w:val="both"/>
      </w:pPr>
      <w:r>
        <w:t>验证前保存试次清单、规则及脚本哈希；分析输出可以重建且不改原始值。备份至少两处，仓库提交代码和非敏感数据，身份、电话和场地授权按实际需要处理。结项数据包应能由另一成员从说明开始复算图表和主要结论。</w:t>
      </w:r>
    </w:p>
    <w:p>
      <w:pPr>
        <w:pStyle w:val="Heading1"/>
      </w:pPr>
      <w:r>
        <w:t>五 资源预算和人员责任</w:t>
      </w:r>
    </w:p>
    <w:p>
      <w:pPr>
        <w:pStyle w:val="Heading2"/>
      </w:pPr>
      <w:r>
        <w:t>1 条件预算</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1100"/>
        <w:gridCol w:w="5100"/>
      </w:tblGrid>
      <w:tr>
        <w:trPr>
          <w:cantSplit/>
          <w:tblHeader/>
        </w:trPr>
        <w:tc>
          <w:tcPr>
            <w:tcW w:type="dxa" w:w="2200"/>
            <w:vAlign w:val="center"/>
            <w:shd w:fill="F0F0F0"/>
          </w:tcPr>
          <w:p>
            <w:pPr>
              <w:keepNext/>
              <w:spacing w:after="60" w:before="60" w:line="276" w:lineRule="auto"/>
            </w:pPr>
            <w:r>
              <w:rPr>
                <w:b/>
                <w:sz w:val="21"/>
              </w:rPr>
              <w:t>用途</w:t>
            </w:r>
          </w:p>
        </w:tc>
        <w:tc>
          <w:tcPr>
            <w:tcW w:type="dxa" w:w="1100"/>
            <w:vAlign w:val="center"/>
            <w:shd w:fill="F0F0F0"/>
          </w:tcPr>
          <w:p>
            <w:pPr>
              <w:keepNext/>
              <w:spacing w:after="60" w:before="60" w:line="276" w:lineRule="auto"/>
              <w:jc w:val="center"/>
            </w:pPr>
            <w:r>
              <w:rPr>
                <w:b/>
                <w:sz w:val="21"/>
              </w:rPr>
              <w:t>预算帽 元</w:t>
            </w:r>
          </w:p>
        </w:tc>
        <w:tc>
          <w:tcPr>
            <w:tcW w:type="dxa" w:w="5100"/>
            <w:vAlign w:val="center"/>
            <w:shd w:fill="F0F0F0"/>
          </w:tcPr>
          <w:p>
            <w:pPr>
              <w:keepNext/>
              <w:spacing w:after="60" w:before="60" w:line="276" w:lineRule="auto"/>
            </w:pPr>
            <w:r>
              <w:rPr>
                <w:b/>
                <w:sz w:val="21"/>
              </w:rPr>
              <w:t>成交前核对</w:t>
            </w:r>
          </w:p>
        </w:tc>
      </w:tr>
      <w:tr>
        <w:trPr>
          <w:cantSplit/>
        </w:trPr>
        <w:tc>
          <w:tcPr>
            <w:tcW w:type="dxa" w:w="2200"/>
            <w:vAlign w:val="center"/>
          </w:tcPr>
          <w:p>
            <w:pPr>
              <w:keepNext/>
              <w:spacing w:after="60" w:before="60" w:line="276" w:lineRule="auto"/>
            </w:pPr>
            <w:r>
              <w:rPr>
                <w:b w:val="0"/>
                <w:sz w:val="21"/>
              </w:rPr>
              <w:t>主控无线日志调试</w:t>
            </w:r>
          </w:p>
        </w:tc>
        <w:tc>
          <w:tcPr>
            <w:tcW w:type="dxa" w:w="1100"/>
            <w:vAlign w:val="center"/>
          </w:tcPr>
          <w:p>
            <w:pPr>
              <w:keepNext/>
              <w:spacing w:after="60" w:before="60" w:line="276" w:lineRule="auto"/>
              <w:jc w:val="center"/>
            </w:pPr>
            <w:r>
              <w:rPr>
                <w:b w:val="0"/>
                <w:sz w:val="21"/>
              </w:rPr>
              <w:t>350</w:t>
            </w:r>
          </w:p>
        </w:tc>
        <w:tc>
          <w:tcPr>
            <w:tcW w:type="dxa" w:w="5100"/>
            <w:vAlign w:val="center"/>
          </w:tcPr>
          <w:p>
            <w:pPr>
              <w:keepNext/>
              <w:spacing w:after="60" w:before="60" w:line="276" w:lineRule="auto"/>
            </w:pPr>
            <w:r>
              <w:rPr>
                <w:b w:val="0"/>
                <w:sz w:val="21"/>
              </w:rPr>
              <w:t>一个MCU、两只E220、天线、SD和USB-TTL</w:t>
            </w:r>
          </w:p>
        </w:tc>
      </w:tr>
      <w:tr>
        <w:trPr>
          <w:cantSplit/>
        </w:trPr>
        <w:tc>
          <w:tcPr>
            <w:tcW w:type="dxa" w:w="2200"/>
            <w:vAlign w:val="center"/>
          </w:tcPr>
          <w:p>
            <w:pPr>
              <w:keepNext/>
              <w:spacing w:after="60" w:before="60" w:line="276" w:lineRule="auto"/>
            </w:pPr>
            <w:r>
              <w:rPr>
                <w:b w:val="0"/>
                <w:sz w:val="21"/>
              </w:rPr>
              <w:t>两压力器件</w:t>
            </w:r>
          </w:p>
        </w:tc>
        <w:tc>
          <w:tcPr>
            <w:tcW w:type="dxa" w:w="1100"/>
            <w:vAlign w:val="center"/>
          </w:tcPr>
          <w:p>
            <w:pPr>
              <w:keepNext/>
              <w:spacing w:after="60" w:before="60" w:line="276" w:lineRule="auto"/>
              <w:jc w:val="center"/>
            </w:pPr>
            <w:r>
              <w:rPr>
                <w:b w:val="0"/>
                <w:sz w:val="21"/>
              </w:rPr>
              <w:t>680</w:t>
            </w:r>
          </w:p>
        </w:tc>
        <w:tc>
          <w:tcPr>
            <w:tcW w:type="dxa" w:w="5100"/>
            <w:vAlign w:val="center"/>
          </w:tcPr>
          <w:p>
            <w:pPr>
              <w:keepNext/>
              <w:spacing w:after="60" w:before="60" w:line="276" w:lineRule="auto"/>
            </w:pPr>
            <w:r>
              <w:rPr>
                <w:b w:val="0"/>
                <w:sz w:val="21"/>
              </w:rPr>
              <w:t>指定量程、输出和精度；每只340仅为预算帽，未询价</w:t>
            </w:r>
          </w:p>
        </w:tc>
      </w:tr>
      <w:tr>
        <w:trPr>
          <w:cantSplit/>
        </w:trPr>
        <w:tc>
          <w:tcPr>
            <w:tcW w:type="dxa" w:w="2200"/>
            <w:vAlign w:val="center"/>
          </w:tcPr>
          <w:p>
            <w:pPr>
              <w:keepNext/>
              <w:spacing w:after="60" w:before="60" w:line="276" w:lineRule="auto"/>
            </w:pPr>
            <w:r>
              <w:rPr>
                <w:b w:val="0"/>
                <w:sz w:val="21"/>
              </w:rPr>
              <w:t>流量和压力ADC</w:t>
            </w:r>
          </w:p>
        </w:tc>
        <w:tc>
          <w:tcPr>
            <w:tcW w:type="dxa" w:w="1100"/>
            <w:vAlign w:val="center"/>
          </w:tcPr>
          <w:p>
            <w:pPr>
              <w:keepNext/>
              <w:spacing w:after="60" w:before="60" w:line="276" w:lineRule="auto"/>
              <w:jc w:val="center"/>
            </w:pPr>
            <w:r>
              <w:rPr>
                <w:b w:val="0"/>
                <w:sz w:val="21"/>
              </w:rPr>
              <w:t>200</w:t>
            </w:r>
          </w:p>
        </w:tc>
        <w:tc>
          <w:tcPr>
            <w:tcW w:type="dxa" w:w="5100"/>
            <w:vAlign w:val="center"/>
          </w:tcPr>
          <w:p>
            <w:pPr>
              <w:keepNext/>
              <w:spacing w:after="60" w:before="60" w:line="276" w:lineRule="auto"/>
            </w:pPr>
            <w:r>
              <w:rPr>
                <w:b w:val="0"/>
                <w:sz w:val="21"/>
              </w:rPr>
              <w:t>SEN0549、ADS1115规格与最新报价</w:t>
            </w:r>
          </w:p>
        </w:tc>
      </w:tr>
      <w:tr>
        <w:trPr>
          <w:cantSplit/>
        </w:trPr>
        <w:tc>
          <w:tcPr>
            <w:tcW w:type="dxa" w:w="2200"/>
            <w:vAlign w:val="center"/>
          </w:tcPr>
          <w:p>
            <w:pPr>
              <w:keepNext/>
              <w:spacing w:after="60" w:before="60" w:line="276" w:lineRule="auto"/>
            </w:pPr>
            <w:r>
              <w:rPr>
                <w:b w:val="0"/>
                <w:sz w:val="21"/>
              </w:rPr>
              <w:t>调理电平与保护</w:t>
            </w:r>
          </w:p>
        </w:tc>
        <w:tc>
          <w:tcPr>
            <w:tcW w:type="dxa" w:w="1100"/>
            <w:vAlign w:val="center"/>
          </w:tcPr>
          <w:p>
            <w:pPr>
              <w:keepNext/>
              <w:spacing w:after="60" w:before="60" w:line="276" w:lineRule="auto"/>
              <w:jc w:val="center"/>
            </w:pPr>
            <w:r>
              <w:rPr>
                <w:b w:val="0"/>
                <w:sz w:val="21"/>
              </w:rPr>
              <w:t>80</w:t>
            </w:r>
          </w:p>
        </w:tc>
        <w:tc>
          <w:tcPr>
            <w:tcW w:type="dxa" w:w="5100"/>
            <w:vAlign w:val="center"/>
          </w:tcPr>
          <w:p>
            <w:pPr>
              <w:keepNext/>
              <w:spacing w:after="60" w:before="60" w:line="276" w:lineRule="auto"/>
            </w:pPr>
            <w:r>
              <w:rPr>
                <w:b w:val="0"/>
                <w:sz w:val="21"/>
              </w:rPr>
              <w:t>实际定值、精度、容差和保护验证</w:t>
            </w:r>
          </w:p>
        </w:tc>
      </w:tr>
      <w:tr>
        <w:trPr>
          <w:cantSplit/>
        </w:trPr>
        <w:tc>
          <w:tcPr>
            <w:tcW w:type="dxa" w:w="2200"/>
            <w:vAlign w:val="center"/>
          </w:tcPr>
          <w:p>
            <w:pPr>
              <w:keepNext/>
              <w:spacing w:after="60" w:before="60" w:line="276" w:lineRule="auto"/>
            </w:pPr>
            <w:r>
              <w:rPr>
                <w:b w:val="0"/>
                <w:sz w:val="21"/>
              </w:rPr>
              <w:t>水路独立收集</w:t>
            </w:r>
          </w:p>
        </w:tc>
        <w:tc>
          <w:tcPr>
            <w:tcW w:type="dxa" w:w="1100"/>
            <w:vAlign w:val="center"/>
          </w:tcPr>
          <w:p>
            <w:pPr>
              <w:keepNext/>
              <w:spacing w:after="60" w:before="60" w:line="276" w:lineRule="auto"/>
              <w:jc w:val="center"/>
            </w:pPr>
            <w:r>
              <w:rPr>
                <w:b w:val="0"/>
                <w:sz w:val="21"/>
              </w:rPr>
              <w:t>350</w:t>
            </w:r>
          </w:p>
        </w:tc>
        <w:tc>
          <w:tcPr>
            <w:tcW w:type="dxa" w:w="5100"/>
            <w:vAlign w:val="center"/>
          </w:tcPr>
          <w:p>
            <w:pPr>
              <w:keepNext/>
              <w:spacing w:after="60" w:before="60" w:line="276" w:lineRule="auto"/>
            </w:pPr>
            <w:r>
              <w:rPr>
                <w:b w:val="0"/>
                <w:sz w:val="21"/>
              </w:rPr>
              <w:t>阀、接头、回水、容器和固定，按实际安装尺寸</w:t>
            </w:r>
          </w:p>
        </w:tc>
      </w:tr>
      <w:tr>
        <w:trPr>
          <w:cantSplit/>
        </w:trPr>
        <w:tc>
          <w:tcPr>
            <w:tcW w:type="dxa" w:w="2200"/>
            <w:vAlign w:val="center"/>
          </w:tcPr>
          <w:p>
            <w:pPr>
              <w:keepNext/>
              <w:spacing w:after="60" w:before="60" w:line="276" w:lineRule="auto"/>
            </w:pPr>
            <w:r>
              <w:rPr>
                <w:b w:val="0"/>
                <w:sz w:val="21"/>
              </w:rPr>
              <w:t>供电安装防护</w:t>
            </w:r>
          </w:p>
        </w:tc>
        <w:tc>
          <w:tcPr>
            <w:tcW w:type="dxa" w:w="1100"/>
            <w:vAlign w:val="center"/>
          </w:tcPr>
          <w:p>
            <w:pPr>
              <w:keepNext/>
              <w:spacing w:after="60" w:before="60" w:line="276" w:lineRule="auto"/>
              <w:jc w:val="center"/>
            </w:pPr>
            <w:r>
              <w:rPr>
                <w:b w:val="0"/>
                <w:sz w:val="21"/>
              </w:rPr>
              <w:t>200</w:t>
            </w:r>
          </w:p>
        </w:tc>
        <w:tc>
          <w:tcPr>
            <w:tcW w:type="dxa" w:w="5100"/>
            <w:vAlign w:val="center"/>
          </w:tcPr>
          <w:p>
            <w:pPr>
              <w:keepNext/>
              <w:spacing w:after="60" w:before="60" w:line="276" w:lineRule="auto"/>
            </w:pPr>
            <w:r>
              <w:rPr>
                <w:b w:val="0"/>
                <w:sz w:val="21"/>
              </w:rPr>
              <w:t>24V回路、降压、外壳及瞬态电流需求</w:t>
            </w:r>
          </w:p>
        </w:tc>
      </w:tr>
      <w:tr>
        <w:trPr>
          <w:cantSplit/>
        </w:trPr>
        <w:tc>
          <w:tcPr>
            <w:tcW w:type="dxa" w:w="2200"/>
            <w:vAlign w:val="center"/>
          </w:tcPr>
          <w:p>
            <w:pPr>
              <w:keepNext/>
              <w:spacing w:after="60" w:before="60" w:line="276" w:lineRule="auto"/>
            </w:pPr>
            <w:r>
              <w:rPr>
                <w:b w:val="0"/>
                <w:sz w:val="21"/>
              </w:rPr>
              <w:t>记录耗材</w:t>
            </w:r>
          </w:p>
        </w:tc>
        <w:tc>
          <w:tcPr>
            <w:tcW w:type="dxa" w:w="1100"/>
            <w:vAlign w:val="center"/>
          </w:tcPr>
          <w:p>
            <w:pPr>
              <w:keepNext/>
              <w:spacing w:after="60" w:before="60" w:line="276" w:lineRule="auto"/>
              <w:jc w:val="center"/>
            </w:pPr>
            <w:r>
              <w:rPr>
                <w:b w:val="0"/>
                <w:sz w:val="21"/>
              </w:rPr>
              <w:t>60</w:t>
            </w:r>
          </w:p>
        </w:tc>
        <w:tc>
          <w:tcPr>
            <w:tcW w:type="dxa" w:w="5100"/>
            <w:vAlign w:val="center"/>
          </w:tcPr>
          <w:p>
            <w:pPr>
              <w:keepNext/>
              <w:spacing w:after="60" w:before="60" w:line="276" w:lineRule="auto"/>
            </w:pPr>
            <w:r>
              <w:rPr>
                <w:b w:val="0"/>
                <w:sz w:val="21"/>
              </w:rPr>
              <w:t>按学校允许科目列支</w:t>
            </w:r>
          </w:p>
        </w:tc>
      </w:tr>
      <w:tr>
        <w:trPr>
          <w:cantSplit/>
        </w:trPr>
        <w:tc>
          <w:tcPr>
            <w:tcW w:type="dxa" w:w="2200"/>
            <w:vAlign w:val="center"/>
          </w:tcPr>
          <w:p>
            <w:pPr>
              <w:keepNext/>
              <w:spacing w:after="60" w:before="60" w:line="276" w:lineRule="auto"/>
            </w:pPr>
            <w:r>
              <w:rPr>
                <w:b w:val="0"/>
                <w:sz w:val="21"/>
              </w:rPr>
              <w:t>返工预留</w:t>
            </w:r>
          </w:p>
        </w:tc>
        <w:tc>
          <w:tcPr>
            <w:tcW w:type="dxa" w:w="1100"/>
            <w:vAlign w:val="center"/>
          </w:tcPr>
          <w:p>
            <w:pPr>
              <w:keepNext/>
              <w:spacing w:after="60" w:before="60" w:line="276" w:lineRule="auto"/>
              <w:jc w:val="center"/>
            </w:pPr>
            <w:r>
              <w:rPr>
                <w:b w:val="0"/>
                <w:sz w:val="21"/>
              </w:rPr>
              <w:t>80</w:t>
            </w:r>
          </w:p>
        </w:tc>
        <w:tc>
          <w:tcPr>
            <w:tcW w:type="dxa" w:w="5100"/>
            <w:vAlign w:val="center"/>
          </w:tcPr>
          <w:p>
            <w:pPr>
              <w:keepNext/>
              <w:spacing w:after="60" w:before="60" w:line="276" w:lineRule="auto"/>
            </w:pPr>
            <w:r>
              <w:rPr>
                <w:b w:val="0"/>
                <w:sz w:val="21"/>
              </w:rPr>
              <w:t>依真实询价和学校科目调剂</w:t>
            </w:r>
          </w:p>
        </w:tc>
      </w:tr>
      <w:tr>
        <w:trPr>
          <w:cantSplit/>
        </w:trPr>
        <w:tc>
          <w:tcPr>
            <w:tcW w:type="dxa" w:w="2200"/>
            <w:vAlign w:val="center"/>
          </w:tcPr>
          <w:p>
            <w:pPr>
              <w:keepNext w:val="0"/>
              <w:spacing w:after="60" w:before="60" w:line="276" w:lineRule="auto"/>
            </w:pPr>
            <w:r>
              <w:rPr>
                <w:b w:val="0"/>
                <w:sz w:val="21"/>
              </w:rPr>
              <w:t>合计</w:t>
            </w:r>
          </w:p>
        </w:tc>
        <w:tc>
          <w:tcPr>
            <w:tcW w:type="dxa" w:w="1100"/>
            <w:vAlign w:val="center"/>
          </w:tcPr>
          <w:p>
            <w:pPr>
              <w:keepNext w:val="0"/>
              <w:spacing w:after="60" w:before="60" w:line="276" w:lineRule="auto"/>
              <w:jc w:val="center"/>
            </w:pPr>
            <w:r>
              <w:rPr>
                <w:b w:val="0"/>
                <w:sz w:val="21"/>
              </w:rPr>
              <w:t>2000</w:t>
            </w:r>
          </w:p>
        </w:tc>
        <w:tc>
          <w:tcPr>
            <w:tcW w:type="dxa" w:w="5100"/>
            <w:vAlign w:val="center"/>
          </w:tcPr>
          <w:p>
            <w:pPr>
              <w:keepNext w:val="0"/>
              <w:spacing w:after="60" w:before="60" w:line="276" w:lineRule="auto"/>
            </w:pPr>
            <w:r>
              <w:rPr>
                <w:b w:val="0"/>
                <w:sz w:val="21"/>
              </w:rPr>
              <w:t>其他1320加双压力680，未发生采购</w:t>
            </w:r>
          </w:p>
        </w:tc>
      </w:tr>
    </w:tbl>
    <w:p>
      <w:pPr>
        <w:spacing w:after="20"/>
      </w:pPr>
    </w:p>
    <w:p>
      <w:pPr>
        <w:widowControl/>
        <w:jc w:val="both"/>
      </w:pPr>
      <w:r>
        <w:t>预算以已有电脑、借用连续可调水源、独立压力与流量参考及电流设备为前提，不含新增泵站、多节点、论文费及差旅。采购决策先看有效规格与参考测量能力，再看预算；不得为保持2000元选择无法证明测量目标的器件。供应商入口及产品图见国内硬件选型附件，现货和价格须询价。</w:t>
      </w:r>
    </w:p>
    <w:p>
      <w:pPr>
        <w:widowControl/>
        <w:jc w:val="both"/>
      </w:pPr>
      <w:r>
        <w:t>正式任务书经费需按学校当批经济科目重新映射，不能直接将候选器件表当批准预算。启动额度、学校批准资助和实际支出分别记录。借用不落实或指定压力报价超帽时，由导师重新审核经费和任务，未批准不得悄悄删除核心实验。</w:t>
      </w:r>
    </w:p>
    <w:p>
      <w:pPr>
        <w:pStyle w:val="Heading2"/>
      </w:pPr>
      <w:r>
        <w:t>2 岗位与复核</w:t>
      </w:r>
    </w:p>
    <w:p>
      <w:pPr>
        <w:widowControl/>
        <w:jc w:val="both"/>
      </w:pPr>
      <w:r>
        <w:t>系统与实验岗位负责台架、参考、真值、采购核对和总体联调；嵌入式与无线岗位负责有线采集、计数、日志、协议和真实链路；数据与Web岗位负责接收存储、界面、统计及复现。拟含负责人不超过5人，实际名单与职责经成员确认后填入，不能虚构技能与导师支持。</w:t>
      </w:r>
    </w:p>
    <w:p>
      <w:pPr>
        <w:widowControl/>
        <w:jc w:val="both"/>
      </w:pPr>
      <w:r>
        <w:t>负责人每两周核对任务与问题，导师在测量进入、方法冻结、正式验证及结项前审核。成员须能独立运行、解释和修改所负责核心程序，保留复现讲解记录。关键原理、配置及实验协议由另一成员或导师复核，避免同一作者自证通过。</w:t>
      </w:r>
    </w:p>
    <w:p>
      <w:pPr>
        <w:pStyle w:val="Heading1"/>
      </w:pPr>
      <w:r>
        <w:t>六 里程碑与变更管理</w:t>
      </w:r>
    </w:p>
    <w:p>
      <w:pPr>
        <w:pStyle w:val="Heading2"/>
      </w:pPr>
      <w:r>
        <w:t>1 按月安排</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100"/>
        <w:gridCol w:w="3000"/>
        <w:gridCol w:w="3300"/>
      </w:tblGrid>
      <w:tr>
        <w:trPr>
          <w:cantSplit/>
          <w:tblHeader/>
        </w:trPr>
        <w:tc>
          <w:tcPr>
            <w:tcW w:type="dxa" w:w="2100"/>
            <w:vAlign w:val="center"/>
            <w:shd w:fill="F0F0F0"/>
          </w:tcPr>
          <w:p>
            <w:pPr>
              <w:keepNext/>
              <w:spacing w:after="60" w:before="60" w:line="276" w:lineRule="auto"/>
            </w:pPr>
            <w:r>
              <w:rPr>
                <w:b/>
                <w:sz w:val="21"/>
              </w:rPr>
              <w:t>时段</w:t>
            </w:r>
          </w:p>
        </w:tc>
        <w:tc>
          <w:tcPr>
            <w:tcW w:type="dxa" w:w="3000"/>
            <w:vAlign w:val="center"/>
            <w:shd w:fill="F0F0F0"/>
          </w:tcPr>
          <w:p>
            <w:pPr>
              <w:keepNext/>
              <w:spacing w:after="60" w:before="60" w:line="276" w:lineRule="auto"/>
            </w:pPr>
            <w:r>
              <w:rPr>
                <w:b/>
                <w:sz w:val="21"/>
              </w:rPr>
              <w:t>应交付内容</w:t>
            </w:r>
          </w:p>
        </w:tc>
        <w:tc>
          <w:tcPr>
            <w:tcW w:type="dxa" w:w="3300"/>
            <w:vAlign w:val="center"/>
            <w:shd w:fill="F0F0F0"/>
          </w:tcPr>
          <w:p>
            <w:pPr>
              <w:keepNext/>
              <w:spacing w:after="60" w:before="60" w:line="276" w:lineRule="auto"/>
            </w:pPr>
            <w:r>
              <w:rPr>
                <w:b/>
                <w:sz w:val="21"/>
              </w:rPr>
              <w:t>进入下一阶段的条件</w:t>
            </w:r>
          </w:p>
        </w:tc>
      </w:tr>
      <w:tr>
        <w:trPr>
          <w:cantSplit/>
        </w:trPr>
        <w:tc>
          <w:tcPr>
            <w:tcW w:type="dxa" w:w="2100"/>
            <w:vAlign w:val="center"/>
          </w:tcPr>
          <w:p>
            <w:pPr>
              <w:keepNext/>
              <w:spacing w:after="60" w:before="60" w:line="276" w:lineRule="auto"/>
            </w:pPr>
            <w:r>
              <w:rPr>
                <w:b w:val="0"/>
                <w:sz w:val="21"/>
              </w:rPr>
              <w:t>申报前约一个月</w:t>
            </w:r>
          </w:p>
        </w:tc>
        <w:tc>
          <w:tcPr>
            <w:tcW w:type="dxa" w:w="3000"/>
            <w:vAlign w:val="center"/>
          </w:tcPr>
          <w:p>
            <w:pPr>
              <w:keepNext/>
              <w:spacing w:after="60" w:before="60" w:line="276" w:lineRule="auto"/>
            </w:pPr>
            <w:r>
              <w:rPr>
                <w:b w:val="0"/>
                <w:sz w:val="21"/>
              </w:rPr>
              <w:t>高质量申报稿、来源图、资源落实清单、随后制作PPT</w:t>
            </w:r>
          </w:p>
        </w:tc>
        <w:tc>
          <w:tcPr>
            <w:tcW w:type="dxa" w:w="3300"/>
            <w:vAlign w:val="center"/>
          </w:tcPr>
          <w:p>
            <w:pPr>
              <w:keepNext/>
              <w:spacing w:after="60" w:before="60" w:line="276" w:lineRule="auto"/>
            </w:pPr>
            <w:r>
              <w:rPr>
                <w:b w:val="0"/>
                <w:sz w:val="21"/>
              </w:rPr>
              <w:t>教师核定目标、人员与现实资源；行政字段据实</w:t>
            </w:r>
          </w:p>
        </w:tc>
      </w:tr>
      <w:tr>
        <w:trPr>
          <w:cantSplit/>
        </w:trPr>
        <w:tc>
          <w:tcPr>
            <w:tcW w:type="dxa" w:w="2100"/>
            <w:vAlign w:val="center"/>
          </w:tcPr>
          <w:p>
            <w:pPr>
              <w:keepNext/>
              <w:spacing w:after="60" w:before="60" w:line="276" w:lineRule="auto"/>
            </w:pPr>
            <w:r>
              <w:rPr>
                <w:b w:val="0"/>
                <w:sz w:val="21"/>
              </w:rPr>
              <w:t>2026年11月至2027年2月</w:t>
            </w:r>
          </w:p>
        </w:tc>
        <w:tc>
          <w:tcPr>
            <w:tcW w:type="dxa" w:w="3000"/>
            <w:vAlign w:val="center"/>
          </w:tcPr>
          <w:p>
            <w:pPr>
              <w:keepNext/>
              <w:spacing w:after="60" w:before="60" w:line="276" w:lineRule="auto"/>
            </w:pPr>
            <w:r>
              <w:rPr>
                <w:b w:val="0"/>
                <w:sz w:val="21"/>
              </w:rPr>
              <w:t>C语言和采集训练、复现、询价、借用与安装核对</w:t>
            </w:r>
          </w:p>
        </w:tc>
        <w:tc>
          <w:tcPr>
            <w:tcW w:type="dxa" w:w="3300"/>
            <w:vAlign w:val="center"/>
          </w:tcPr>
          <w:p>
            <w:pPr>
              <w:keepNext/>
              <w:spacing w:after="60" w:before="60" w:line="276" w:lineRule="auto"/>
            </w:pPr>
            <w:r>
              <w:rPr>
                <w:b w:val="0"/>
                <w:sz w:val="21"/>
              </w:rPr>
              <w:t>成员能独立解释核心实现，水源与参考可取得</w:t>
            </w:r>
          </w:p>
        </w:tc>
      </w:tr>
      <w:tr>
        <w:trPr>
          <w:cantSplit/>
        </w:trPr>
        <w:tc>
          <w:tcPr>
            <w:tcW w:type="dxa" w:w="2100"/>
            <w:vAlign w:val="center"/>
          </w:tcPr>
          <w:p>
            <w:pPr>
              <w:keepNext/>
              <w:spacing w:after="60" w:before="60" w:line="276" w:lineRule="auto"/>
            </w:pPr>
            <w:r>
              <w:rPr>
                <w:b w:val="0"/>
                <w:sz w:val="21"/>
              </w:rPr>
              <w:t>2027年3至4月</w:t>
            </w:r>
          </w:p>
        </w:tc>
        <w:tc>
          <w:tcPr>
            <w:tcW w:type="dxa" w:w="3000"/>
            <w:vAlign w:val="center"/>
          </w:tcPr>
          <w:p>
            <w:pPr>
              <w:keepNext/>
              <w:spacing w:after="60" w:before="60" w:line="276" w:lineRule="auto"/>
            </w:pPr>
            <w:r>
              <w:rPr>
                <w:b w:val="0"/>
                <w:sz w:val="21"/>
              </w:rPr>
              <w:t>台架、节点、有线日志、标定与健康关系</w:t>
            </w:r>
          </w:p>
        </w:tc>
        <w:tc>
          <w:tcPr>
            <w:tcW w:type="dxa" w:w="3300"/>
            <w:vAlign w:val="center"/>
          </w:tcPr>
          <w:p>
            <w:pPr>
              <w:keepNext/>
              <w:spacing w:after="60" w:before="60" w:line="276" w:lineRule="auto"/>
            </w:pPr>
            <w:r>
              <w:rPr>
                <w:b w:val="0"/>
                <w:sz w:val="21"/>
              </w:rPr>
              <w:t>WP1通过，目标变化在误差下可测，实际BOM冻结</w:t>
            </w:r>
          </w:p>
        </w:tc>
      </w:tr>
      <w:tr>
        <w:trPr>
          <w:cantSplit/>
        </w:trPr>
        <w:tc>
          <w:tcPr>
            <w:tcW w:type="dxa" w:w="2100"/>
            <w:vAlign w:val="center"/>
          </w:tcPr>
          <w:p>
            <w:pPr>
              <w:keepNext/>
              <w:spacing w:after="60" w:before="60" w:line="276" w:lineRule="auto"/>
            </w:pPr>
            <w:r>
              <w:rPr>
                <w:b w:val="0"/>
                <w:sz w:val="21"/>
              </w:rPr>
              <w:t>2027年5至6月</w:t>
            </w:r>
          </w:p>
        </w:tc>
        <w:tc>
          <w:tcPr>
            <w:tcW w:type="dxa" w:w="3000"/>
            <w:vAlign w:val="center"/>
          </w:tcPr>
          <w:p>
            <w:pPr>
              <w:keepNext/>
              <w:spacing w:after="60" w:before="60" w:line="276" w:lineRule="auto"/>
            </w:pPr>
            <w:r>
              <w:rPr>
                <w:b w:val="0"/>
                <w:sz w:val="21"/>
              </w:rPr>
              <w:t>独立故障和正常对照、门控、基线与留出协议</w:t>
            </w:r>
          </w:p>
        </w:tc>
        <w:tc>
          <w:tcPr>
            <w:tcW w:type="dxa" w:w="3300"/>
            <w:vAlign w:val="center"/>
          </w:tcPr>
          <w:p>
            <w:pPr>
              <w:keepNext/>
              <w:spacing w:after="60" w:before="60" w:line="276" w:lineRule="auto"/>
            </w:pPr>
            <w:r>
              <w:rPr>
                <w:b w:val="0"/>
                <w:sz w:val="21"/>
              </w:rPr>
              <w:t>WP2数据链完整，方法冻结，不读取独立标签</w:t>
            </w:r>
          </w:p>
        </w:tc>
      </w:tr>
      <w:tr>
        <w:trPr>
          <w:cantSplit/>
        </w:trPr>
        <w:tc>
          <w:tcPr>
            <w:tcW w:type="dxa" w:w="2100"/>
            <w:vAlign w:val="center"/>
          </w:tcPr>
          <w:p>
            <w:pPr>
              <w:keepNext/>
              <w:spacing w:after="60" w:before="60" w:line="276" w:lineRule="auto"/>
            </w:pPr>
            <w:r>
              <w:rPr>
                <w:b w:val="0"/>
                <w:sz w:val="21"/>
              </w:rPr>
              <w:t>2027年7至8月</w:t>
            </w:r>
          </w:p>
        </w:tc>
        <w:tc>
          <w:tcPr>
            <w:tcW w:type="dxa" w:w="3000"/>
            <w:vAlign w:val="center"/>
          </w:tcPr>
          <w:p>
            <w:pPr>
              <w:keepNext/>
              <w:spacing w:after="60" w:before="60" w:line="276" w:lineRule="auto"/>
            </w:pPr>
            <w:r>
              <w:rPr>
                <w:b w:val="0"/>
                <w:sz w:val="21"/>
              </w:rPr>
              <w:t>真实LoRa、SQLite、Web及连续恢复和维护复测</w:t>
            </w:r>
          </w:p>
        </w:tc>
        <w:tc>
          <w:tcPr>
            <w:tcW w:type="dxa" w:w="3300"/>
            <w:vAlign w:val="center"/>
          </w:tcPr>
          <w:p>
            <w:pPr>
              <w:keepNext/>
              <w:spacing w:after="60" w:before="60" w:line="276" w:lineRule="auto"/>
            </w:pPr>
            <w:r>
              <w:rPr>
                <w:b w:val="0"/>
                <w:sz w:val="21"/>
              </w:rPr>
              <w:t>WP3和WP4全过程可追溯，缺口和失败可见</w:t>
            </w:r>
          </w:p>
        </w:tc>
      </w:tr>
      <w:tr>
        <w:trPr>
          <w:cantSplit/>
        </w:trPr>
        <w:tc>
          <w:tcPr>
            <w:tcW w:type="dxa" w:w="2100"/>
            <w:vAlign w:val="center"/>
          </w:tcPr>
          <w:p>
            <w:pPr>
              <w:keepNext/>
              <w:spacing w:after="60" w:before="60" w:line="276" w:lineRule="auto"/>
            </w:pPr>
            <w:r>
              <w:rPr>
                <w:b w:val="0"/>
                <w:sz w:val="21"/>
              </w:rPr>
              <w:t>2027年9至10月</w:t>
            </w:r>
          </w:p>
        </w:tc>
        <w:tc>
          <w:tcPr>
            <w:tcW w:type="dxa" w:w="3000"/>
            <w:vAlign w:val="center"/>
          </w:tcPr>
          <w:p>
            <w:pPr>
              <w:keepNext/>
              <w:spacing w:after="60" w:before="60" w:line="276" w:lineRule="auto"/>
            </w:pPr>
            <w:r>
              <w:rPr>
                <w:b w:val="0"/>
                <w:sz w:val="21"/>
              </w:rPr>
              <w:t>跨日或整档留出、消融、关键边界补试验、论文稿</w:t>
            </w:r>
          </w:p>
        </w:tc>
        <w:tc>
          <w:tcPr>
            <w:tcW w:type="dxa" w:w="3300"/>
            <w:vAlign w:val="center"/>
          </w:tcPr>
          <w:p>
            <w:pPr>
              <w:keepNext/>
              <w:spacing w:after="60" w:before="60" w:line="276" w:lineRule="auto"/>
            </w:pPr>
            <w:r>
              <w:rPr>
                <w:b w:val="0"/>
                <w:sz w:val="21"/>
              </w:rPr>
              <w:t>独立数据足够支撑结论，导师审核贡献与统计</w:t>
            </w:r>
          </w:p>
        </w:tc>
      </w:tr>
      <w:tr>
        <w:trPr>
          <w:cantSplit/>
        </w:trPr>
        <w:tc>
          <w:tcPr>
            <w:tcW w:type="dxa" w:w="2100"/>
            <w:vAlign w:val="center"/>
          </w:tcPr>
          <w:p>
            <w:pPr>
              <w:keepNext w:val="0"/>
              <w:spacing w:after="60" w:before="60" w:line="276" w:lineRule="auto"/>
            </w:pPr>
            <w:r>
              <w:rPr>
                <w:b w:val="0"/>
                <w:sz w:val="21"/>
              </w:rPr>
              <w:t>2027年11月至2028年2月</w:t>
            </w:r>
          </w:p>
        </w:tc>
        <w:tc>
          <w:tcPr>
            <w:tcW w:type="dxa" w:w="3000"/>
            <w:vAlign w:val="center"/>
          </w:tcPr>
          <w:p>
            <w:pPr>
              <w:keepNext w:val="0"/>
              <w:spacing w:after="60" w:before="60" w:line="276" w:lineRule="auto"/>
            </w:pPr>
            <w:r>
              <w:rPr>
                <w:b w:val="0"/>
                <w:sz w:val="21"/>
              </w:rPr>
              <w:t>补验证、研究报告、结项材料、任务与经费对照</w:t>
            </w:r>
          </w:p>
        </w:tc>
        <w:tc>
          <w:tcPr>
            <w:tcW w:type="dxa" w:w="3300"/>
            <w:vAlign w:val="center"/>
          </w:tcPr>
          <w:p>
            <w:pPr>
              <w:keepNext w:val="0"/>
              <w:spacing w:after="60" w:before="60" w:line="276" w:lineRule="auto"/>
            </w:pPr>
            <w:r>
              <w:rPr>
                <w:b w:val="0"/>
                <w:sz w:val="21"/>
              </w:rPr>
              <w:t>与批准任务对应，成果状态及未达项如实登记</w:t>
            </w:r>
          </w:p>
        </w:tc>
      </w:tr>
    </w:tbl>
    <w:p>
      <w:pPr>
        <w:spacing w:after="20"/>
      </w:pPr>
    </w:p>
    <w:p>
      <w:pPr>
        <w:widowControl/>
        <w:jc w:val="both"/>
      </w:pPr>
      <w:r>
        <w:t>时间是当前内部计划，正式执行期以2027批次通知和批准任务书为准。学校2026批次的执行时间与成果要求不直接推定为2027规则。论文审稿可能超过项目期，结项按真实完成的研究工作处理，发表与收录另留证明。</w:t>
      </w:r>
    </w:p>
    <w:p>
      <w:pPr>
        <w:pStyle w:val="Heading2"/>
      </w:pPr>
      <w:r>
        <w:t>2 风险触发与处理</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000"/>
        <w:gridCol w:w="3200"/>
        <w:gridCol w:w="3200"/>
      </w:tblGrid>
      <w:tr>
        <w:trPr>
          <w:cantSplit/>
          <w:tblHeader/>
        </w:trPr>
        <w:tc>
          <w:tcPr>
            <w:tcW w:type="dxa" w:w="2000"/>
            <w:vAlign w:val="center"/>
            <w:shd w:fill="F0F0F0"/>
          </w:tcPr>
          <w:p>
            <w:pPr>
              <w:keepNext/>
              <w:spacing w:after="60" w:before="60" w:line="276" w:lineRule="auto"/>
            </w:pPr>
            <w:r>
              <w:rPr>
                <w:b/>
                <w:sz w:val="21"/>
              </w:rPr>
              <w:t>触发条件</w:t>
            </w:r>
          </w:p>
        </w:tc>
        <w:tc>
          <w:tcPr>
            <w:tcW w:type="dxa" w:w="3200"/>
            <w:vAlign w:val="center"/>
            <w:shd w:fill="F0F0F0"/>
          </w:tcPr>
          <w:p>
            <w:pPr>
              <w:keepNext/>
              <w:spacing w:after="60" w:before="60" w:line="276" w:lineRule="auto"/>
            </w:pPr>
            <w:r>
              <w:rPr>
                <w:b/>
                <w:sz w:val="21"/>
              </w:rPr>
              <w:t>处理动作</w:t>
            </w:r>
          </w:p>
        </w:tc>
        <w:tc>
          <w:tcPr>
            <w:tcW w:type="dxa" w:w="3200"/>
            <w:vAlign w:val="center"/>
            <w:shd w:fill="F0F0F0"/>
          </w:tcPr>
          <w:p>
            <w:pPr>
              <w:keepNext/>
              <w:spacing w:after="60" w:before="60" w:line="276" w:lineRule="auto"/>
            </w:pPr>
            <w:r>
              <w:rPr>
                <w:b/>
                <w:sz w:val="21"/>
              </w:rPr>
              <w:t>重新进入条件</w:t>
            </w:r>
          </w:p>
        </w:tc>
      </w:tr>
      <w:tr>
        <w:trPr>
          <w:cantSplit/>
        </w:trPr>
        <w:tc>
          <w:tcPr>
            <w:tcW w:type="dxa" w:w="2000"/>
            <w:vAlign w:val="center"/>
          </w:tcPr>
          <w:p>
            <w:pPr>
              <w:keepNext/>
              <w:spacing w:after="60" w:before="60" w:line="276" w:lineRule="auto"/>
            </w:pPr>
            <w:r>
              <w:rPr>
                <w:b w:val="0"/>
                <w:sz w:val="21"/>
              </w:rPr>
              <w:t>水源或独立参考不能取得</w:t>
            </w:r>
          </w:p>
        </w:tc>
        <w:tc>
          <w:tcPr>
            <w:tcW w:type="dxa" w:w="3200"/>
            <w:vAlign w:val="center"/>
          </w:tcPr>
          <w:p>
            <w:pPr>
              <w:keepNext/>
              <w:spacing w:after="60" w:before="60" w:line="276" w:lineRule="auto"/>
            </w:pPr>
            <w:r>
              <w:rPr>
                <w:b w:val="0"/>
                <w:sz w:val="21"/>
              </w:rPr>
              <w:t>先借用或补经费，暂停正式性能验证</w:t>
            </w:r>
          </w:p>
        </w:tc>
        <w:tc>
          <w:tcPr>
            <w:tcW w:type="dxa" w:w="3200"/>
            <w:vAlign w:val="center"/>
          </w:tcPr>
          <w:p>
            <w:pPr>
              <w:keepNext/>
              <w:spacing w:after="60" w:before="60" w:line="276" w:lineRule="auto"/>
            </w:pPr>
            <w:r>
              <w:rPr>
                <w:b w:val="0"/>
                <w:sz w:val="21"/>
              </w:rPr>
              <w:t>连续工作点、仪器和误差预算可确认</w:t>
            </w:r>
          </w:p>
        </w:tc>
      </w:tr>
      <w:tr>
        <w:trPr>
          <w:cantSplit/>
        </w:trPr>
        <w:tc>
          <w:tcPr>
            <w:tcW w:type="dxa" w:w="2000"/>
            <w:vAlign w:val="center"/>
          </w:tcPr>
          <w:p>
            <w:pPr>
              <w:keepNext/>
              <w:spacing w:after="60" w:before="60" w:line="276" w:lineRule="auto"/>
            </w:pPr>
            <w:r>
              <w:rPr>
                <w:b w:val="0"/>
                <w:sz w:val="21"/>
              </w:rPr>
              <w:t>测量误差覆盖目标变化</w:t>
            </w:r>
          </w:p>
        </w:tc>
        <w:tc>
          <w:tcPr>
            <w:tcW w:type="dxa" w:w="3200"/>
            <w:vAlign w:val="center"/>
          </w:tcPr>
          <w:p>
            <w:pPr>
              <w:keepNext/>
              <w:spacing w:after="60" w:before="60" w:line="276" w:lineRule="auto"/>
            </w:pPr>
            <w:r>
              <w:rPr>
                <w:b w:val="0"/>
                <w:sz w:val="21"/>
              </w:rPr>
              <w:t>调整量程布点或可检程度，重新标定</w:t>
            </w:r>
          </w:p>
        </w:tc>
        <w:tc>
          <w:tcPr>
            <w:tcW w:type="dxa" w:w="3200"/>
            <w:vAlign w:val="center"/>
          </w:tcPr>
          <w:p>
            <w:pPr>
              <w:keepNext/>
              <w:spacing w:after="60" w:before="60" w:line="276" w:lineRule="auto"/>
            </w:pPr>
            <w:r>
              <w:rPr>
                <w:b w:val="0"/>
                <w:sz w:val="21"/>
              </w:rPr>
              <w:t>新范围与参照经导师冻结</w:t>
            </w:r>
          </w:p>
        </w:tc>
      </w:tr>
      <w:tr>
        <w:trPr>
          <w:cantSplit/>
        </w:trPr>
        <w:tc>
          <w:tcPr>
            <w:tcW w:type="dxa" w:w="2000"/>
            <w:vAlign w:val="center"/>
          </w:tcPr>
          <w:p>
            <w:pPr>
              <w:keepNext/>
              <w:spacing w:after="60" w:before="60" w:line="276" w:lineRule="auto"/>
            </w:pPr>
            <w:r>
              <w:rPr>
                <w:b w:val="0"/>
                <w:sz w:val="21"/>
              </w:rPr>
              <w:t>未知负载和泄漏同形</w:t>
            </w:r>
          </w:p>
        </w:tc>
        <w:tc>
          <w:tcPr>
            <w:tcW w:type="dxa" w:w="3200"/>
            <w:vAlign w:val="center"/>
          </w:tcPr>
          <w:p>
            <w:pPr>
              <w:keepNext/>
              <w:spacing w:after="60" w:before="60" w:line="276" w:lineRule="auto"/>
            </w:pPr>
            <w:r>
              <w:rPr>
                <w:b w:val="0"/>
                <w:sz w:val="21"/>
              </w:rPr>
              <w:t>保留异常待检查，增加明确的操作信息对照</w:t>
            </w:r>
          </w:p>
        </w:tc>
        <w:tc>
          <w:tcPr>
            <w:tcW w:type="dxa" w:w="3200"/>
            <w:vAlign w:val="center"/>
          </w:tcPr>
          <w:p>
            <w:pPr>
              <w:keepNext/>
              <w:spacing w:after="60" w:before="60" w:line="276" w:lineRule="auto"/>
            </w:pPr>
            <w:r>
              <w:rPr>
                <w:b w:val="0"/>
                <w:sz w:val="21"/>
              </w:rPr>
              <w:t>不超出已有信息的归因边界</w:t>
            </w:r>
          </w:p>
        </w:tc>
      </w:tr>
      <w:tr>
        <w:trPr>
          <w:cantSplit/>
        </w:trPr>
        <w:tc>
          <w:tcPr>
            <w:tcW w:type="dxa" w:w="2000"/>
            <w:vAlign w:val="center"/>
          </w:tcPr>
          <w:p>
            <w:pPr>
              <w:keepNext/>
              <w:spacing w:after="60" w:before="60" w:line="276" w:lineRule="auto"/>
            </w:pPr>
            <w:r>
              <w:rPr>
                <w:b w:val="0"/>
                <w:sz w:val="21"/>
              </w:rPr>
              <w:t>掉电恢复、队列或交付失败</w:t>
            </w:r>
          </w:p>
        </w:tc>
        <w:tc>
          <w:tcPr>
            <w:tcW w:type="dxa" w:w="3200"/>
            <w:vAlign w:val="center"/>
          </w:tcPr>
          <w:p>
            <w:pPr>
              <w:keepNext/>
              <w:spacing w:after="60" w:before="60" w:line="276" w:lineRule="auto"/>
            </w:pPr>
            <w:r>
              <w:rPr>
                <w:b w:val="0"/>
                <w:sz w:val="21"/>
              </w:rPr>
              <w:t>保留原日志，复现反例，修复后重新检查</w:t>
            </w:r>
          </w:p>
        </w:tc>
        <w:tc>
          <w:tcPr>
            <w:tcW w:type="dxa" w:w="3200"/>
            <w:vAlign w:val="center"/>
          </w:tcPr>
          <w:p>
            <w:pPr>
              <w:keepNext/>
              <w:spacing w:after="60" w:before="60" w:line="276" w:lineRule="auto"/>
            </w:pPr>
            <w:r>
              <w:rPr>
                <w:b w:val="0"/>
                <w:sz w:val="21"/>
              </w:rPr>
              <w:t>错帧重复身份、恢复与超期可追溯</w:t>
            </w:r>
          </w:p>
        </w:tc>
      </w:tr>
      <w:tr>
        <w:trPr>
          <w:cantSplit/>
        </w:trPr>
        <w:tc>
          <w:tcPr>
            <w:tcW w:type="dxa" w:w="2000"/>
            <w:vAlign w:val="center"/>
          </w:tcPr>
          <w:p>
            <w:pPr>
              <w:keepNext/>
              <w:spacing w:after="60" w:before="60" w:line="276" w:lineRule="auto"/>
            </w:pPr>
            <w:r>
              <w:rPr>
                <w:b w:val="0"/>
                <w:sz w:val="21"/>
              </w:rPr>
              <w:t>报价超帽或成员无法承担任务</w:t>
            </w:r>
          </w:p>
        </w:tc>
        <w:tc>
          <w:tcPr>
            <w:tcW w:type="dxa" w:w="3200"/>
            <w:vAlign w:val="center"/>
          </w:tcPr>
          <w:p>
            <w:pPr>
              <w:keepNext/>
              <w:spacing w:after="60" w:before="60" w:line="276" w:lineRule="auto"/>
            </w:pPr>
            <w:r>
              <w:rPr>
                <w:b w:val="0"/>
                <w:sz w:val="21"/>
              </w:rPr>
              <w:t>重编经费、职责和里程碑，办理必要变更</w:t>
            </w:r>
          </w:p>
        </w:tc>
        <w:tc>
          <w:tcPr>
            <w:tcW w:type="dxa" w:w="3200"/>
            <w:vAlign w:val="center"/>
          </w:tcPr>
          <w:p>
            <w:pPr>
              <w:keepNext/>
              <w:spacing w:after="60" w:before="60" w:line="276" w:lineRule="auto"/>
            </w:pPr>
            <w:r>
              <w:rPr>
                <w:b w:val="0"/>
                <w:sz w:val="21"/>
              </w:rPr>
              <w:t>经导师及学校要求审核，批准文件可追溯</w:t>
            </w:r>
          </w:p>
        </w:tc>
      </w:tr>
      <w:tr>
        <w:trPr>
          <w:cantSplit/>
        </w:trPr>
        <w:tc>
          <w:tcPr>
            <w:tcW w:type="dxa" w:w="2000"/>
            <w:vAlign w:val="center"/>
          </w:tcPr>
          <w:p>
            <w:pPr>
              <w:keepNext w:val="0"/>
              <w:spacing w:after="60" w:before="60" w:line="276" w:lineRule="auto"/>
            </w:pPr>
            <w:r>
              <w:rPr>
                <w:b w:val="0"/>
                <w:sz w:val="21"/>
              </w:rPr>
              <w:t>论文贡献或样本不足</w:t>
            </w:r>
          </w:p>
        </w:tc>
        <w:tc>
          <w:tcPr>
            <w:tcW w:type="dxa" w:w="3200"/>
            <w:vAlign w:val="center"/>
          </w:tcPr>
          <w:p>
            <w:pPr>
              <w:keepNext w:val="0"/>
              <w:spacing w:after="60" w:before="60" w:line="276" w:lineRule="auto"/>
            </w:pPr>
            <w:r>
              <w:rPr>
                <w:b w:val="0"/>
                <w:sz w:val="21"/>
              </w:rPr>
              <w:t>补关键独立批次或收窄研究问题</w:t>
            </w:r>
          </w:p>
        </w:tc>
        <w:tc>
          <w:tcPr>
            <w:tcW w:type="dxa" w:w="3200"/>
            <w:vAlign w:val="center"/>
          </w:tcPr>
          <w:p>
            <w:pPr>
              <w:keepNext w:val="0"/>
              <w:spacing w:after="60" w:before="60" w:line="276" w:lineRule="auto"/>
            </w:pPr>
            <w:r>
              <w:rPr>
                <w:b w:val="0"/>
                <w:sz w:val="21"/>
              </w:rPr>
              <w:t>保留原验证结果，新增实验另编号</w:t>
            </w:r>
          </w:p>
        </w:tc>
      </w:tr>
    </w:tbl>
    <w:p>
      <w:pPr>
        <w:spacing w:after="20"/>
      </w:pPr>
    </w:p>
    <w:p>
      <w:pPr>
        <w:widowControl/>
        <w:jc w:val="both"/>
      </w:pPr>
      <w:r>
        <w:t>凡影响正式研究内容、周期、成果形式、主要指标或经费的变更，保存原因、前后方案、资源影响、导师意见及学校所需审批。网页和材料不得在未经批准的情况下自动改写目标并声称完成。普通实现细节可以由团队决定，但配置与复验记录要完整。</w:t>
      </w:r>
    </w:p>
    <w:p>
      <w:pPr>
        <w:pStyle w:val="Heading1"/>
      </w:pPr>
      <w:r>
        <w:t>七 结项验收和论文路线</w:t>
      </w:r>
    </w:p>
    <w:p>
      <w:pPr>
        <w:pStyle w:val="Heading2"/>
      </w:pPr>
      <w:r>
        <w:t>1 结项材料的检查顺序</w:t>
      </w:r>
    </w:p>
    <w:p>
      <w:pPr>
        <w:widowControl/>
        <w:jc w:val="both"/>
      </w:pPr>
      <w:r>
        <w:t>先核对批准文件、申报书及任务书，再查原型是否实现承诺功能、每项实验是否有独立证据、指标与成果状态是否一致。检查程序、原始数据、配置、连接和使用说明能否复现，最后核对预算、支出和必要审批。图片须出自同一版本，流程箭头正确，文字和图注清楚，不裁切、不拉伸、不用示意图冒充实物。</w:t>
      </w:r>
    </w:p>
    <w:p>
      <w:pPr>
        <w:widowControl/>
        <w:jc w:val="both"/>
      </w:pPr>
      <w:r>
        <w:t>结项包至少包含真实原型及演示、硬件连接与标定、诊断和无线对照、连续恢复、维护前后记录、研究报告和结题所需表格。学校2026立项通知列有项目竞赛与国家级成果要求，可作为准备方向；2027的项目级别、竞赛及论文要求待当批正式通知确认，不在本书虚构已满足条件。</w:t>
      </w:r>
    </w:p>
    <w:p>
      <w:pPr>
        <w:pStyle w:val="Heading2"/>
      </w:pPr>
      <w:r>
        <w:t>2 主论文与备选问题</w:t>
      </w:r>
    </w:p>
    <w:p>
      <w:pPr>
        <w:widowControl/>
        <w:jc w:val="both"/>
      </w:pPr>
      <w:r>
        <w:t>主论文优先研究低成本双压力流量的跨工况辨识边界。最低内容为实际标定与误差、独立故障程度、正常干扰、同信息强基线、测点及门控消融、整日或整档留出和失败。仅展示网页、LoRa或若干成功曲线不足以支持创新贡献。先完成一套有说服力的数据，再选与贡献匹配的期刊。</w:t>
      </w:r>
    </w:p>
    <w:p>
      <w:pPr>
        <w:widowControl/>
        <w:jc w:val="both"/>
      </w:pPr>
      <w:r>
        <w:t>若测量信息增量不足，备选统一检测器下的事件上报与队列调度。该方向需要真实发收及提交日志、相同轨迹与确认规则、遮挡阻断、丢ACK和拥塞反例；要写节能结论还需整机能量测量。两问题可分阶段深化，不为凑论文数量拆分同一薄弱结论。</w:t>
      </w:r>
    </w:p>
    <w:p>
      <w:pPr>
        <w:widowControl/>
        <w:jc w:val="both"/>
      </w:pPr>
      <w:r>
        <w:t>后续首先扩展负载档与日期，比较冻结参照、少量健康重标定和经验模型；其次在新增节点、共同供压与同步日志落实后研究多支管扰动与事件竞争；长期维护方向需要真实处置复测配对及参照漂移记录。每条扩展都有数据进入条件，基础交付仍为单监测支路。</w:t>
      </w:r>
    </w:p>
    <w:p>
      <w:pPr>
        <w:pStyle w:val="Heading2"/>
      </w:pPr>
      <w:r>
        <w:t>3 科研积分与成果状态</w:t>
      </w:r>
    </w:p>
    <w:p>
      <w:pPr>
        <w:widowControl/>
        <w:jc w:val="both"/>
      </w:pPr>
      <w:r>
        <w:t>用户提供的当年推免参考表为科研类满分10分：第一完成人国家级、省级、校级大创合格结项分别为5、4、3分；指定SCI/EI等收录论文6分，指定北大核心/CSCD/CPCI-S等4分，论文要求独立或第一作者且与学业相关。该截图不代表未来政策，认定须向学院核对正式文件、截止日及发表收录证明。</w:t>
      </w:r>
    </w:p>
    <w:p>
      <w:pPr>
        <w:widowControl/>
        <w:jc w:val="both"/>
      </w:pPr>
      <w:r>
        <w:t>按该参考口径，省级结项4分加认可6分论文才恰好10分；国家级结项5分加认可4分论文为9分，国家级加6分论文为11分但按10分封顶；校级加6分论文也仅9分。国家级和高等级论文均不能保证。当前务实路线是争取较高立项、以第一完成人完成真实系统，并持续积累足以投稿的独立数据；不把立项、论文稿或录用自动计分。</w:t>
      </w:r>
    </w:p>
    <w:p>
      <w:pPr>
        <w:widowControl/>
        <w:jc w:val="both"/>
      </w:pPr>
      <w:r>
        <w:t>项目成果状态单独登记为计划、已实施、完成验证、结项验收，以及论文稿、投稿、录用、发表、收录。真实作者贡献与证明分别保存，必要时提前向学院核对未来认定口径；评分规则变化后重新计算，不为积分编造已有成果。</w:t>
      </w:r>
    </w:p>
    <w:p>
      <w:pPr>
        <w:pStyle w:val="Heading1"/>
      </w:pPr>
      <w:r>
        <w:t>八 官方任务书映射和待定字段</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000"/>
        <w:gridCol w:w="3400"/>
        <w:gridCol w:w="3000"/>
      </w:tblGrid>
      <w:tr>
        <w:trPr>
          <w:cantSplit/>
          <w:tblHeader/>
        </w:trPr>
        <w:tc>
          <w:tcPr>
            <w:tcW w:type="dxa" w:w="2000"/>
            <w:vAlign w:val="center"/>
            <w:shd w:fill="F0F0F0"/>
          </w:tcPr>
          <w:p>
            <w:pPr>
              <w:keepNext/>
              <w:spacing w:after="60" w:before="60" w:line="276" w:lineRule="auto"/>
            </w:pPr>
            <w:r>
              <w:rPr>
                <w:b/>
                <w:sz w:val="21"/>
              </w:rPr>
              <w:t>正式材料要素</w:t>
            </w:r>
          </w:p>
        </w:tc>
        <w:tc>
          <w:tcPr>
            <w:tcW w:type="dxa" w:w="3400"/>
            <w:vAlign w:val="center"/>
            <w:shd w:fill="F0F0F0"/>
          </w:tcPr>
          <w:p>
            <w:pPr>
              <w:keepNext/>
              <w:spacing w:after="60" w:before="60" w:line="276" w:lineRule="auto"/>
            </w:pPr>
            <w:r>
              <w:rPr>
                <w:b/>
                <w:sz w:val="21"/>
              </w:rPr>
              <w:t>本书对应位置</w:t>
            </w:r>
          </w:p>
        </w:tc>
        <w:tc>
          <w:tcPr>
            <w:tcW w:type="dxa" w:w="3000"/>
            <w:vAlign w:val="center"/>
            <w:shd w:fill="F0F0F0"/>
          </w:tcPr>
          <w:p>
            <w:pPr>
              <w:keepNext/>
              <w:spacing w:after="60" w:before="60" w:line="276" w:lineRule="auto"/>
            </w:pPr>
            <w:r>
              <w:rPr>
                <w:b/>
                <w:sz w:val="21"/>
              </w:rPr>
              <w:t>提交时仍需核定</w:t>
            </w:r>
          </w:p>
        </w:tc>
      </w:tr>
      <w:tr>
        <w:trPr>
          <w:cantSplit/>
        </w:trPr>
        <w:tc>
          <w:tcPr>
            <w:tcW w:type="dxa" w:w="2000"/>
            <w:vAlign w:val="center"/>
          </w:tcPr>
          <w:p>
            <w:pPr>
              <w:keepNext/>
              <w:spacing w:after="60" w:before="60" w:line="276" w:lineRule="auto"/>
            </w:pPr>
            <w:r>
              <w:rPr>
                <w:b w:val="0"/>
                <w:sz w:val="21"/>
              </w:rPr>
              <w:t>项目身份</w:t>
            </w:r>
          </w:p>
        </w:tc>
        <w:tc>
          <w:tcPr>
            <w:tcW w:type="dxa" w:w="3400"/>
            <w:vAlign w:val="center"/>
          </w:tcPr>
          <w:p>
            <w:pPr>
              <w:keepNext/>
              <w:spacing w:after="60" w:before="60" w:line="276" w:lineRule="auto"/>
            </w:pPr>
            <w:r>
              <w:rPr>
                <w:b w:val="0"/>
                <w:sz w:val="21"/>
              </w:rPr>
              <w:t>封面及第一章</w:t>
            </w:r>
          </w:p>
        </w:tc>
        <w:tc>
          <w:tcPr>
            <w:tcW w:type="dxa" w:w="3000"/>
            <w:vAlign w:val="center"/>
          </w:tcPr>
          <w:p>
            <w:pPr>
              <w:keepNext/>
              <w:spacing w:after="60" w:before="60" w:line="276" w:lineRule="auto"/>
            </w:pPr>
            <w:r>
              <w:rPr>
                <w:b w:val="0"/>
                <w:sz w:val="21"/>
              </w:rPr>
              <w:t>项目名称、正式编号、级别、成员、导师与批准名单一致</w:t>
            </w:r>
          </w:p>
        </w:tc>
      </w:tr>
      <w:tr>
        <w:trPr>
          <w:cantSplit/>
        </w:trPr>
        <w:tc>
          <w:tcPr>
            <w:tcW w:type="dxa" w:w="2000"/>
            <w:vAlign w:val="center"/>
          </w:tcPr>
          <w:p>
            <w:pPr>
              <w:keepNext/>
              <w:spacing w:after="60" w:before="60" w:line="276" w:lineRule="auto"/>
            </w:pPr>
            <w:r>
              <w:rPr>
                <w:b w:val="0"/>
                <w:sz w:val="21"/>
              </w:rPr>
              <w:t>内容与目标</w:t>
            </w:r>
          </w:p>
        </w:tc>
        <w:tc>
          <w:tcPr>
            <w:tcW w:type="dxa" w:w="3400"/>
            <w:vAlign w:val="center"/>
          </w:tcPr>
          <w:p>
            <w:pPr>
              <w:keepNext/>
              <w:spacing w:after="60" w:before="60" w:line="276" w:lineRule="auto"/>
            </w:pPr>
            <w:r>
              <w:rPr>
                <w:b w:val="0"/>
                <w:sz w:val="21"/>
              </w:rPr>
              <w:t>第一至四章</w:t>
            </w:r>
          </w:p>
        </w:tc>
        <w:tc>
          <w:tcPr>
            <w:tcW w:type="dxa" w:w="3000"/>
            <w:vAlign w:val="center"/>
          </w:tcPr>
          <w:p>
            <w:pPr>
              <w:keepNext/>
              <w:spacing w:after="60" w:before="60" w:line="276" w:lineRule="auto"/>
            </w:pPr>
            <w:r>
              <w:rPr>
                <w:b w:val="0"/>
                <w:sz w:val="21"/>
              </w:rPr>
              <w:t>获批任务、挑战指标、适用范围与实验规模</w:t>
            </w:r>
          </w:p>
        </w:tc>
      </w:tr>
      <w:tr>
        <w:trPr>
          <w:cantSplit/>
        </w:trPr>
        <w:tc>
          <w:tcPr>
            <w:tcW w:type="dxa" w:w="2000"/>
            <w:vAlign w:val="center"/>
          </w:tcPr>
          <w:p>
            <w:pPr>
              <w:keepNext/>
              <w:spacing w:after="60" w:before="60" w:line="276" w:lineRule="auto"/>
            </w:pPr>
            <w:r>
              <w:rPr>
                <w:b w:val="0"/>
                <w:sz w:val="21"/>
              </w:rPr>
              <w:t>技术路线</w:t>
            </w:r>
          </w:p>
        </w:tc>
        <w:tc>
          <w:tcPr>
            <w:tcW w:type="dxa" w:w="3400"/>
            <w:vAlign w:val="center"/>
          </w:tcPr>
          <w:p>
            <w:pPr>
              <w:keepNext/>
              <w:spacing w:after="60" w:before="60" w:line="276" w:lineRule="auto"/>
            </w:pPr>
            <w:r>
              <w:rPr>
                <w:b w:val="0"/>
                <w:sz w:val="21"/>
              </w:rPr>
              <w:t>第二至四章</w:t>
            </w:r>
          </w:p>
        </w:tc>
        <w:tc>
          <w:tcPr>
            <w:tcW w:type="dxa" w:w="3000"/>
            <w:vAlign w:val="center"/>
          </w:tcPr>
          <w:p>
            <w:pPr>
              <w:keepNext/>
              <w:spacing w:after="60" w:before="60" w:line="276" w:lineRule="auto"/>
            </w:pPr>
            <w:r>
              <w:rPr>
                <w:b w:val="0"/>
                <w:sz w:val="21"/>
              </w:rPr>
              <w:t>实际BOM、软件协议、健康关系与冻结版本</w:t>
            </w:r>
          </w:p>
        </w:tc>
      </w:tr>
      <w:tr>
        <w:trPr>
          <w:cantSplit/>
        </w:trPr>
        <w:tc>
          <w:tcPr>
            <w:tcW w:type="dxa" w:w="2000"/>
            <w:vAlign w:val="center"/>
          </w:tcPr>
          <w:p>
            <w:pPr>
              <w:keepNext/>
              <w:spacing w:after="60" w:before="60" w:line="276" w:lineRule="auto"/>
            </w:pPr>
            <w:r>
              <w:rPr>
                <w:b w:val="0"/>
                <w:sz w:val="21"/>
              </w:rPr>
              <w:t>进度及责任</w:t>
            </w:r>
          </w:p>
        </w:tc>
        <w:tc>
          <w:tcPr>
            <w:tcW w:type="dxa" w:w="3400"/>
            <w:vAlign w:val="center"/>
          </w:tcPr>
          <w:p>
            <w:pPr>
              <w:keepNext/>
              <w:spacing w:after="60" w:before="60" w:line="276" w:lineRule="auto"/>
            </w:pPr>
            <w:r>
              <w:rPr>
                <w:b w:val="0"/>
                <w:sz w:val="21"/>
              </w:rPr>
              <w:t>第五至六章</w:t>
            </w:r>
          </w:p>
        </w:tc>
        <w:tc>
          <w:tcPr>
            <w:tcW w:type="dxa" w:w="3000"/>
            <w:vAlign w:val="center"/>
          </w:tcPr>
          <w:p>
            <w:pPr>
              <w:keepNext/>
              <w:spacing w:after="60" w:before="60" w:line="276" w:lineRule="auto"/>
            </w:pPr>
            <w:r>
              <w:rPr>
                <w:b w:val="0"/>
                <w:sz w:val="21"/>
              </w:rPr>
              <w:t>成员、执行期、岗位及阶段检查安排</w:t>
            </w:r>
          </w:p>
        </w:tc>
      </w:tr>
      <w:tr>
        <w:trPr>
          <w:cantSplit/>
        </w:trPr>
        <w:tc>
          <w:tcPr>
            <w:tcW w:type="dxa" w:w="2000"/>
            <w:vAlign w:val="center"/>
          </w:tcPr>
          <w:p>
            <w:pPr>
              <w:keepNext/>
              <w:spacing w:after="60" w:before="60" w:line="276" w:lineRule="auto"/>
            </w:pPr>
            <w:r>
              <w:rPr>
                <w:b w:val="0"/>
                <w:sz w:val="21"/>
              </w:rPr>
              <w:t>预期成果及验收</w:t>
            </w:r>
          </w:p>
        </w:tc>
        <w:tc>
          <w:tcPr>
            <w:tcW w:type="dxa" w:w="3400"/>
            <w:vAlign w:val="center"/>
          </w:tcPr>
          <w:p>
            <w:pPr>
              <w:keepNext/>
              <w:spacing w:after="60" w:before="60" w:line="276" w:lineRule="auto"/>
            </w:pPr>
            <w:r>
              <w:rPr>
                <w:b w:val="0"/>
                <w:sz w:val="21"/>
              </w:rPr>
              <w:t>第七章</w:t>
            </w:r>
          </w:p>
        </w:tc>
        <w:tc>
          <w:tcPr>
            <w:tcW w:type="dxa" w:w="3000"/>
            <w:vAlign w:val="center"/>
          </w:tcPr>
          <w:p>
            <w:pPr>
              <w:keepNext/>
              <w:spacing w:after="60" w:before="60" w:line="276" w:lineRule="auto"/>
            </w:pPr>
            <w:r>
              <w:rPr>
                <w:b w:val="0"/>
                <w:sz w:val="21"/>
              </w:rPr>
              <w:t>当批竞赛、论文或其他成果要求及验收方式</w:t>
            </w:r>
          </w:p>
        </w:tc>
      </w:tr>
      <w:tr>
        <w:trPr>
          <w:cantSplit/>
        </w:trPr>
        <w:tc>
          <w:tcPr>
            <w:tcW w:type="dxa" w:w="2000"/>
            <w:vAlign w:val="center"/>
          </w:tcPr>
          <w:p>
            <w:pPr>
              <w:keepNext/>
              <w:spacing w:after="60" w:before="60" w:line="276" w:lineRule="auto"/>
            </w:pPr>
            <w:r>
              <w:rPr>
                <w:b w:val="0"/>
                <w:sz w:val="21"/>
              </w:rPr>
              <w:t>经费</w:t>
            </w:r>
          </w:p>
        </w:tc>
        <w:tc>
          <w:tcPr>
            <w:tcW w:type="dxa" w:w="3400"/>
            <w:vAlign w:val="center"/>
          </w:tcPr>
          <w:p>
            <w:pPr>
              <w:keepNext/>
              <w:spacing w:after="60" w:before="60" w:line="276" w:lineRule="auto"/>
            </w:pPr>
            <w:r>
              <w:rPr>
                <w:b w:val="0"/>
                <w:sz w:val="21"/>
              </w:rPr>
              <w:t>第五章</w:t>
            </w:r>
          </w:p>
        </w:tc>
        <w:tc>
          <w:tcPr>
            <w:tcW w:type="dxa" w:w="3000"/>
            <w:vAlign w:val="center"/>
          </w:tcPr>
          <w:p>
            <w:pPr>
              <w:keepNext/>
              <w:spacing w:after="60" w:before="60" w:line="276" w:lineRule="auto"/>
            </w:pPr>
            <w:r>
              <w:rPr>
                <w:b w:val="0"/>
                <w:sz w:val="21"/>
              </w:rPr>
              <w:t>学校经济科目、批准资助及真实采购支出</w:t>
            </w:r>
          </w:p>
        </w:tc>
      </w:tr>
      <w:tr>
        <w:trPr>
          <w:cantSplit/>
        </w:trPr>
        <w:tc>
          <w:tcPr>
            <w:tcW w:type="dxa" w:w="2000"/>
            <w:vAlign w:val="center"/>
          </w:tcPr>
          <w:p>
            <w:pPr>
              <w:keepNext w:val="0"/>
              <w:spacing w:after="60" w:before="60" w:line="276" w:lineRule="auto"/>
            </w:pPr>
            <w:r>
              <w:rPr>
                <w:b w:val="0"/>
                <w:sz w:val="21"/>
              </w:rPr>
              <w:t>指导审批与签字</w:t>
            </w:r>
          </w:p>
        </w:tc>
        <w:tc>
          <w:tcPr>
            <w:tcW w:type="dxa" w:w="3400"/>
            <w:vAlign w:val="center"/>
          </w:tcPr>
          <w:p>
            <w:pPr>
              <w:keepNext w:val="0"/>
              <w:spacing w:after="60" w:before="60" w:line="276" w:lineRule="auto"/>
            </w:pPr>
            <w:r>
              <w:rPr>
                <w:b w:val="0"/>
                <w:sz w:val="21"/>
              </w:rPr>
              <w:t>正式表格填写</w:t>
            </w:r>
          </w:p>
        </w:tc>
        <w:tc>
          <w:tcPr>
            <w:tcW w:type="dxa" w:w="3000"/>
            <w:vAlign w:val="center"/>
          </w:tcPr>
          <w:p>
            <w:pPr>
              <w:keepNext w:val="0"/>
              <w:spacing w:after="60" w:before="60" w:line="276" w:lineRule="auto"/>
            </w:pPr>
            <w:r>
              <w:rPr>
                <w:b w:val="0"/>
                <w:sz w:val="21"/>
              </w:rPr>
              <w:t>实际意见和签名；本书未生成任何签字</w:t>
            </w:r>
          </w:p>
        </w:tc>
      </w:tr>
    </w:tbl>
    <w:p>
      <w:pPr>
        <w:spacing w:after="20"/>
      </w:pPr>
    </w:p>
    <w:p>
      <w:pPr>
        <w:widowControl/>
        <w:jc w:val="both"/>
      </w:pPr>
      <w:r>
        <w:t>已查到学校2026及2025立项通知的创新训练任务书附件入口，附件下载返回人工验证码页面，尚未取得实际表格。因此这里只作要素映射，字段名称与顺序均须以正式下载模板为准。申报阶段先提交学院要求的申报书，立项后将核定内容套入正式任务书，不能把本自主文件称为已填官方任务书。</w:t>
      </w:r>
    </w:p>
    <w:p>
      <w:pPr>
        <w:pStyle w:val="Heading1"/>
      </w:pPr>
      <w:r>
        <w:t>九 依据与配套证据</w:t>
      </w:r>
    </w:p>
    <w:p>
      <w:pPr>
        <w:widowControl/>
        <w:jc w:val="left"/>
      </w:pPr>
      <w:r>
        <w:t>学校2026立项通知说明立项后填写任务书，项目身份应与立项信息一致，并按要求编制经费；2026验收通知将研究内容、周期、成果形式、指标目标及经费与申报书、任务书对照。本执行稿采用这一任务对应原则，2027具体安排仍待通知。来源一为 https://jwc.taru.edu.cn/info/1052/4416.htm ，来源二为 https://jwc.taru.edu.cn/info/1052/4432.htm 。2025立项通知参考 https://jwc.taru.edu.cn/info/1052/3886.htm 。</w:t>
      </w:r>
    </w:p>
    <w:p>
      <w:pPr>
        <w:widowControl/>
        <w:jc w:val="both"/>
      </w:pPr>
      <w:r>
        <w:t>中文11篇、英文6篇的17篇学术文献及正文支撑点保存在申报书研究现状和application/references.json；本书不改变其引文或将未阅读全文的内容写成已验证结论。对应文献核验、国内选型、几何、诊断、接口、网站和本轮复核记录一并归档。</w:t>
      </w:r>
    </w:p>
    <w:p>
      <w:pPr>
        <w:widowControl/>
        <w:jc w:val="both"/>
      </w:pPr>
      <w:r>
        <w:t>模型版本为20261004-A06A07-v1；复现与验收索引见application/quality_release。历史证据保留，实物验证仍待开展。</w:t>
      </w:r>
    </w:p>
    <w:sectPr w:rsidR="00FC693F" w:rsidRPr="0006063C" w:rsidSect="00034616">
      <w:headerReference w:type="default" r:id="rId9"/>
      <w:footerReference w:type="default" r:id="rId10"/>
      <w:pgSz w:w="11906" w:h="16838"/>
      <w:pgMar w:top="1361" w:right="1417" w:bottom="130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南疆滴灌支管道故障诊断系统　实施执行稿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before="0" w:line="300"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20" w:line="300" w:lineRule="auto"/>
      <w:outlineLvl w:val="0"/>
    </w:pPr>
    <w:rPr>
      <w:rFonts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line="300" w:lineRule="auto"/>
      <w:outlineLvl w:val="1"/>
    </w:pPr>
    <w:rPr>
      <w:rFonts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480" w:line="300" w:lineRule="auto" w:before="0"/>
      <w:contextualSpacing/>
    </w:pPr>
    <w:rPr>
      <w:rFonts w:ascii="Times New Roman" w:hAnsi="Times New Roman"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南疆滴灌支管道故障诊断系统实施项目书</dc:title>
  <dc:subject>原型系统任务分解 实验协议 里程碑和验收</dc:subject>
  <dc:creator>项目组 待确认</dc:creator>
  <cp:keywords/>
  <dc:description>generated by python-docx</dc:description>
  <cp:lastModifiedBy/>
  <cp:revision>1</cp:revision>
  <dcterms:created xsi:type="dcterms:W3CDTF">2013-12-23T23:15:00Z</dcterms:created>
  <dcterms:modified xsi:type="dcterms:W3CDTF">2013-12-23T23:15:00Z</dcterms:modified>
  <cp:category/>
</cp:coreProperties>
</file>