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DE55C">
      <w:pPr>
        <w:rPr>
          <w:rFonts w:hint="eastAsia" w:eastAsia="宋体"/>
          <w:lang w:eastAsia="zh-CN"/>
        </w:rPr>
      </w:pPr>
    </w:p>
    <w:p w14:paraId="32973EFA">
      <w:pPr>
        <w:rPr>
          <w:rFonts w:hint="eastAsia" w:eastAsia="宋体"/>
          <w:lang w:eastAsia="zh-CN"/>
        </w:rPr>
      </w:pPr>
    </w:p>
    <w:p w14:paraId="1A72AF7F">
      <w:pPr>
        <w:jc w:val="left"/>
        <w:rPr>
          <w:rFonts w:hint="eastAsia" w:eastAsia="宋体"/>
          <w:lang w:eastAsia="zh-CN"/>
        </w:rPr>
      </w:pPr>
      <w:r>
        <w:rPr>
          <w:rFonts w:hint="eastAsia" w:eastAsia="宋体"/>
          <w:lang w:eastAsia="zh-CN"/>
        </w:rPr>
        <w:pict>
          <v:shape id="_x0000_i1025" o:spt="75" alt="塔里木大学VI-基础部分_A4.01标志标准中英文全称横式使用规范与不可入侵范围" type="#_x0000_t75" style="height:61.5pt;width:178pt;" filled="f" o:preferrelative="t" stroked="f" coordsize="21600,21600">
            <v:path/>
            <v:fill on="f" focussize="0,0"/>
            <v:stroke on="f"/>
            <v:imagedata r:id="rId5" o:title="塔里木大学VI-基础部分_A4.01标志标准中英文全称横式使用规范与不可入侵范围"/>
            <o:lock v:ext="edit" aspectratio="t"/>
            <w10:wrap type="none"/>
            <w10:anchorlock/>
          </v:shape>
        </w:pict>
      </w:r>
    </w:p>
    <w:p w14:paraId="2695D025">
      <w:pPr>
        <w:rPr>
          <w:rFonts w:hint="eastAsia"/>
        </w:rPr>
      </w:pPr>
    </w:p>
    <w:p w14:paraId="4767D922">
      <w:pPr>
        <w:rPr>
          <w:rFonts w:hint="eastAsia"/>
        </w:rPr>
      </w:pPr>
    </w:p>
    <w:p w14:paraId="6897FE55">
      <w:pPr>
        <w:rPr>
          <w:rFonts w:hint="eastAsia"/>
        </w:rPr>
      </w:pPr>
    </w:p>
    <w:p w14:paraId="15008745">
      <w:pPr>
        <w:rPr>
          <w:rFonts w:hint="eastAsia"/>
        </w:rPr>
      </w:pPr>
    </w:p>
    <w:p w14:paraId="08B174CA">
      <w:pPr>
        <w:jc w:val="center"/>
        <w:rPr>
          <w:rFonts w:hint="eastAsia" w:ascii="方正小标宋简体" w:hAnsi="方正小标宋简体" w:eastAsia="方正小标宋简体" w:cs="方正小标宋简体"/>
          <w:b w:val="0"/>
          <w:bCs/>
          <w:sz w:val="52"/>
          <w:szCs w:val="52"/>
        </w:rPr>
      </w:pPr>
      <w:r>
        <w:rPr>
          <w:rFonts w:hint="eastAsia" w:ascii="方正小标宋简体" w:hAnsi="方正小标宋简体" w:eastAsia="方正小标宋简体" w:cs="方正小标宋简体"/>
          <w:b w:val="0"/>
          <w:bCs/>
          <w:sz w:val="52"/>
          <w:szCs w:val="52"/>
        </w:rPr>
        <w:t>大学生创新训练</w:t>
      </w:r>
      <w:r>
        <w:rPr>
          <w:rFonts w:hint="eastAsia" w:ascii="方正小标宋简体" w:hAnsi="方正小标宋简体" w:eastAsia="方正小标宋简体" w:cs="方正小标宋简体"/>
          <w:b w:val="0"/>
          <w:bCs/>
          <w:sz w:val="52"/>
          <w:szCs w:val="52"/>
          <w:lang w:val="en-US" w:eastAsia="zh-CN"/>
        </w:rPr>
        <w:t>计划</w:t>
      </w:r>
      <w:r>
        <w:rPr>
          <w:rFonts w:hint="eastAsia" w:ascii="方正小标宋简体" w:hAnsi="方正小标宋简体" w:eastAsia="方正小标宋简体" w:cs="方正小标宋简体"/>
          <w:b w:val="0"/>
          <w:bCs/>
          <w:sz w:val="52"/>
          <w:szCs w:val="52"/>
        </w:rPr>
        <w:t>申报书</w:t>
      </w:r>
    </w:p>
    <w:p w14:paraId="38481BEC">
      <w:pPr>
        <w:jc w:val="center"/>
        <w:rPr>
          <w:rFonts w:hint="eastAsia" w:ascii="黑体" w:hAnsi="黑体" w:eastAsia="黑体"/>
          <w:sz w:val="36"/>
          <w:szCs w:val="36"/>
        </w:rPr>
      </w:pPr>
      <w:r>
        <w:rPr>
          <w:rFonts w:hint="eastAsia" w:ascii="方正小标宋简体" w:hAnsi="方正小标宋简体" w:eastAsia="方正小标宋简体" w:cs="方正小标宋简体"/>
          <w:color w:val="000000"/>
          <w:sz w:val="36"/>
          <w:szCs w:val="36"/>
          <w:lang w:eastAsia="zh-CN"/>
        </w:rPr>
        <w:t>（</w:t>
      </w:r>
      <w:r>
        <w:rPr>
          <w:rFonts w:hint="eastAsia" w:ascii="方正小标宋简体" w:hAnsi="方正小标宋简体" w:eastAsia="方正小标宋简体" w:cs="方正小标宋简体"/>
          <w:color w:val="000000"/>
          <w:sz w:val="36"/>
          <w:szCs w:val="36"/>
          <w:lang w:val="en-US" w:eastAsia="zh-CN"/>
        </w:rPr>
        <w:t>创新训练项目</w:t>
      </w:r>
      <w:r>
        <w:rPr>
          <w:rFonts w:hint="eastAsia" w:ascii="方正小标宋简体" w:hAnsi="方正小标宋简体" w:eastAsia="方正小标宋简体" w:cs="方正小标宋简体"/>
          <w:color w:val="000000"/>
          <w:sz w:val="36"/>
          <w:szCs w:val="36"/>
          <w:lang w:eastAsia="zh-CN"/>
        </w:rPr>
        <w:t>）</w:t>
      </w:r>
    </w:p>
    <w:p w14:paraId="35D22DDB">
      <w:pPr>
        <w:jc w:val="both"/>
        <w:rPr>
          <w:rFonts w:hint="eastAsia" w:ascii="黑体" w:hAnsi="黑体" w:eastAsia="黑体"/>
          <w:sz w:val="36"/>
          <w:szCs w:val="36"/>
        </w:rPr>
      </w:pPr>
    </w:p>
    <w:p w14:paraId="3084D173">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项目名称：</w:t>
      </w:r>
    </w:p>
    <w:p w14:paraId="6DC3B14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p>
    <w:p w14:paraId="348F719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p>
    <w:p w14:paraId="0DB1F521">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p>
    <w:p w14:paraId="01AE82D4">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p>
    <w:p w14:paraId="06BD5DC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所属学院：</w:t>
      </w:r>
    </w:p>
    <w:p w14:paraId="3AB98B26">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p>
    <w:p w14:paraId="5183D73D">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p>
    <w:p w14:paraId="2A496524">
      <w:pPr>
        <w:spacing w:line="480" w:lineRule="auto"/>
        <w:ind w:left="1200" w:firstLine="0"/>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起止时间：</w:t>
      </w:r>
    </w:p>
    <w:p w14:paraId="13E1AEBD">
      <w:pPr>
        <w:spacing w:line="480" w:lineRule="auto"/>
        <w:rPr>
          <w:rFonts w:hint="eastAsia" w:ascii="黑体" w:hAnsi="黑体" w:eastAsia="黑体" w:cs="黑体"/>
          <w:b w:val="0"/>
          <w:bCs w:val="0"/>
          <w:sz w:val="30"/>
          <w:szCs w:val="30"/>
          <w:lang w:val="en-US" w:eastAsia="zh-CN"/>
        </w:rPr>
      </w:pPr>
    </w:p>
    <w:p w14:paraId="1F1C9244">
      <w:pPr>
        <w:rPr>
          <w:rFonts w:hint="eastAsia" w:ascii="黑体" w:hAnsi="黑体" w:eastAsia="黑体" w:cs="黑体"/>
          <w:sz w:val="36"/>
        </w:rPr>
      </w:pPr>
    </w:p>
    <w:p w14:paraId="3B96F922">
      <w:pPr>
        <w:rPr>
          <w:rFonts w:hint="eastAsia" w:ascii="黑体" w:hAnsi="黑体" w:eastAsia="黑体" w:cs="黑体"/>
          <w:sz w:val="36"/>
        </w:rPr>
      </w:pPr>
    </w:p>
    <w:p w14:paraId="458B7903">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0FAED779">
      <w:pPr>
        <w:pageBreakBefore/>
        <w:jc w:val="center"/>
        <w:rPr>
          <w:rFonts w:eastAsia="楷体_GB2312"/>
          <w:b/>
          <w:bCs/>
          <w:sz w:val="36"/>
        </w:rPr>
      </w:pPr>
      <w:r>
        <w:rPr>
          <w:rFonts w:hint="eastAsia" w:ascii="小标宋" w:hAnsi="小标宋" w:eastAsia="小标宋" w:cs="小标宋"/>
          <w:b w:val="0"/>
          <w:bCs w:val="0"/>
          <w:sz w:val="44"/>
        </w:rPr>
        <w:t>填 写 须 知</w:t>
      </w:r>
    </w:p>
    <w:p w14:paraId="55C14145">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44D7D0F1">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32A39B5F">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082E1477">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3F849BE0">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457D7C69">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704B15AD">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7CB69F8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7AA4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33A8EE7A">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0E73B941">
            <w:pPr>
              <w:jc w:val="center"/>
              <w:rPr>
                <w:rFonts w:hint="eastAsia" w:eastAsia="宋体"/>
                <w:lang w:eastAsia="zh-CN"/>
              </w:rPr>
            </w:pPr>
          </w:p>
        </w:tc>
      </w:tr>
      <w:tr w14:paraId="4090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1F5DAD">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3323B673">
            <w:pPr>
              <w:jc w:val="left"/>
              <w:rPr>
                <w:rFonts w:hint="default" w:eastAsia="宋体"/>
                <w:lang w:val="en-US" w:eastAsia="zh-CN"/>
              </w:rPr>
            </w:pPr>
          </w:p>
        </w:tc>
      </w:tr>
      <w:tr w14:paraId="3AD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644872">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6FE21E6E">
            <w:pPr>
              <w:jc w:val="center"/>
              <w:rPr>
                <w:rFonts w:hint="eastAsia" w:eastAsia="宋体"/>
                <w:lang w:eastAsia="zh-CN"/>
              </w:rPr>
            </w:pPr>
          </w:p>
        </w:tc>
      </w:tr>
      <w:tr w14:paraId="5229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6969B24D">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02B2FA6B">
            <w:pPr>
              <w:jc w:val="center"/>
              <w:rPr>
                <w:rFonts w:ascii="黑体" w:hAnsi="黑体" w:eastAsia="黑体"/>
              </w:rPr>
            </w:pPr>
            <w:r>
              <w:rPr>
                <w:rFonts w:hint="eastAsia" w:ascii="黑体" w:hAnsi="黑体" w:eastAsia="黑体"/>
              </w:rPr>
              <w:t>姓名</w:t>
            </w:r>
          </w:p>
        </w:tc>
        <w:tc>
          <w:tcPr>
            <w:tcW w:w="719" w:type="dxa"/>
            <w:noWrap w:val="0"/>
            <w:vAlign w:val="center"/>
          </w:tcPr>
          <w:p w14:paraId="6EE3FEA3">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63F6FB1D">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A6C37C4">
            <w:pPr>
              <w:jc w:val="center"/>
              <w:rPr>
                <w:rFonts w:ascii="黑体" w:hAnsi="黑体" w:eastAsia="黑体"/>
              </w:rPr>
            </w:pPr>
            <w:r>
              <w:rPr>
                <w:rFonts w:hint="eastAsia" w:ascii="黑体" w:hAnsi="黑体" w:eastAsia="黑体"/>
              </w:rPr>
              <w:t>联系电话</w:t>
            </w:r>
          </w:p>
        </w:tc>
        <w:tc>
          <w:tcPr>
            <w:tcW w:w="2689" w:type="dxa"/>
            <w:noWrap w:val="0"/>
            <w:vAlign w:val="center"/>
          </w:tcPr>
          <w:p w14:paraId="4C4D9856">
            <w:pPr>
              <w:jc w:val="center"/>
              <w:rPr>
                <w:rFonts w:hint="eastAsia" w:ascii="黑体" w:hAnsi="黑体" w:eastAsia="黑体"/>
              </w:rPr>
            </w:pPr>
            <w:r>
              <w:rPr>
                <w:rFonts w:hint="eastAsia" w:ascii="黑体" w:hAnsi="黑体" w:eastAsia="黑体"/>
              </w:rPr>
              <w:t>E-mail</w:t>
            </w:r>
          </w:p>
        </w:tc>
      </w:tr>
      <w:tr w14:paraId="6792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099D1D2">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06AD17B5">
            <w:pPr>
              <w:jc w:val="center"/>
              <w:rPr>
                <w:rFonts w:hint="eastAsia" w:eastAsia="宋体"/>
                <w:lang w:eastAsia="zh-CN"/>
              </w:rPr>
            </w:pPr>
          </w:p>
        </w:tc>
        <w:tc>
          <w:tcPr>
            <w:tcW w:w="719" w:type="dxa"/>
            <w:tcBorders>
              <w:bottom w:val="single" w:color="auto" w:sz="4" w:space="0"/>
            </w:tcBorders>
            <w:noWrap w:val="0"/>
            <w:vAlign w:val="center"/>
          </w:tcPr>
          <w:p w14:paraId="6A49FCD6">
            <w:pPr>
              <w:jc w:val="center"/>
              <w:rPr>
                <w:rFonts w:hint="eastAsia" w:eastAsia="宋体"/>
                <w:lang w:eastAsia="zh-CN"/>
              </w:rPr>
            </w:pPr>
          </w:p>
        </w:tc>
        <w:tc>
          <w:tcPr>
            <w:tcW w:w="2883" w:type="dxa"/>
            <w:gridSpan w:val="2"/>
            <w:tcBorders>
              <w:top w:val="nil"/>
              <w:bottom w:val="single" w:color="auto" w:sz="4" w:space="0"/>
            </w:tcBorders>
            <w:noWrap w:val="0"/>
            <w:vAlign w:val="center"/>
          </w:tcPr>
          <w:p w14:paraId="2ED2BA61">
            <w:pPr>
              <w:jc w:val="center"/>
              <w:rPr>
                <w:rFonts w:hint="eastAsia" w:eastAsia="宋体"/>
                <w:lang w:eastAsia="zh-CN"/>
              </w:rPr>
            </w:pPr>
          </w:p>
        </w:tc>
        <w:tc>
          <w:tcPr>
            <w:tcW w:w="1447" w:type="dxa"/>
            <w:gridSpan w:val="2"/>
            <w:tcBorders>
              <w:bottom w:val="single" w:color="auto" w:sz="4" w:space="0"/>
            </w:tcBorders>
            <w:noWrap w:val="0"/>
            <w:vAlign w:val="center"/>
          </w:tcPr>
          <w:p w14:paraId="7FF39869">
            <w:pPr>
              <w:jc w:val="center"/>
              <w:rPr>
                <w:rFonts w:hint="eastAsia" w:eastAsia="宋体"/>
                <w:lang w:eastAsia="zh-CN"/>
              </w:rPr>
            </w:pPr>
          </w:p>
        </w:tc>
        <w:tc>
          <w:tcPr>
            <w:tcW w:w="2689" w:type="dxa"/>
            <w:tcBorders>
              <w:bottom w:val="single" w:color="auto" w:sz="4" w:space="0"/>
            </w:tcBorders>
            <w:noWrap w:val="0"/>
            <w:vAlign w:val="center"/>
          </w:tcPr>
          <w:p w14:paraId="0D75858C">
            <w:pPr>
              <w:jc w:val="center"/>
              <w:rPr>
                <w:rFonts w:hint="eastAsia" w:eastAsia="宋体"/>
                <w:lang w:eastAsia="zh-CN"/>
              </w:rPr>
            </w:pPr>
          </w:p>
        </w:tc>
      </w:tr>
      <w:tr w14:paraId="64E3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790F8759">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5D678D8">
            <w:pPr>
              <w:jc w:val="both"/>
              <w:rPr>
                <w:rFonts w:hint="eastAsia" w:eastAsia="宋体"/>
                <w:lang w:val="en-US" w:eastAsia="zh-CN"/>
              </w:rPr>
            </w:pPr>
          </w:p>
        </w:tc>
      </w:tr>
      <w:tr w14:paraId="7466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075A8A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745A96B6">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3391339E">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420CDC77">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50001B8E">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1A4E5A79">
            <w:pPr>
              <w:jc w:val="center"/>
              <w:rPr>
                <w:rFonts w:hint="eastAsia" w:ascii="黑体" w:hAnsi="黑体" w:eastAsia="黑体"/>
              </w:rPr>
            </w:pPr>
            <w:r>
              <w:rPr>
                <w:rFonts w:hint="eastAsia" w:ascii="黑体" w:hAnsi="黑体" w:eastAsia="黑体"/>
              </w:rPr>
              <w:t>项目分工</w:t>
            </w:r>
          </w:p>
        </w:tc>
      </w:tr>
      <w:tr w14:paraId="638C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6600BD04">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2F5994F9">
            <w:pPr>
              <w:jc w:val="center"/>
            </w:pPr>
          </w:p>
        </w:tc>
        <w:tc>
          <w:tcPr>
            <w:tcW w:w="719" w:type="dxa"/>
            <w:tcBorders>
              <w:top w:val="single" w:color="auto" w:sz="4" w:space="0"/>
              <w:bottom w:val="single" w:color="auto" w:sz="4" w:space="0"/>
            </w:tcBorders>
            <w:noWrap w:val="0"/>
            <w:vAlign w:val="center"/>
          </w:tcPr>
          <w:p w14:paraId="223843CE">
            <w:pPr>
              <w:jc w:val="center"/>
              <w:rPr>
                <w:rFonts w:hint="eastAsia"/>
              </w:rPr>
            </w:pPr>
          </w:p>
        </w:tc>
        <w:tc>
          <w:tcPr>
            <w:tcW w:w="2883" w:type="dxa"/>
            <w:gridSpan w:val="2"/>
            <w:tcBorders>
              <w:top w:val="single" w:color="auto" w:sz="4" w:space="0"/>
              <w:bottom w:val="single" w:color="auto" w:sz="4" w:space="0"/>
            </w:tcBorders>
            <w:noWrap w:val="0"/>
            <w:vAlign w:val="center"/>
          </w:tcPr>
          <w:p w14:paraId="10BB6AF2">
            <w:pPr>
              <w:jc w:val="center"/>
              <w:rPr>
                <w:rFonts w:hint="eastAsia"/>
              </w:rPr>
            </w:pPr>
          </w:p>
        </w:tc>
        <w:tc>
          <w:tcPr>
            <w:tcW w:w="1447" w:type="dxa"/>
            <w:gridSpan w:val="2"/>
            <w:tcBorders>
              <w:top w:val="single" w:color="auto" w:sz="4" w:space="0"/>
              <w:bottom w:val="single" w:color="auto" w:sz="4" w:space="0"/>
            </w:tcBorders>
            <w:noWrap w:val="0"/>
            <w:vAlign w:val="center"/>
          </w:tcPr>
          <w:p w14:paraId="26FFE965">
            <w:pPr>
              <w:jc w:val="center"/>
              <w:rPr>
                <w:rFonts w:hint="eastAsia"/>
              </w:rPr>
            </w:pPr>
          </w:p>
        </w:tc>
        <w:tc>
          <w:tcPr>
            <w:tcW w:w="2689" w:type="dxa"/>
            <w:tcBorders>
              <w:top w:val="single" w:color="auto" w:sz="4" w:space="0"/>
              <w:bottom w:val="single" w:color="auto" w:sz="4" w:space="0"/>
            </w:tcBorders>
            <w:noWrap w:val="0"/>
            <w:vAlign w:val="center"/>
          </w:tcPr>
          <w:p w14:paraId="7C635A40">
            <w:pPr>
              <w:jc w:val="center"/>
              <w:rPr>
                <w:rFonts w:hint="eastAsia"/>
              </w:rPr>
            </w:pPr>
          </w:p>
        </w:tc>
      </w:tr>
      <w:tr w14:paraId="1C95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2E8A9B61">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7CDFC692">
            <w:pPr>
              <w:jc w:val="center"/>
            </w:pPr>
          </w:p>
        </w:tc>
        <w:tc>
          <w:tcPr>
            <w:tcW w:w="719" w:type="dxa"/>
            <w:tcBorders>
              <w:top w:val="single" w:color="auto" w:sz="4" w:space="0"/>
              <w:bottom w:val="single" w:color="auto" w:sz="4" w:space="0"/>
            </w:tcBorders>
            <w:noWrap w:val="0"/>
            <w:vAlign w:val="center"/>
          </w:tcPr>
          <w:p w14:paraId="1104B1A2">
            <w:pPr>
              <w:jc w:val="center"/>
              <w:rPr>
                <w:rFonts w:hint="eastAsia"/>
              </w:rPr>
            </w:pPr>
          </w:p>
        </w:tc>
        <w:tc>
          <w:tcPr>
            <w:tcW w:w="2883" w:type="dxa"/>
            <w:gridSpan w:val="2"/>
            <w:tcBorders>
              <w:top w:val="single" w:color="auto" w:sz="4" w:space="0"/>
              <w:bottom w:val="single" w:color="auto" w:sz="4" w:space="0"/>
            </w:tcBorders>
            <w:noWrap w:val="0"/>
            <w:vAlign w:val="center"/>
          </w:tcPr>
          <w:p w14:paraId="027FB128">
            <w:pPr>
              <w:jc w:val="center"/>
              <w:rPr>
                <w:rFonts w:hint="eastAsia"/>
              </w:rPr>
            </w:pPr>
          </w:p>
        </w:tc>
        <w:tc>
          <w:tcPr>
            <w:tcW w:w="1447" w:type="dxa"/>
            <w:gridSpan w:val="2"/>
            <w:tcBorders>
              <w:top w:val="single" w:color="auto" w:sz="4" w:space="0"/>
              <w:bottom w:val="single" w:color="auto" w:sz="4" w:space="0"/>
            </w:tcBorders>
            <w:noWrap w:val="0"/>
            <w:vAlign w:val="center"/>
          </w:tcPr>
          <w:p w14:paraId="64813256">
            <w:pPr>
              <w:jc w:val="center"/>
              <w:rPr>
                <w:rFonts w:hint="eastAsia"/>
              </w:rPr>
            </w:pPr>
          </w:p>
        </w:tc>
        <w:tc>
          <w:tcPr>
            <w:tcW w:w="2689" w:type="dxa"/>
            <w:tcBorders>
              <w:top w:val="single" w:color="auto" w:sz="4" w:space="0"/>
              <w:bottom w:val="single" w:color="auto" w:sz="4" w:space="0"/>
            </w:tcBorders>
            <w:noWrap w:val="0"/>
            <w:vAlign w:val="center"/>
          </w:tcPr>
          <w:p w14:paraId="755A6F4D">
            <w:pPr>
              <w:jc w:val="center"/>
              <w:rPr>
                <w:rFonts w:hint="eastAsia"/>
              </w:rPr>
            </w:pPr>
          </w:p>
        </w:tc>
      </w:tr>
      <w:tr w14:paraId="6026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E0E89E3">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D99904E">
            <w:pPr>
              <w:jc w:val="center"/>
            </w:pPr>
          </w:p>
        </w:tc>
        <w:tc>
          <w:tcPr>
            <w:tcW w:w="719" w:type="dxa"/>
            <w:tcBorders>
              <w:top w:val="single" w:color="auto" w:sz="4" w:space="0"/>
              <w:bottom w:val="single" w:color="auto" w:sz="4" w:space="0"/>
            </w:tcBorders>
            <w:noWrap w:val="0"/>
            <w:vAlign w:val="center"/>
          </w:tcPr>
          <w:p w14:paraId="1D00BE79">
            <w:pPr>
              <w:jc w:val="center"/>
              <w:rPr>
                <w:rFonts w:hint="eastAsia"/>
              </w:rPr>
            </w:pPr>
          </w:p>
        </w:tc>
        <w:tc>
          <w:tcPr>
            <w:tcW w:w="2883" w:type="dxa"/>
            <w:gridSpan w:val="2"/>
            <w:tcBorders>
              <w:top w:val="single" w:color="auto" w:sz="4" w:space="0"/>
              <w:bottom w:val="single" w:color="auto" w:sz="4" w:space="0"/>
            </w:tcBorders>
            <w:noWrap w:val="0"/>
            <w:vAlign w:val="center"/>
          </w:tcPr>
          <w:p w14:paraId="2BA261BC">
            <w:pPr>
              <w:jc w:val="center"/>
              <w:rPr>
                <w:rFonts w:hint="eastAsia"/>
              </w:rPr>
            </w:pPr>
          </w:p>
        </w:tc>
        <w:tc>
          <w:tcPr>
            <w:tcW w:w="1447" w:type="dxa"/>
            <w:gridSpan w:val="2"/>
            <w:tcBorders>
              <w:top w:val="single" w:color="auto" w:sz="4" w:space="0"/>
              <w:bottom w:val="single" w:color="auto" w:sz="4" w:space="0"/>
            </w:tcBorders>
            <w:noWrap w:val="0"/>
            <w:vAlign w:val="center"/>
          </w:tcPr>
          <w:p w14:paraId="726E2235">
            <w:pPr>
              <w:jc w:val="center"/>
              <w:rPr>
                <w:rFonts w:hint="eastAsia"/>
              </w:rPr>
            </w:pPr>
          </w:p>
        </w:tc>
        <w:tc>
          <w:tcPr>
            <w:tcW w:w="2689" w:type="dxa"/>
            <w:tcBorders>
              <w:top w:val="single" w:color="auto" w:sz="4" w:space="0"/>
              <w:bottom w:val="single" w:color="auto" w:sz="4" w:space="0"/>
            </w:tcBorders>
            <w:noWrap w:val="0"/>
            <w:vAlign w:val="center"/>
          </w:tcPr>
          <w:p w14:paraId="4B330291">
            <w:pPr>
              <w:jc w:val="center"/>
              <w:rPr>
                <w:rFonts w:hint="eastAsia"/>
              </w:rPr>
            </w:pPr>
          </w:p>
        </w:tc>
      </w:tr>
      <w:tr w14:paraId="2AB7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0C1F8E6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6D41C5D">
            <w:pPr>
              <w:jc w:val="center"/>
            </w:pPr>
          </w:p>
        </w:tc>
        <w:tc>
          <w:tcPr>
            <w:tcW w:w="719" w:type="dxa"/>
            <w:tcBorders>
              <w:top w:val="single" w:color="auto" w:sz="4" w:space="0"/>
              <w:bottom w:val="single" w:color="auto" w:sz="4" w:space="0"/>
            </w:tcBorders>
            <w:noWrap w:val="0"/>
            <w:vAlign w:val="center"/>
          </w:tcPr>
          <w:p w14:paraId="29916482">
            <w:pPr>
              <w:jc w:val="center"/>
              <w:rPr>
                <w:rFonts w:hint="eastAsia"/>
              </w:rPr>
            </w:pPr>
          </w:p>
        </w:tc>
        <w:tc>
          <w:tcPr>
            <w:tcW w:w="2883" w:type="dxa"/>
            <w:gridSpan w:val="2"/>
            <w:tcBorders>
              <w:top w:val="single" w:color="auto" w:sz="4" w:space="0"/>
              <w:bottom w:val="single" w:color="auto" w:sz="4" w:space="0"/>
            </w:tcBorders>
            <w:noWrap w:val="0"/>
            <w:vAlign w:val="center"/>
          </w:tcPr>
          <w:p w14:paraId="72514805">
            <w:pPr>
              <w:jc w:val="center"/>
              <w:rPr>
                <w:rFonts w:hint="eastAsia"/>
              </w:rPr>
            </w:pPr>
          </w:p>
        </w:tc>
        <w:tc>
          <w:tcPr>
            <w:tcW w:w="1447" w:type="dxa"/>
            <w:gridSpan w:val="2"/>
            <w:tcBorders>
              <w:top w:val="single" w:color="auto" w:sz="4" w:space="0"/>
              <w:bottom w:val="single" w:color="auto" w:sz="4" w:space="0"/>
            </w:tcBorders>
            <w:noWrap w:val="0"/>
            <w:vAlign w:val="center"/>
          </w:tcPr>
          <w:p w14:paraId="361F89FE">
            <w:pPr>
              <w:jc w:val="center"/>
              <w:rPr>
                <w:rFonts w:hint="eastAsia"/>
              </w:rPr>
            </w:pPr>
          </w:p>
        </w:tc>
        <w:tc>
          <w:tcPr>
            <w:tcW w:w="2689" w:type="dxa"/>
            <w:tcBorders>
              <w:top w:val="single" w:color="auto" w:sz="4" w:space="0"/>
              <w:bottom w:val="single" w:color="auto" w:sz="4" w:space="0"/>
            </w:tcBorders>
            <w:noWrap w:val="0"/>
            <w:vAlign w:val="center"/>
          </w:tcPr>
          <w:p w14:paraId="74128B76">
            <w:pPr>
              <w:jc w:val="center"/>
              <w:rPr>
                <w:rFonts w:hint="eastAsia"/>
              </w:rPr>
            </w:pPr>
          </w:p>
        </w:tc>
      </w:tr>
      <w:tr w14:paraId="099F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7251BE78">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79EF830F">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4884CF6C">
            <w:pPr>
              <w:jc w:val="center"/>
              <w:rPr>
                <w:rFonts w:hint="eastAsia"/>
              </w:rPr>
            </w:pPr>
          </w:p>
        </w:tc>
        <w:tc>
          <w:tcPr>
            <w:tcW w:w="1447" w:type="dxa"/>
            <w:gridSpan w:val="2"/>
            <w:tcBorders>
              <w:top w:val="single" w:color="auto" w:sz="4" w:space="0"/>
              <w:bottom w:val="single" w:color="auto" w:sz="4" w:space="0"/>
            </w:tcBorders>
            <w:noWrap w:val="0"/>
            <w:vAlign w:val="center"/>
          </w:tcPr>
          <w:p w14:paraId="79D529B2">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6DE935FB">
            <w:pPr>
              <w:jc w:val="center"/>
              <w:rPr>
                <w:rFonts w:hint="eastAsia"/>
              </w:rPr>
            </w:pPr>
          </w:p>
        </w:tc>
      </w:tr>
      <w:tr w14:paraId="5EFC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4906F822">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029ECA9">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3EC64289">
            <w:pPr>
              <w:jc w:val="center"/>
              <w:rPr>
                <w:rFonts w:hint="eastAsia"/>
              </w:rPr>
            </w:pPr>
          </w:p>
        </w:tc>
        <w:tc>
          <w:tcPr>
            <w:tcW w:w="1447" w:type="dxa"/>
            <w:gridSpan w:val="2"/>
            <w:tcBorders>
              <w:top w:val="single" w:color="auto" w:sz="4" w:space="0"/>
              <w:bottom w:val="single" w:color="auto" w:sz="4" w:space="0"/>
            </w:tcBorders>
            <w:noWrap w:val="0"/>
            <w:vAlign w:val="center"/>
          </w:tcPr>
          <w:p w14:paraId="7F6D0EE9">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22F84032">
            <w:pPr>
              <w:jc w:val="center"/>
              <w:rPr>
                <w:rFonts w:hint="eastAsia"/>
              </w:rPr>
            </w:pPr>
          </w:p>
        </w:tc>
      </w:tr>
      <w:tr w14:paraId="4949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3A98FFBA">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79DF3B87">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542979AB">
            <w:pPr>
              <w:jc w:val="center"/>
              <w:rPr>
                <w:rFonts w:hint="eastAsia"/>
              </w:rPr>
            </w:pPr>
          </w:p>
        </w:tc>
        <w:tc>
          <w:tcPr>
            <w:tcW w:w="1447" w:type="dxa"/>
            <w:gridSpan w:val="2"/>
            <w:tcBorders>
              <w:top w:val="single" w:color="auto" w:sz="4" w:space="0"/>
              <w:bottom w:val="single" w:color="auto" w:sz="4" w:space="0"/>
            </w:tcBorders>
            <w:noWrap w:val="0"/>
            <w:vAlign w:val="center"/>
          </w:tcPr>
          <w:p w14:paraId="2F35C610">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1A96E214">
            <w:pPr>
              <w:jc w:val="center"/>
              <w:rPr>
                <w:rFonts w:hint="eastAsia"/>
              </w:rPr>
            </w:pPr>
          </w:p>
        </w:tc>
      </w:tr>
      <w:tr w14:paraId="3EFC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0CC42A25">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13F3F51C">
            <w:pPr>
              <w:jc w:val="both"/>
              <w:rPr>
                <w:rFonts w:hint="default" w:eastAsia="宋体"/>
                <w:lang w:val="en-US" w:eastAsia="zh-CN"/>
              </w:rPr>
            </w:pPr>
          </w:p>
        </w:tc>
      </w:tr>
      <w:tr w14:paraId="1F06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3CC94E88">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542F5CEC">
            <w:pPr>
              <w:jc w:val="both"/>
              <w:rPr>
                <w:rFonts w:hint="eastAsia" w:eastAsia="宋体"/>
                <w:lang w:eastAsia="zh-CN"/>
              </w:rPr>
            </w:pPr>
          </w:p>
        </w:tc>
      </w:tr>
      <w:tr w14:paraId="00E8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4F21F8A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一、项目简介（300字左右）</w:t>
            </w:r>
            <w:r>
              <w:br w:type="textWrapping"/>
            </w:r>
            <w:r>
              <w:rPr>
                <w:rFonts w:ascii="Times New Roman" w:hAnsi="Times New Roman" w:eastAsia="宋体"/>
                <w:sz w:val="21"/>
                <w:szCs w:val="21"/>
              </w:rPr>
              <w:t>本项目面向南疆规模化棉田膜下滴灌支管巡检，研制集双压力—流量感知、早期异常诊断、LoRa通信和巡检管理于一体的物联网原型系统。针对管网分散、异常难以及时发现和人工排查范围大的问题，以健康运行关系为参照，研究渐进泄漏与局部过流受限的识别方法，结合事件触发分级采集提高异常阶段的观测及时性。平台关联支管编号、变化趋势与核查复测记录，为维护人员提供排查线索。项目以单节点双支路清水台架完成原型和对照试验，形成感知节点、接收端、桌面巡检软件及实验数据，进一步研究供压和轮灌负载变化下的参照适配，为多支管分区监测积累方法与实现基础。</w:t>
            </w:r>
          </w:p>
          <w:p w14:paraId="6A96E68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p>
        </w:tc>
      </w:tr>
      <w:tr w14:paraId="286B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5DAAB58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二、申请理由（包括自身/团队具备的知识条件、特长、兴趣等）</w:t>
            </w:r>
            <w:r>
              <w:br w:type="textWrapping"/>
            </w:r>
            <w:r>
              <w:rPr>
                <w:rFonts w:ascii="宋体" w:hAnsi="宋体" w:eastAsia="宋体"/>
                <w:sz w:val="21"/>
                <w:szCs w:val="21"/>
              </w:rPr>
              <w:t>南疆棉花膜下滴灌依靠管网将灌溉水输送至地膜下的滴灌带，支管承担向下游配水单元供水的任务。已有研究提出南疆棉花滴水出苗应重视压力均匀性，并给出了规模化棉田支管、辅管和毛管的布置实例</w:t>
            </w:r>
            <w:r>
              <w:rPr>
                <w:rFonts w:ascii="宋体" w:hAnsi="宋体" w:eastAsia="宋体"/>
                <w:sz w:val="21"/>
                <w:szCs w:val="21"/>
                <w:vertAlign w:val="superscript"/>
              </w:rPr>
              <w:t>[1,4]</w:t>
            </w:r>
            <w:r>
              <w:rPr>
                <w:rFonts w:ascii="宋体" w:hAnsi="宋体" w:eastAsia="宋体"/>
                <w:sz w:val="21"/>
                <w:szCs w:val="21"/>
              </w:rPr>
              <w:t>。当支管接头泄漏、管路局部受限或供水异常时，维护人员需要先判断异常涉及哪个灌溉单元，再进入田间核查。在大面积种植条件下，仅掌握首部总流量难以直接识别具体支管的运行变化；逐段查看又受管线分布、轮灌时间和覆膜条件限制。因此，面向支管建立连续观测和异常记录，是开展分区巡检辅助研究的切入点。</w:t>
            </w:r>
          </w:p>
          <w:p w14:paraId="7C3BF3A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项目选择支管接头或管路泄漏、局部过流受限作为研究对象。单独观察流量，难以分清正常轮灌调节与故障变化；在监测区段布置两个压力点，并记录分流前的总流量，可以为判断提供更多依据。平台将异常支管、变化趋势和建议检查部位联系起来，维护人员据此查看接头、管段及下游配水单元，再通过复测确认处理效果。项目希望把分散的测量信息转化为有针对性的巡检线索。</w:t>
            </w:r>
          </w:p>
          <w:p w14:paraId="63F2B1D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研制工作涵盖传感测量、嵌入式采集、无线通信与巡检软件，能够将通信工程所学用于农业现场问题。前期已建立水路模型、参数化台架和诊断软件，完成本地数据库接入及桌面封装。接下来的工作以独立标定和真实采集为起点，逐步完成节点、无线和台架联调，在有记录、有对照的试验中检验系统效果。</w:t>
            </w:r>
          </w:p>
        </w:tc>
      </w:tr>
      <w:tr w14:paraId="7B23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17EB42F8">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三、项目方案（项目内容、项目目标、技术路线、实验方案、要解决的主要问题）</w:t>
            </w:r>
            <w:r>
              <w:br w:type="textWrapping"/>
            </w:r>
            <w:r>
              <w:rPr>
                <w:rFonts w:ascii="宋体" w:hAnsi="宋体" w:eastAsia="宋体"/>
                <w:b/>
                <w:sz w:val="21"/>
                <w:szCs w:val="21"/>
              </w:rPr>
              <w:t>1 研究对象与总体设计</w:t>
            </w:r>
            <w:r>
              <w:br w:type="textWrapping"/>
            </w:r>
            <w:r>
              <w:rPr>
                <w:rFonts w:ascii="Times New Roman" w:hAnsi="Times New Roman" w:eastAsia="宋体"/>
                <w:sz w:val="21"/>
                <w:szCs w:val="21"/>
              </w:rPr>
              <w:t>本项目服务于南疆规模化棉田膜下滴灌管网，重点观察轮灌支管及下游配水单元的水力变化。支管向辅管或毛管配水，毛管通常为带灌水器的滴灌带，二者属于不同管网层级</w:t>
            </w:r>
            <w:r>
              <w:rPr>
                <w:rFonts w:ascii="Times New Roman" w:hAnsi="Times New Roman" w:eastAsia="宋体"/>
                <w:sz w:val="21"/>
                <w:szCs w:val="21"/>
                <w:vertAlign w:val="superscript"/>
              </w:rPr>
              <w:t>[4]</w:t>
            </w:r>
            <w:r>
              <w:rPr>
                <w:rFonts w:ascii="Times New Roman" w:hAnsi="Times New Roman" w:eastAsia="宋体"/>
                <w:sz w:val="21"/>
                <w:szCs w:val="21"/>
              </w:rPr>
              <w:t>。研究围绕接头或管路泄漏、两压力测点之间的局部过流受限展开，将供压调整、正常轮灌切换及负载变化列为对照。监测结果提示支管和检查区段，具体故障部位由现场核查确定。</w:t>
            </w:r>
          </w:p>
          <w:p w14:paraId="5CD8600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系统由感知诊断节点、LoRa接收端和本地巡检平台组成。节点获取压力、流量并记录异常，接收端连接计算机，平台呈现趋势和维护过程。本期建设一个监测节点与A、B双支路清水台架，先验证固定1 Hz采集，再比较事件触发策略。控制环节保留软件请求与LED或蜂鸣器演示接口，用于串联异常提示、人工处置和复测流程。</w:t>
            </w:r>
          </w:p>
          <w:p w14:paraId="68E1BB6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位置提示采用“支管编号—测点区段—建议检查部位”。两压力点包围区段的压力损失用于辅助判断局部受限；下游等效泄漏则结合流量、阀门状态提示核查接头、旁路及配水单元。设备与支管标识贯穿采集、事件和维护记录，为后续增加监测节点保留统一的数据组织方式。</w:t>
            </w:r>
          </w:p>
          <w:p w14:paraId="0644B4A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图1说明系统各环节的协作关系。节点负责测量和判断，接收服务负责校验、去重与存储，平台负责展示和核查记录。参考测量与故障操作另行保存，用于检验提示时刻和候选类别，避免用算法输出反过来定义故障。</w:t>
            </w:r>
          </w:p>
          <w:p w14:paraId="371139B5">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6" o:spt="75" alt="图1 系统总体结构" type="#_x0000_t75" style="height:138.125pt;width:425pt;" filled="f" o:preferrelative="t" stroked="f" coordsize="21600,21600">
                  <v:path/>
                  <v:fill on="f" focussize="0,0"/>
                  <v:stroke on="f"/>
                  <v:imagedata r:id="rId6" o:title="system_responsibiliti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 系统总体结构</w:t>
            </w:r>
          </w:p>
          <w:p w14:paraId="228D33A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可控水路与台架结构</w:t>
            </w:r>
            <w:r>
              <w:br w:type="textWrapping"/>
            </w:r>
            <w:r>
              <w:rPr>
                <w:rFonts w:ascii="Times New Roman" w:hAnsi="Times New Roman" w:eastAsia="宋体"/>
                <w:sz w:val="21"/>
                <w:szCs w:val="21"/>
              </w:rPr>
              <w:t>台架采用共用水源的A、B双支路，以便区分故障与正常调节。A支路依次设置上游取压点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Times New Roman" w:hAnsi="Times New Roman" w:eastAsia="宋体"/>
                <w:sz w:val="21"/>
                <w:szCs w:val="21"/>
              </w:rPr>
              <w:t>、受限元件R、下游取压点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Times New Roman" w:hAnsi="Times New Roman" w:eastAsia="宋体"/>
                <w:sz w:val="21"/>
                <w:szCs w:val="21"/>
              </w:rPr>
              <w:t>和流量计Q，随后分为正常出流和泄漏旁路；B支路模拟其他灌溉单元的负载切换。流量计位于分流前，测得A支路正常与泄漏出流的总量；两个压力点包围R，为局部压力损失的判断提供依据。</w:t>
            </w:r>
          </w:p>
          <w:p w14:paraId="7B346E5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7" o:spt="75" alt="图2 双支路台架水路与测点布置" type="#_x0000_t75" style="height:161.146pt;width:425pt;" filled="f" o:preferrelative="t" stroked="f" coordsize="21600,21600">
                  <v:path/>
                  <v:fill on="f" focussize="0,0"/>
                  <v:stroke on="f"/>
                  <v:imagedata r:id="rId7" o:title="water_layou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图2 双支路台架水路与测点布置</w:t>
            </w:r>
          </w:p>
          <w:p w14:paraId="42E2B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泄漏试验逐步开启旁路，受限试验调节R改变局部阻力。故障程度由独立收集计时、参考压力与流量及操作记录共同核验，先考察渐进变化，再加入供压和B负载切换。清水台架使用非压力补偿等效负载验证水力响应，压力补偿式灌水器和分布式滴头堵塞作为后续适用性研究。</w:t>
            </w:r>
          </w:p>
          <w:p w14:paraId="30C25B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图3为台架概念装配。测点顺序与图2一致，采集盒和电气接口布置在前侧，防溅板分隔水路与电气区域；独立收集装置保留取放和排水空间。采购后按实际器件核定安装尺寸，装配阶段检查排气、密封与固定，避免结构问题影响重复测量。</w:t>
            </w:r>
          </w:p>
          <w:p w14:paraId="76C793E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独立计量按20秒分次取样设计，收集容器有效容量要求不低于440 mL。使用前核定容量和计时误差，检查出口淹没、溢流与重复取样；长时运行另设排水。参考计量与节点诊断相互独立，用来确定变化程度及提示提前量。</w:t>
            </w:r>
          </w:p>
          <w:p w14:paraId="710E20F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A负载代表监测单元的综合正常出流，B支路代表共用水源下其他单元的调节。分别改变附加出流和测点区段阻力，检验联合观测能否区分泄漏、受限与正常扰动。迁移至棉田时，按实际管径、流量和安装条件选择传感器，重新测定健康关系，并核验支管提示对巡检的帮助。</w:t>
            </w:r>
          </w:p>
          <w:p w14:paraId="76AE5D2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8" o:spt="75" alt="图3 验证台架三维布局设计" type="#_x0000_t75" style="height:278.021pt;width:425pt;" filled="f" o:preferrelative="t" stroked="f" coordsize="21600,21600">
                  <v:path/>
                  <v:fill on="f" focussize="0,0"/>
                  <v:stroke on="f"/>
                  <v:imagedata r:id="rId8" o:title="collection_overview"/>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图3 双支路验证台架三维布局</w:t>
            </w:r>
          </w:p>
          <w:p w14:paraId="60CEAA0F">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3 感知节点与分级采集</w:t>
            </w:r>
            <w:r>
              <w:br w:type="textWrapping"/>
            </w:r>
            <w:r>
              <w:rPr>
                <w:rFonts w:ascii="宋体" w:hAnsi="宋体" w:eastAsia="宋体"/>
                <w:sz w:val="21"/>
                <w:szCs w:val="21"/>
              </w:rPr>
              <w:t>节点以STM32F103C8T6为主控，采用两路4—20mA压力变送器、ADS1115模数转换模块和脉冲式流量计获取</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Q，使用microSD保存原始记录，通过E220-400T22D模块实现LoRa通信。压力器件按0—200kPa表压和±0.25%FS等级提出选型要求；台架流量测量采用SEN0549，覆盖0.3—5L/min工作范围。接收端由另一只E220模块及3.3V逻辑USB-TTL接口连接计算机，形成单节点验证所需的发收链路。</w:t>
            </w:r>
          </w:p>
          <w:p w14:paraId="24CB8AD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台架的0.3—5 L/min流量范围服务于缩小规模的原理验证。棉田支管流量随管径和轮灌单元变化，需要另行选型标定。采集程序和事件标识与量程参数分开配置，使更换测量器件后的数据仍能进入相同的巡检流程。</w:t>
            </w:r>
          </w:p>
          <w:p w14:paraId="4E3F9C4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图4给出采集接口。压力电流经采样、保护与滤波进入ADS1115，流量脉冲经3.3 V电平转换进入主控硬件计数端。节点记录转换和计数时刻，并检查缺测、计数复位及异常输入。开发先完成有线采集，再接入日志和无线，逐步核对各环节的稳定性。</w:t>
            </w:r>
          </w:p>
          <w:p w14:paraId="52C57BBD">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9" o:spt="75" alt="图4 压力与流量采集接口" type="#_x0000_t75" style="height:180.625pt;width:425pt;" filled="f" o:preferrelative="t" stroked="f" coordsize="21600,21600">
                  <v:path/>
                  <v:fill on="f" focussize="0,0"/>
                  <v:stroke on="f"/>
                  <v:imagedata r:id="rId9" o:title="measurement_interfac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图4 压力与流量采集接口</w:t>
            </w:r>
          </w:p>
          <w:p w14:paraId="772AA88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节点首先建立固定1Hz采集基线，采用累计脉冲和时间窗计算流量，保存压力转换与计数锁存时刻，为渐进异常判断提供连续观测。压力和流量分别采用不少于五个工作点、每点至少三次独立读取开展标定，并设置升降压、共同压力及容积或称量计时对照。缺测、迟到及计数复位分别记录，使判断依据能够与参考测量核对，并明确实际可用量程和误差。</w:t>
            </w:r>
          </w:p>
          <w:p w14:paraId="1455245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台架采用</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r>
                <m:rPr>
                  <m:sty m:val="p"/>
                </m:rPr>
                <w:rPr>
                  <w:rFonts w:ascii="Cambria Math" w:hAnsi="Cambria Math" w:eastAsia="Cambria Math"/>
                  <w:sz w:val="21"/>
                  <w:szCs w:val="21"/>
                </w:rPr>
                <m:t>=</m:t>
              </m:r>
              <m:r>
                <m:rPr/>
                <w:rPr>
                  <w:rFonts w:ascii="Cambria Math" w:hAnsi="Cambria Math" w:eastAsia="Cambria Math"/>
                  <w:sz w:val="21"/>
                  <w:szCs w:val="21"/>
                </w:rPr>
                <m:t>R</m:t>
              </m:r>
              <m:r>
                <m:rPr>
                  <m:sty m:val="p"/>
                </m:rPr>
                <w:rPr>
                  <w:rFonts w:ascii="Cambria Math" w:hAnsi="Cambria Math" w:eastAsia="Cambria Math"/>
                  <w:sz w:val="21"/>
                  <w:szCs w:val="21"/>
                </w:rPr>
                <m:t>·</m:t>
              </m:r>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oMath>
            <w:r>
              <w:rPr>
                <w:rFonts w:ascii="Times New Roman" w:hAnsi="Times New Roman" w:eastAsia="宋体"/>
                <w:sz w:val="21"/>
                <w:szCs w:val="21"/>
              </w:rPr>
              <w:t>和</w:t>
            </w:r>
            <m:oMath>
              <m:r>
                <m:rPr/>
                <w:rPr>
                  <w:rFonts w:ascii="Cambria Math" w:hAnsi="Cambria Math" w:eastAsia="Cambria Math"/>
                  <w:sz w:val="21"/>
                  <w:szCs w:val="21"/>
                </w:rPr>
                <m:t>Q</m:t>
              </m:r>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l</m:t>
                  </m:r>
                </m:sub>
              </m:sSub>
              <m:r>
                <m:rPr>
                  <m:sty m:val="p"/>
                </m:rPr>
                <w:rPr>
                  <w:rFonts w:ascii="Cambria Math" w:hAnsi="Cambria Math" w:eastAsia="Cambria Math"/>
                  <w:sz w:val="21"/>
                  <w:szCs w:val="21"/>
                </w:rPr>
                <m:t>)</m:t>
              </m:r>
              <m:rad>
                <m:radPr>
                  <m:degHide m:val="1"/>
                </m:radPr>
                <m:deg/>
                <m:e>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e>
              </m:rad>
            </m:oMath>
            <w:r>
              <w:rPr>
                <w:rFonts w:ascii="Times New Roman" w:hAnsi="Times New Roman" w:eastAsia="宋体"/>
                <w:sz w:val="21"/>
                <w:szCs w:val="21"/>
              </w:rPr>
              <w:t>描述水力变化，R表示区段阻力，Cₙ、Cₗ分别为正常负载和附加泄漏系数，压力、流量分别按kPa、L/min表示。模型用于比较测点布置与诊断特征，并分析两支路在共同水源下的影响。现有分析中，A支路流量约1.85—4.34L/min，最大总供水量约7.95L/min，据此确定台架水源及量程要求，实物阶段通过标定核对。</w:t>
            </w:r>
          </w:p>
          <w:p w14:paraId="04E1262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实际滴灌管具有沿程分布出流，负载特性也随灌水器结构变化</w:t>
            </w:r>
            <w:r>
              <w:rPr>
                <w:rFonts w:ascii="宋体" w:hAnsi="宋体" w:eastAsia="宋体"/>
                <w:sz w:val="21"/>
                <w:szCs w:val="21"/>
                <w:vertAlign w:val="superscript"/>
              </w:rPr>
              <w:t>[2,6]</w:t>
            </w:r>
            <w:r>
              <w:rPr>
                <w:rFonts w:ascii="宋体" w:hAnsi="宋体" w:eastAsia="宋体"/>
                <w:sz w:val="21"/>
                <w:szCs w:val="21"/>
              </w:rPr>
              <w:t>。因此，模型中的平方根关系用于当前台架的初步分析，实施时先测定健康状态的压力—流量关系和残差，再确定经验参照及诊断阈值。按200kPa、±0.25%FS选型要求，单路压力标称误差界限为±0.5kPa，两路最不利差压界限为1kPa；评价还需计入调理、参考仪器及温度等影响。将故障变化量与测量不确定度比较，确定可进入辨识试验的范围，防止将传感器分辨率等同于整机测量准确度。</w:t>
            </w:r>
          </w:p>
          <w:p w14:paraId="09CB012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事件触发分级采集在固定1 Hz基线基础上开展。巡航阶段按选定周期读取压力，累计脉冲持续计数；已取得的观测连续偏离健康范围时，切换至1秒读取，稳定一段时间后返回巡航周期。研究将比较渐进故障、短时变化和正常负载切换的响应，重点解决减少读取后提示等待增加的问题。</w:t>
            </w:r>
          </w:p>
          <w:p w14:paraId="4A17D60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压力读取和无线发送分别调度。2秒、5秒巡航间隔列为采集对照，正常状态以60秒周期上报作为候选配置，异常事件优先发送。周期选择通过漏检、误触发、提示提前量和通信开销共同评价。图5给出分级采集与模拟处置的关系；固定1 Hz主线保留，用于检验策略改变带来的收益与代价。</w:t>
            </w:r>
          </w:p>
          <w:p w14:paraId="2FB9B0D9">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0" o:spt="75" alt="图5 事件触发采集与模拟控制流程" type="#_x0000_t75" style="height:228.438pt;width:425pt;" filled="f" o:preferrelative="t" stroked="f" coordsize="21600,21600">
                  <v:path/>
                  <v:fill on="f" focussize="0,0"/>
                  <v:stroke on="f"/>
                  <v:imagedata r:id="rId10" o:title="event_sampling_strategy"/>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图5 拟研究的事件触发采集与模拟控制流程</w:t>
            </w:r>
          </w:p>
          <w:p w14:paraId="381642B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试验设置固定高频、固定低频、仅改变上报周期和分级采集四组方案。在相同健康参照和故障条件下改变异常出现相位，记录读取与发送次数，并比较提示及时性、漏检和误触发。整机电流在相同供电和运行时长下测量，采集次数与能耗分别报告。</w:t>
            </w:r>
          </w:p>
          <w:p w14:paraId="4304AE6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4 支管异常诊断与巡检提示</w:t>
            </w:r>
            <w:r>
              <w:br w:type="textWrapping"/>
            </w:r>
            <w:r>
              <w:rPr>
                <w:rFonts w:ascii="Times New Roman" w:hAnsi="Times New Roman" w:eastAsia="宋体"/>
                <w:sz w:val="21"/>
                <w:szCs w:val="21"/>
              </w:rPr>
              <w:t>诊断采用相对流量残差</w:t>
            </w:r>
            <m:oMath>
              <m:sSub>
                <m:sSubPr/>
                <m:e>
                  <m:r>
                    <m:rPr/>
                    <w:rPr>
                      <w:rFonts w:ascii="Cambria Math"/>
                      <w:sz w:val="21"/>
                    </w:rPr>
                    <m:t>e</m:t>
                  </m:r>
                </m:e>
                <m:sub>
                  <m:r>
                    <m:rPr/>
                    <w:rPr>
                      <w:rFonts w:ascii="Cambria Math"/>
                      <w:sz w:val="21"/>
                    </w:rPr>
                    <m:t>Q</m:t>
                  </m:r>
                </m:sub>
              </m:sSub>
              <m:r>
                <m:rPr>
                  <m:sty m:val="p"/>
                </m:rPr>
                <w:rPr>
                  <w:rFonts w:ascii="Cambria Math"/>
                  <w:sz w:val="21"/>
                </w:rPr>
                <m:t>=</m:t>
              </m:r>
              <m:f>
                <m:fPr/>
                <m:num>
                  <m:r>
                    <m:rPr/>
                    <w:rPr>
                      <w:rFonts w:ascii="Cambria Math"/>
                      <w:sz w:val="21"/>
                    </w:rPr>
                    <m:t>Q</m:t>
                  </m:r>
                </m:num>
                <m:den>
                  <m:sSub>
                    <m:sSubPr/>
                    <m:e>
                      <m:r>
                        <m:rPr/>
                        <w:rPr>
                          <w:rFonts w:ascii="Cambria Math"/>
                          <w:sz w:val="21"/>
                        </w:rPr>
                        <m:t>Q</m:t>
                      </m:r>
                    </m:e>
                    <m:sub>
                      <m:r>
                        <m:rPr/>
                        <w:rPr>
                          <w:rFonts w:ascii="Cambria Math"/>
                          <w:sz w:val="21"/>
                        </w:rPr>
                        <m:t>h</m:t>
                      </m:r>
                    </m:sub>
                  </m:sSub>
                  <m:r>
                    <m:rPr>
                      <m:sty m:val="p"/>
                    </m:rPr>
                    <w:rPr>
                      <w:rFonts w:ascii="Cambria Math"/>
                      <w:sz w:val="21"/>
                    </w:rPr>
                    <m:t>(</m:t>
                  </m:r>
                  <m:sSub>
                    <m:sSubPr/>
                    <m:e>
                      <m:r>
                        <m:rPr/>
                        <w:rPr>
                          <w:rFonts w:ascii="Cambria Math"/>
                          <w:sz w:val="21"/>
                        </w:rPr>
                        <m:t>P</m:t>
                      </m:r>
                    </m:e>
                    <m:sub>
                      <m:r>
                        <m:rPr>
                          <m:sty m:val="p"/>
                        </m:rPr>
                        <w:rPr>
                          <w:rFonts w:ascii="Cambria Math"/>
                          <w:sz w:val="21"/>
                        </w:rPr>
                        <m:t>1</m:t>
                      </m:r>
                    </m:sub>
                  </m:sSub>
                  <m:r>
                    <m:rPr>
                      <m:sty m:val="p"/>
                    </m:rPr>
                    <w:rPr>
                      <w:rFonts w:ascii="Cambria Math"/>
                      <w:sz w:val="21"/>
                    </w:rPr>
                    <m:t>)</m:t>
                  </m:r>
                </m:den>
              </m:f>
              <m:r>
                <m:rPr>
                  <m:sty m:val="p"/>
                </m:rPr>
                <w:rPr>
                  <w:rFonts w:ascii="Cambria Math"/>
                  <w:sz w:val="21"/>
                </w:rPr>
                <m:t>−1</m:t>
              </m:r>
            </m:oMath>
            <w:r>
              <w:rPr>
                <w:rFonts w:ascii="Times New Roman" w:hAnsi="Times New Roman" w:eastAsia="宋体"/>
                <w:sz w:val="21"/>
                <w:szCs w:val="21"/>
              </w:rPr>
              <w:t>和区段阻力估计</w:t>
            </w:r>
            <m:oMath>
              <m:acc>
                <m:accPr/>
                <m:e>
                  <m:r>
                    <m:rPr/>
                    <w:rPr>
                      <w:rFonts w:ascii="Cambria Math" w:hAnsi="Cambria Math" w:eastAsia="Cambria Math"/>
                      <w:sz w:val="21"/>
                      <w:szCs w:val="21"/>
                    </w:rPr>
                    <m:t>R</m:t>
                  </m:r>
                </m:e>
              </m:acc>
              <m:r>
                <m:rPr>
                  <m:sty m:val="p"/>
                </m:rPr>
                <w:rPr>
                  <w:rFonts w:ascii="Cambria Math" w:hAnsi="Cambria Math" w:eastAsia="Cambria Math"/>
                  <w:sz w:val="21"/>
                  <w:szCs w:val="21"/>
                </w:rPr>
                <m:t>=</m:t>
              </m:r>
              <m:f>
                <m:fPr/>
                <m:num>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num>
                <m:den>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den>
              </m:f>
            </m:oMath>
            <w:r>
              <w:rPr>
                <w:rFonts w:ascii="Times New Roman" w:hAnsi="Times New Roman" w:eastAsia="宋体"/>
                <w:sz w:val="21"/>
                <w:szCs w:val="21"/>
              </w:rPr>
              <w:t>联合判断。健康曲线给出相同下游压力下的正常流量，区段阻力与健康值比较，分别反映附加出流与局部受限。流量持续正向偏离且区段阻力基本稳定时形成等效泄漏候选；阻力持续增加时形成受限候选。特征冲突则提示异常待检查，保留测量依据供巡检核查。</w:t>
            </w:r>
          </w:p>
          <w:p w14:paraId="028D854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健康标定覆盖不同供压点和已知负载状态，建立压力—流量经验曲线及区段阻力参照。平台支持健康记录导入与候选曲线拟合，参照经未参与拟合的健康批次核验后使用。故障试验固定参照版本，记录阀门和负载变化；随后对比固定参照与重新标定，研究跨供压、跨负载的适用范围。</w:t>
            </w:r>
          </w:p>
          <w:p w14:paraId="09F546A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为抑制正常波动，使用健康数据估计残差波动范围，设置稳健门限并结合连续确认。前期软件比较支持优先采用这一方案，实际门限由独立标定和正常运行试验确定。正式评价前固定参数，在同一批故障与正常对照上统计检出、误报和漏检。</w:t>
            </w:r>
          </w:p>
          <w:p w14:paraId="33DF4D2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短窗与主窗承担不同任务：三秒短窗连续两次正向越限形成关注提示，十秒主窗同类候选连续五次成立后形成持续候选。两个窗口分别建立参照并记录有效性，缺测或计数复位时重建受影响窗口。关注提示用于及时查看，故障原因仍由工况和复测核验。</w:t>
            </w:r>
          </w:p>
          <w:p w14:paraId="09AC1EE0">
            <w:pPr>
              <w:spacing w:before="0" w:after="0" w:line="1" w:lineRule="exact"/>
            </w:pPr>
          </w:p>
          <w:p w14:paraId="22795E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异常记录关联采集时刻、观测质量、候选类别和参照版本。遇到未知负载、压力漂移或正常切换与故障相似的情况，保留异常待检查，由操作记录和复测补充判断依据。试验将这些情况纳入对照，明确哪些变化能够可靠提示，哪些需要额外信息。</w:t>
            </w:r>
          </w:p>
          <w:p w14:paraId="2F844F9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故障试验按相对健康流量偏离5%、10%和15%设置三级变化，以15%作为统一比较参照。独立记录操作开始、首次正确持续候选和达到参照的时刻，判断系统能否在变化扩大前提示。5%组用于探索小幅变化的识别边界，15%参照仅用于本项目试验比较。</w:t>
            </w:r>
          </w:p>
          <w:p w14:paraId="1CD295A7">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项目力争在标定确认的工作范围内，使10%和15%故障组首次持续候选正确比例达到90%，正常运行确认误报不高于1次/小时，并评价达到15%参照前的有效提示比例。各组同时报告独立操作次数、漏检和失败情况，以完整结果说明效果及适用条件。</w:t>
            </w:r>
          </w:p>
          <w:p w14:paraId="6F127EA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节点程序将现有便携C内核移植至STM32，以预先生成的健康曲线表计算窗口特征，结合实际压力读数和累计计数形成事件。开发依次完成目标编译、有线采集、诊断联调和无线接入，检查运行时间、资源占用及异常观测处理，形成可复用的程序与连接说明。</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A55B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DE6B01B">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1" o:spt="75" alt="图6 支管异常诊断流程" type="#_x0000_t75" style="height:235.521pt;width:425pt;" filled="f" o:preferrelative="t" stroked="f" coordsize="21600,21600">
                        <v:path/>
                        <v:fill on="f" focussize="0,0"/>
                        <v:stroke on="f"/>
                        <v:imagedata r:id="rId11" o:title="diagnosis_proposa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图6 固定1Hz基线的双时间窗诊断流程</w:t>
                  </w:r>
                </w:p>
                <w:p w14:paraId="4C444920">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p>
              </w:tc>
            </w:tr>
            <w:tr w14:paraId="06C92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FEA75A5">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5 LoRa无线通信与事件管理</w:t>
                  </w:r>
                  <w:r>
                    <w:br w:type="textWrapping"/>
                  </w:r>
                  <w:r>
                    <w:rPr>
                      <w:rFonts w:ascii="Times New Roman" w:hAnsi="Times New Roman" w:eastAsia="宋体"/>
                      <w:sz w:val="21"/>
                      <w:szCs w:val="21"/>
                    </w:rPr>
                    <w:t>LoRa通信采用周期状态与异常事件相结合的方式。正常状态用于远程查看，异常优先保存和发送；接收端校验后写入数据库并回复确认，重复事件按身份去重。链路中断后恢复待确认事件，使巡检记录能够保留异常发生时的线索。</w:t>
                  </w:r>
                </w:p>
              </w:tc>
            </w:tr>
          </w:tbl>
          <w:p w14:paraId="1EA58E3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图7展示事件确认与重发过程。接收确认在数据库提交后生成，同一事件重发时核对身份和摘要，避免重复写入或覆盖记录。节点采用有限重试，保留超期、未送达和容量不足情况。真实串口与LoRa联调将核验原始采集、发送、接收和保存记录的对应关系。</w:t>
            </w:r>
          </w:p>
          <w:p w14:paraId="1B6ED1FE">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2" o:spt="75" alt="图7 事件接收确认与重传时序" type="#_x0000_t75" style="height:216.042pt;width:425pt;" filled="f" o:preferrelative="t" stroked="f" coordsize="21600,21600">
                  <v:path/>
                  <v:fill on="f" focussize="0,0"/>
                  <v:stroke on="f"/>
                  <v:imagedata r:id="rId12" o:title="durable_event_sequence"/>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图7 事件接收确认与重传时序</w:t>
            </w:r>
          </w:p>
          <w:p w14:paraId="3200EDC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无线对照比较不同上报周期、事件触发和异常优先发送，在稳定、遮挡和短时中断三类链路条件下重放相同诊断记录。记录到达时间、成功接收比例、重传次数和恢复后的缺失，分析及时性与通信负担之间的取舍。</w:t>
            </w:r>
          </w:p>
          <w:p w14:paraId="01D669D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6 巡检平台与系统联调</w:t>
            </w:r>
            <w:r>
              <w:br w:type="textWrapping"/>
            </w:r>
            <w:r>
              <w:rPr>
                <w:rFonts w:ascii="Times New Roman" w:hAnsi="Times New Roman" w:eastAsia="宋体"/>
                <w:sz w:val="21"/>
                <w:szCs w:val="21"/>
              </w:rPr>
              <w:t>巡检软件采用本地服务与桌面窗口，八个页面分别承担总览、监测、核查、设备、历史、实验、台架和设置职责。监测页同步展示</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Times New Roman" w:hAnsi="Times New Roman"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Times New Roman" w:hAnsi="Times New Roman" w:eastAsia="宋体"/>
                <w:sz w:val="21"/>
                <w:szCs w:val="21"/>
              </w:rPr>
              <w:t>与Q，曲线和台架测点读取同一会话；事件页组织查看、处置及复测，历史页检索并导出记录。实验页用于采集对照和健康参照拟合，台架页提供结构与测点查看。图8为当前桌面监测页面。</w:t>
            </w:r>
          </w:p>
          <w:p w14:paraId="527C552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3" o:spt="75" alt="图8 支管诊断界面（合成数据回放）" type="#_x0000_t75" style="height:274.479pt;width:425pt;" filled="f" o:preferrelative="t" stroked="f" coordsize="21600,21600">
                  <v:path/>
                  <v:fill on="f" focussize="0,0"/>
                  <v:stroke on="f"/>
                  <v:imagedata r:id="rId13" o:title="website_diagnosis_pane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图8 桌面巡检平台监测页面（合成回放）</w:t>
            </w:r>
          </w:p>
          <w:p w14:paraId="7FBDA30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平台保留原始候选快照，人工核查另行追加。Python服务与SQLite负责本机存储，桌面程序支持回放、暂停、曲线范围选择、三维聚焦和原生文件导出，关闭后重新打开可恢复历史记录。实施阶段把串口和LoRa数据接入这一流程，断连时区分历史读数与当前状态。</w:t>
            </w:r>
          </w:p>
          <w:p w14:paraId="16F20A7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系统联调依次完成有线采集、无线收发、平台显示及巡检记录，使用同一异常操作贯穿采集、判断、传输、展示和复测。验收包括两类故障的核查与复测、误报核查、一次8小时连续记录和至少3次重启恢复，并检查模拟控制与人工操作的状态。形成原型、使用说明和对应记录，验证系统能否为支管巡检提供可理解、可追溯的信息。</w:t>
            </w:r>
          </w:p>
          <w:p w14:paraId="770EA952">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处置联动采用软件模拟与LED或蜂鸣器演示，区分人工请求、接收、演示输出和复位。主机程序已记录这些状态，后续联调节点IO，核验重复命令与无效观测时的处理。真实阀门另行研究，本期保持水路试验条件稳定，重点完成诊断、核查和复测之间的衔接。</w:t>
            </w:r>
          </w:p>
          <w:p w14:paraId="1E93DF4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节点预留控制驱动和反馈接口，为后续接入执行器提供条件。真实阀门作为延伸任务，结合管径、工作压力及反馈方式选型，置于A支路入口并检查实际止流和对其他支路的影响。阀控验证与原诊断试验分开开展，保护条件通过独立试验确定；本期先完成异常提示、人工核查及模拟输出衔接，避免执行动作影响原有测量和诊断验证。</w:t>
            </w:r>
          </w:p>
          <w:p w14:paraId="5F3A3D9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7 实施步骤与验证安排</w:t>
            </w:r>
            <w:r>
              <w:br w:type="textWrapping"/>
            </w:r>
            <w:r>
              <w:rPr>
                <w:rFonts w:ascii="Times New Roman" w:hAnsi="Times New Roman" w:eastAsia="宋体"/>
                <w:sz w:val="21"/>
                <w:szCs w:val="21"/>
              </w:rPr>
              <w:t>项目按照测量建模、诊断验证、可靠告警和平台集成四个工作包推进，交付内容及验收要求见表1。首先完成台架与节点的独立标定，建立健康状态参照；随后开展故障及正常调节对照，确定诊断方法与适用范围；在本地判断和原始记录稳定后，验证无线接收与事件恢复，最后完成巡检平台和模拟控制联调。各工作包保留程序、配置及原始记录，以实验批次对应图表与结论，保证研究任务能够逐项检查。</w:t>
            </w:r>
          </w:p>
          <w:p w14:paraId="4DB374FE">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p w14:paraId="5973122B">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表1 系统研制工作包与验收要求</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494"/>
              <w:gridCol w:w="2134"/>
              <w:gridCol w:w="3094"/>
              <w:gridCol w:w="2348"/>
            </w:tblGrid>
            <w:tr w14:paraId="1A31DA7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494" w:type="dxa"/>
                  <w:tcBorders>
                    <w:top w:val="single" w:color="000000" w:sz="12" w:space="0"/>
                    <w:left w:val="nil"/>
                    <w:bottom w:val="single" w:color="000000" w:sz="4" w:space="0"/>
                    <w:right w:val="nil"/>
                    <w:tl2br w:val="nil"/>
                    <w:tr2bl w:val="nil"/>
                  </w:tcBorders>
                  <w:shd w:val="clear" w:color="auto" w:fill="FFFFFF"/>
                  <w:vAlign w:val="center"/>
                </w:tcPr>
                <w:p w14:paraId="4930BD0F">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工作包</w:t>
                  </w:r>
                </w:p>
              </w:tc>
              <w:tc>
                <w:tcPr>
                  <w:tcW w:w="2134" w:type="dxa"/>
                  <w:tcBorders>
                    <w:top w:val="single" w:color="000000" w:sz="12" w:space="0"/>
                    <w:left w:val="nil"/>
                    <w:bottom w:val="single" w:color="000000" w:sz="4" w:space="0"/>
                    <w:right w:val="nil"/>
                    <w:tl2br w:val="nil"/>
                    <w:tr2bl w:val="nil"/>
                  </w:tcBorders>
                  <w:shd w:val="clear" w:color="auto" w:fill="FFFFFF"/>
                  <w:vAlign w:val="center"/>
                </w:tcPr>
                <w:p w14:paraId="37A4E048">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主要交付</w:t>
                  </w:r>
                </w:p>
              </w:tc>
              <w:tc>
                <w:tcPr>
                  <w:tcW w:w="3094" w:type="dxa"/>
                  <w:tcBorders>
                    <w:top w:val="single" w:color="000000" w:sz="12" w:space="0"/>
                    <w:left w:val="nil"/>
                    <w:bottom w:val="single" w:color="000000" w:sz="4" w:space="0"/>
                    <w:right w:val="nil"/>
                    <w:tl2br w:val="nil"/>
                    <w:tr2bl w:val="nil"/>
                  </w:tcBorders>
                  <w:shd w:val="clear" w:color="auto" w:fill="FFFFFF"/>
                  <w:vAlign w:val="center"/>
                </w:tcPr>
                <w:p w14:paraId="0DDB538E">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评价及验收要求</w:t>
                  </w:r>
                </w:p>
              </w:tc>
              <w:tc>
                <w:tcPr>
                  <w:tcW w:w="2348" w:type="dxa"/>
                  <w:tcBorders>
                    <w:top w:val="single" w:color="000000" w:sz="12" w:space="0"/>
                    <w:left w:val="nil"/>
                    <w:bottom w:val="single" w:color="000000" w:sz="4" w:space="0"/>
                    <w:right w:val="nil"/>
                    <w:tl2br w:val="nil"/>
                    <w:tr2bl w:val="nil"/>
                  </w:tcBorders>
                  <w:shd w:val="clear" w:color="auto" w:fill="FFFFFF"/>
                  <w:vAlign w:val="center"/>
                </w:tcPr>
                <w:p w14:paraId="25B59D82">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验证依据</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single" w:color="000000" w:sz="4" w:space="0"/>
                    <w:left w:val="nil"/>
                    <w:bottom w:val="nil"/>
                    <w:right w:val="nil"/>
                    <w:tl2br w:val="nil"/>
                    <w:tr2bl w:val="nil"/>
                  </w:tcBorders>
                  <w:shd w:val="clear" w:color="auto" w:fill="FFFFFF"/>
                  <w:vAlign w:val="center"/>
                </w:tcPr>
                <w:p w14:paraId="7754E0D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测量建模</w:t>
                  </w:r>
                </w:p>
              </w:tc>
              <w:tc>
                <w:tcPr>
                  <w:tcW w:w="2134" w:type="dxa"/>
                  <w:tcBorders>
                    <w:top w:val="single" w:color="000000" w:sz="4" w:space="0"/>
                    <w:left w:val="nil"/>
                    <w:bottom w:val="nil"/>
                    <w:right w:val="nil"/>
                    <w:tl2br w:val="nil"/>
                    <w:tr2bl w:val="nil"/>
                  </w:tcBorders>
                  <w:shd w:val="clear" w:color="auto" w:fill="FFFFFF"/>
                  <w:vAlign w:val="center"/>
                </w:tcPr>
                <w:p w14:paraId="081C0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双支路台架、采集节点、标定参数及有线日志</w:t>
                  </w:r>
                </w:p>
              </w:tc>
              <w:tc>
                <w:tcPr>
                  <w:tcW w:w="3094" w:type="dxa"/>
                  <w:tcBorders>
                    <w:top w:val="single" w:color="000000" w:sz="4" w:space="0"/>
                    <w:left w:val="nil"/>
                    <w:bottom w:val="nil"/>
                    <w:right w:val="nil"/>
                    <w:tl2br w:val="nil"/>
                    <w:tr2bl w:val="nil"/>
                  </w:tcBorders>
                  <w:shd w:val="clear" w:color="auto" w:fill="FFFFFF"/>
                  <w:vAlign w:val="center"/>
                </w:tcPr>
                <w:p w14:paraId="0B599AE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多点误差、重复性、共同压力差值；明确可用量程</w:t>
                  </w:r>
                </w:p>
              </w:tc>
              <w:tc>
                <w:tcPr>
                  <w:tcW w:w="2348" w:type="dxa"/>
                  <w:tcBorders>
                    <w:top w:val="single" w:color="000000" w:sz="4" w:space="0"/>
                    <w:left w:val="nil"/>
                    <w:bottom w:val="nil"/>
                    <w:right w:val="nil"/>
                    <w:tl2br w:val="nil"/>
                    <w:tr2bl w:val="nil"/>
                  </w:tcBorders>
                  <w:shd w:val="clear" w:color="auto" w:fill="FFFFFF"/>
                  <w:vAlign w:val="center"/>
                </w:tcPr>
                <w:p w14:paraId="69C2656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独立参考读数、标定曲线及健康数据</w:t>
                  </w:r>
                </w:p>
              </w:tc>
            </w:tr>
            <w:tr w14:paraId="392FA9CA">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59ACDB8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诊断验证</w:t>
                  </w:r>
                </w:p>
              </w:tc>
              <w:tc>
                <w:tcPr>
                  <w:tcW w:w="2134" w:type="dxa"/>
                  <w:tcBorders>
                    <w:top w:val="nil"/>
                    <w:left w:val="nil"/>
                    <w:bottom w:val="nil"/>
                    <w:right w:val="nil"/>
                    <w:tl2br w:val="nil"/>
                    <w:tr2bl w:val="nil"/>
                  </w:tcBorders>
                  <w:shd w:val="clear" w:color="auto" w:fill="FFFFFF"/>
                  <w:vAlign w:val="center"/>
                </w:tcPr>
                <w:p w14:paraId="397C50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诊断与分级采集程序、独立故障及干扰对照</w:t>
                  </w:r>
                </w:p>
              </w:tc>
              <w:tc>
                <w:tcPr>
                  <w:tcW w:w="3094" w:type="dxa"/>
                  <w:tcBorders>
                    <w:top w:val="nil"/>
                    <w:left w:val="nil"/>
                    <w:bottom w:val="nil"/>
                    <w:right w:val="nil"/>
                    <w:tl2br w:val="nil"/>
                    <w:tr2bl w:val="nil"/>
                  </w:tcBorders>
                  <w:shd w:val="clear" w:color="auto" w:fill="FFFFFF"/>
                  <w:vAlign w:val="center"/>
                </w:tcPr>
                <w:p w14:paraId="4B1D097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误报、漏检、模式正确性、提前量及实际读取次数</w:t>
                  </w:r>
                </w:p>
              </w:tc>
              <w:tc>
                <w:tcPr>
                  <w:tcW w:w="2348" w:type="dxa"/>
                  <w:tcBorders>
                    <w:top w:val="nil"/>
                    <w:left w:val="nil"/>
                    <w:bottom w:val="nil"/>
                    <w:right w:val="nil"/>
                    <w:tl2br w:val="nil"/>
                    <w:tr2bl w:val="nil"/>
                  </w:tcBorders>
                  <w:shd w:val="clear" w:color="auto" w:fill="FFFFFF"/>
                  <w:vAlign w:val="center"/>
                </w:tcPr>
                <w:p w14:paraId="7ACF65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操作标签、参考测量、留出批次与基线比较</w:t>
                  </w:r>
                </w:p>
              </w:tc>
            </w:tr>
            <w:tr w14:paraId="0540D25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3FBA2C5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可靠告警</w:t>
                  </w:r>
                </w:p>
              </w:tc>
              <w:tc>
                <w:tcPr>
                  <w:tcW w:w="2134" w:type="dxa"/>
                  <w:tcBorders>
                    <w:top w:val="nil"/>
                    <w:left w:val="nil"/>
                    <w:bottom w:val="nil"/>
                    <w:right w:val="nil"/>
                    <w:tl2br w:val="nil"/>
                    <w:tr2bl w:val="nil"/>
                  </w:tcBorders>
                  <w:shd w:val="clear" w:color="auto" w:fill="FFFFFF"/>
                  <w:vAlign w:val="center"/>
                </w:tcPr>
                <w:p w14:paraId="47D5760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本地缓存、接收确认、去重与恢复程序</w:t>
                  </w:r>
                </w:p>
              </w:tc>
              <w:tc>
                <w:tcPr>
                  <w:tcW w:w="3094" w:type="dxa"/>
                  <w:tcBorders>
                    <w:top w:val="nil"/>
                    <w:left w:val="nil"/>
                    <w:bottom w:val="nil"/>
                    <w:right w:val="nil"/>
                    <w:tl2br w:val="nil"/>
                    <w:tr2bl w:val="nil"/>
                  </w:tcBorders>
                  <w:shd w:val="clear" w:color="auto" w:fill="FFFFFF"/>
                  <w:vAlign w:val="center"/>
                </w:tcPr>
                <w:p w14:paraId="0478CF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远端延迟、送达比例、重传、溢出及恢复缺口</w:t>
                  </w:r>
                </w:p>
              </w:tc>
              <w:tc>
                <w:tcPr>
                  <w:tcW w:w="2348" w:type="dxa"/>
                  <w:tcBorders>
                    <w:top w:val="nil"/>
                    <w:left w:val="nil"/>
                    <w:bottom w:val="nil"/>
                    <w:right w:val="nil"/>
                    <w:tl2br w:val="nil"/>
                    <w:tr2bl w:val="nil"/>
                  </w:tcBorders>
                  <w:shd w:val="clear" w:color="auto" w:fill="FFFFFF"/>
                  <w:vAlign w:val="center"/>
                </w:tcPr>
                <w:p w14:paraId="1914936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发收日志、链路配置及独立电流记录</w:t>
                  </w:r>
                </w:p>
              </w:tc>
            </w:tr>
            <w:tr w14:paraId="74D685C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single" w:color="000000" w:sz="12" w:space="0"/>
                    <w:right w:val="nil"/>
                    <w:tl2br w:val="nil"/>
                    <w:tr2bl w:val="nil"/>
                  </w:tcBorders>
                  <w:shd w:val="clear" w:color="auto" w:fill="FFFFFF"/>
                  <w:vAlign w:val="center"/>
                </w:tcPr>
                <w:p w14:paraId="2F9B6E7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平台集成</w:t>
                  </w:r>
                </w:p>
              </w:tc>
              <w:tc>
                <w:tcPr>
                  <w:tcW w:w="2134" w:type="dxa"/>
                  <w:tcBorders>
                    <w:top w:val="nil"/>
                    <w:left w:val="nil"/>
                    <w:bottom w:val="single" w:color="000000" w:sz="12" w:space="0"/>
                    <w:right w:val="nil"/>
                    <w:tl2br w:val="nil"/>
                    <w:tr2bl w:val="nil"/>
                  </w:tcBorders>
                  <w:shd w:val="clear" w:color="auto" w:fill="FFFFFF"/>
                  <w:vAlign w:val="center"/>
                </w:tcPr>
                <w:p w14:paraId="163F2CD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Times New Roman" w:hAnsi="Times New Roman" w:eastAsia="宋体"/>
                      <w:sz w:val="21"/>
                      <w:szCs w:val="21"/>
                    </w:rPr>
                    <w:t>八页面Web、真实接入、模拟请求及维护记录</w:t>
                  </w:r>
                </w:p>
              </w:tc>
              <w:tc>
                <w:tcPr>
                  <w:tcW w:w="3094" w:type="dxa"/>
                  <w:tcBorders>
                    <w:top w:val="nil"/>
                    <w:left w:val="nil"/>
                    <w:bottom w:val="single" w:color="000000" w:sz="12" w:space="0"/>
                    <w:right w:val="nil"/>
                    <w:tl2br w:val="nil"/>
                    <w:tr2bl w:val="nil"/>
                  </w:tcBorders>
                  <w:shd w:val="clear" w:color="auto" w:fill="FFFFFF"/>
                  <w:vAlign w:val="center"/>
                </w:tcPr>
                <w:p w14:paraId="57372FF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事件与指令状态可追溯；连续记录、重启及复测</w:t>
                  </w:r>
                </w:p>
              </w:tc>
              <w:tc>
                <w:tcPr>
                  <w:tcW w:w="2348" w:type="dxa"/>
                  <w:tcBorders>
                    <w:top w:val="nil"/>
                    <w:left w:val="nil"/>
                    <w:bottom w:val="single" w:color="000000" w:sz="12" w:space="0"/>
                    <w:right w:val="nil"/>
                    <w:tl2br w:val="nil"/>
                    <w:tr2bl w:val="nil"/>
                  </w:tcBorders>
                  <w:shd w:val="clear" w:color="auto" w:fill="FFFFFF"/>
                  <w:vAlign w:val="center"/>
                </w:tcPr>
                <w:p w14:paraId="115950C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数据库、操作记录、原型及使用说明</w:t>
                  </w:r>
                </w:p>
              </w:tc>
            </w:tr>
          </w:tbl>
          <w:p w14:paraId="4183557D">
            <w:pPr>
              <w:keepNext w:val="0"/>
              <w:keepLines/>
              <w:spacing w:line="20" w:lineRule="exact"/>
              <w:jc w:val="both"/>
              <w:rPr>
                <w:rFonts w:hint="default" w:ascii="Times New Roman" w:hAnsi="Times New Roman" w:cs="Times New Roman"/>
                <w:sz w:val="2"/>
                <w:szCs w:val="28"/>
                <w:vertAlign w:val="baseline"/>
                <w:lang w:val="en-US" w:eastAsia="zh-CN"/>
              </w:rPr>
            </w:pPr>
          </w:p>
          <w:p w14:paraId="1995950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验规模见表2。预实验用于测量校核、参数选择和方法固定，正式实验以独立故障操作为重复单位，按日期、供压档或负载档设置留出批次。计划采用80、120、160kPa三个台架供压点，供压点属于实验设计，不作为田间统一运行要求。每次操作保存阀态、原始观测、独立标签和配置，正常干扰实验同步记录运行时长，便于按小时评价误报。</w:t>
            </w:r>
          </w:p>
          <w:p w14:paraId="4F704D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诊断试验比较固定流量阈值、健康参照固定门限和健康参照稳健门限三种方案，使用相同观测数据、时间窗和确认条件。通过分别使用单点信息、双压力信息及操作记录，分析附加测点与运行状态记录的作用；累积判据作为候选方案补充比较。参数在健康标定和预实验中确定，正式验证采用留出批次，分别统计故障提示和正常误报，并保留负载变化、压力漂移及模型失配条件下的失败记录。</w:t>
            </w:r>
          </w:p>
          <w:p w14:paraId="2BF57F3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无线测试设置稳定、遮挡和短时中断三类场景，改变测试顺序并保存位置与配置，比较本地提示和平台收到事件的时刻。平台连续运行时核对节点日志、数据库和维护记录，检查掉线恢复、事件去重及页面状态，验证从采集到巡检记录的完整功能。</w:t>
            </w:r>
          </w:p>
          <w:p w14:paraId="27F0A491">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表2 独立实验与对照安排</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814"/>
              <w:gridCol w:w="2988"/>
              <w:gridCol w:w="4268"/>
            </w:tblGrid>
            <w:tr w14:paraId="716B97E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814" w:type="dxa"/>
                  <w:tcBorders>
                    <w:top w:val="single" w:color="000000" w:sz="12" w:space="0"/>
                    <w:left w:val="nil"/>
                    <w:bottom w:val="single" w:color="000000" w:sz="4" w:space="0"/>
                    <w:right w:val="nil"/>
                    <w:tl2br w:val="nil"/>
                    <w:tr2bl w:val="nil"/>
                  </w:tcBorders>
                  <w:shd w:val="clear" w:color="auto" w:fill="FFFFFF"/>
                  <w:vAlign w:val="center"/>
                </w:tcPr>
                <w:p w14:paraId="64BD5A0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层次</w:t>
                  </w:r>
                </w:p>
              </w:tc>
              <w:tc>
                <w:tcPr>
                  <w:tcW w:w="2988" w:type="dxa"/>
                  <w:tcBorders>
                    <w:top w:val="single" w:color="000000" w:sz="12" w:space="0"/>
                    <w:left w:val="nil"/>
                    <w:bottom w:val="single" w:color="000000" w:sz="4" w:space="0"/>
                    <w:right w:val="nil"/>
                    <w:tl2br w:val="nil"/>
                    <w:tr2bl w:val="nil"/>
                  </w:tcBorders>
                  <w:shd w:val="clear" w:color="auto" w:fill="FFFFFF"/>
                  <w:vAlign w:val="center"/>
                </w:tcPr>
                <w:p w14:paraId="020FEAA1">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计划规模</w:t>
                  </w:r>
                </w:p>
              </w:tc>
              <w:tc>
                <w:tcPr>
                  <w:tcW w:w="4268" w:type="dxa"/>
                  <w:tcBorders>
                    <w:top w:val="single" w:color="000000" w:sz="12" w:space="0"/>
                    <w:left w:val="nil"/>
                    <w:bottom w:val="single" w:color="000000" w:sz="4" w:space="0"/>
                    <w:right w:val="nil"/>
                    <w:tl2br w:val="nil"/>
                    <w:tr2bl w:val="nil"/>
                  </w:tcBorders>
                  <w:shd w:val="clear" w:color="auto" w:fill="FFFFFF"/>
                  <w:vAlign w:val="center"/>
                </w:tcPr>
                <w:p w14:paraId="1B4BD98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对照与判定</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标定及健康关系</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压力、流量各至少5点，每点至少3次；不同B状态健康试验</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独立参考、升降压及共同压力对照；确定可用范围</w:t>
                  </w:r>
                </w:p>
              </w:tc>
            </w:tr>
            <w:tr w14:paraId="0C9D3B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6DAA68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主要故障</w:t>
                  </w:r>
                </w:p>
              </w:tc>
              <w:tc>
                <w:tcPr>
                  <w:tcW w:w="2988" w:type="dxa"/>
                  <w:tcBorders>
                    <w:top w:val="nil"/>
                    <w:left w:val="nil"/>
                    <w:bottom w:val="nil"/>
                    <w:right w:val="nil"/>
                    <w:tl2br w:val="nil"/>
                    <w:tr2bl w:val="nil"/>
                  </w:tcBorders>
                  <w:shd w:val="clear" w:color="auto" w:fill="FFFFFF"/>
                  <w:vAlign w:val="center"/>
                </w:tcPr>
                <w:p w14:paraId="2741C5C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2类型×3供压×3程度×至少3独立操作，共54次</w:t>
                  </w:r>
                </w:p>
              </w:tc>
              <w:tc>
                <w:tcPr>
                  <w:tcW w:w="4268" w:type="dxa"/>
                  <w:tcBorders>
                    <w:top w:val="nil"/>
                    <w:left w:val="nil"/>
                    <w:bottom w:val="nil"/>
                    <w:right w:val="nil"/>
                    <w:tl2br w:val="nil"/>
                    <w:tr2bl w:val="nil"/>
                  </w:tcBorders>
                  <w:shd w:val="clear" w:color="auto" w:fill="FFFFFF"/>
                  <w:vAlign w:val="center"/>
                </w:tcPr>
                <w:p w14:paraId="2031275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供压80/120/160kPa，程度5/10/15%；参考测量核验</w:t>
                  </w:r>
                </w:p>
              </w:tc>
            </w:tr>
            <w:tr w14:paraId="7BDA3E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778EE41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正常干扰</w:t>
                  </w:r>
                </w:p>
              </w:tc>
              <w:tc>
                <w:tcPr>
                  <w:tcW w:w="2988" w:type="dxa"/>
                  <w:tcBorders>
                    <w:top w:val="nil"/>
                    <w:left w:val="nil"/>
                    <w:bottom w:val="nil"/>
                    <w:right w:val="nil"/>
                    <w:tl2br w:val="nil"/>
                    <w:tr2bl w:val="nil"/>
                  </w:tcBorders>
                  <w:shd w:val="clear" w:color="auto" w:fill="FFFFFF"/>
                  <w:vAlign w:val="center"/>
                </w:tcPr>
                <w:p w14:paraId="563D3EC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3供压×2个B状态×3独立操作，共18次，每次至少20分钟</w:t>
                  </w:r>
                </w:p>
              </w:tc>
              <w:tc>
                <w:tcPr>
                  <w:tcW w:w="4268" w:type="dxa"/>
                  <w:tcBorders>
                    <w:top w:val="nil"/>
                    <w:left w:val="nil"/>
                    <w:bottom w:val="nil"/>
                    <w:right w:val="nil"/>
                    <w:tl2br w:val="nil"/>
                    <w:tr2bl w:val="nil"/>
                  </w:tcBorders>
                  <w:shd w:val="clear" w:color="auto" w:fill="FFFFFF"/>
                  <w:vAlign w:val="center"/>
                </w:tcPr>
                <w:p w14:paraId="4EC6D5F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对比正常供压与负载变化；统计误报次数及总时长</w:t>
                  </w:r>
                </w:p>
              </w:tc>
            </w:tr>
            <w:tr w14:paraId="5480CF1D">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B5B4DF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切换期间故障</w:t>
                  </w:r>
                </w:p>
              </w:tc>
              <w:tc>
                <w:tcPr>
                  <w:tcW w:w="2988" w:type="dxa"/>
                  <w:tcBorders>
                    <w:top w:val="nil"/>
                    <w:left w:val="nil"/>
                    <w:bottom w:val="nil"/>
                    <w:right w:val="nil"/>
                    <w:tl2br w:val="nil"/>
                    <w:tr2bl w:val="nil"/>
                  </w:tcBorders>
                  <w:shd w:val="clear" w:color="auto" w:fill="FFFFFF"/>
                  <w:vAlign w:val="center"/>
                </w:tcPr>
                <w:p w14:paraId="574408E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2类型×3供压×2种切换方向，共12次</w:t>
                  </w:r>
                </w:p>
              </w:tc>
              <w:tc>
                <w:tcPr>
                  <w:tcW w:w="4268" w:type="dxa"/>
                  <w:tcBorders>
                    <w:top w:val="nil"/>
                    <w:left w:val="nil"/>
                    <w:bottom w:val="nil"/>
                    <w:right w:val="nil"/>
                    <w:tl2br w:val="nil"/>
                    <w:tr2bl w:val="nil"/>
                  </w:tcBorders>
                  <w:shd w:val="clear" w:color="auto" w:fill="FFFFFF"/>
                  <w:vAlign w:val="center"/>
                </w:tcPr>
                <w:p w14:paraId="56BAB6B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记录判断等待时间、期间故障及恢复后的输出</w:t>
                  </w:r>
                </w:p>
              </w:tc>
            </w:tr>
            <w:tr w14:paraId="5FF0A5C2">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962E25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无线链路对照</w:t>
                  </w:r>
                </w:p>
              </w:tc>
              <w:tc>
                <w:tcPr>
                  <w:tcW w:w="2988" w:type="dxa"/>
                  <w:tcBorders>
                    <w:top w:val="nil"/>
                    <w:left w:val="nil"/>
                    <w:bottom w:val="nil"/>
                    <w:right w:val="nil"/>
                    <w:tl2br w:val="nil"/>
                    <w:tr2bl w:val="nil"/>
                  </w:tcBorders>
                  <w:shd w:val="clear" w:color="auto" w:fill="FFFFFF"/>
                  <w:vAlign w:val="center"/>
                </w:tcPr>
                <w:p w14:paraId="0553BA9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4策略×3链路条件×至少3独立批次，共36次重放</w:t>
                  </w:r>
                </w:p>
              </w:tc>
              <w:tc>
                <w:tcPr>
                  <w:tcW w:w="4268" w:type="dxa"/>
                  <w:tcBorders>
                    <w:top w:val="nil"/>
                    <w:left w:val="nil"/>
                    <w:bottom w:val="nil"/>
                    <w:right w:val="nil"/>
                    <w:tl2br w:val="nil"/>
                    <w:tr2bl w:val="nil"/>
                  </w:tcBorders>
                  <w:shd w:val="clear" w:color="auto" w:fill="FFFFFF"/>
                  <w:vAlign w:val="center"/>
                </w:tcPr>
                <w:p w14:paraId="7294384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统一检测轨迹与确认规则；记录超期、未送达及重传</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18E88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连续及恢复</w:t>
                  </w:r>
                </w:p>
              </w:tc>
              <w:tc>
                <w:tcPr>
                  <w:tcW w:w="2988" w:type="dxa"/>
                  <w:tcBorders>
                    <w:top w:val="nil"/>
                    <w:left w:val="nil"/>
                    <w:bottom w:val="nil"/>
                    <w:right w:val="nil"/>
                    <w:tl2br w:val="nil"/>
                    <w:tr2bl w:val="nil"/>
                  </w:tcBorders>
                  <w:shd w:val="clear" w:color="auto" w:fill="FFFFFF"/>
                  <w:vAlign w:val="center"/>
                </w:tcPr>
                <w:p w14:paraId="5B1139D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至少一次8小时记录、至少3次重启及维护前后配对</w:t>
                  </w:r>
                </w:p>
              </w:tc>
              <w:tc>
                <w:tcPr>
                  <w:tcW w:w="4268" w:type="dxa"/>
                  <w:tcBorders>
                    <w:top w:val="nil"/>
                    <w:left w:val="nil"/>
                    <w:bottom w:val="nil"/>
                    <w:right w:val="nil"/>
                    <w:tl2br w:val="nil"/>
                    <w:tr2bl w:val="nil"/>
                  </w:tcBorders>
                  <w:shd w:val="clear" w:color="auto" w:fill="FFFFFF"/>
                  <w:vAlign w:val="center"/>
                </w:tcPr>
                <w:p w14:paraId="458143B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核对停机缺失、缓存恢复、数据库及参考复测</w:t>
                  </w:r>
                </w:p>
              </w:tc>
            </w:tr>
            <w:tr w14:paraId="0C47E47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7B3D4D2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采集调度对照</w:t>
                  </w:r>
                </w:p>
              </w:tc>
              <w:tc>
                <w:tcPr>
                  <w:tcW w:w="2988" w:type="dxa"/>
                  <w:tcBorders>
                    <w:top w:val="nil"/>
                    <w:left w:val="nil"/>
                    <w:bottom w:val="nil"/>
                    <w:right w:val="nil"/>
                    <w:tl2br w:val="nil"/>
                    <w:tr2bl w:val="nil"/>
                  </w:tcBorders>
                  <w:shd w:val="clear" w:color="auto" w:fill="FFFFFF"/>
                  <w:vAlign w:val="center"/>
                </w:tcPr>
                <w:p w14:paraId="76CB79B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54次故障操作和18次正常对照配套高频参考记录；分块交叉配置复核</w:t>
                  </w:r>
                </w:p>
              </w:tc>
              <w:tc>
                <w:tcPr>
                  <w:tcW w:w="4268" w:type="dxa"/>
                  <w:tcBorders>
                    <w:top w:val="nil"/>
                    <w:left w:val="nil"/>
                    <w:bottom w:val="nil"/>
                    <w:right w:val="nil"/>
                    <w:tl2br w:val="nil"/>
                    <w:tr2bl w:val="nil"/>
                  </w:tcBorders>
                  <w:shd w:val="clear" w:color="auto" w:fill="FFFFFF"/>
                  <w:vAlign w:val="center"/>
                </w:tcPr>
                <w:p w14:paraId="5AF8827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4策略、候选周期及相位对照；统计读取/发送与提前量，不新增为独立操作数</w:t>
                  </w:r>
                </w:p>
              </w:tc>
            </w:tr>
            <w:tr w14:paraId="040562E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single" w:color="000000" w:sz="12" w:space="0"/>
                    <w:right w:val="nil"/>
                    <w:tl2br w:val="nil"/>
                    <w:tr2bl w:val="nil"/>
                  </w:tcBorders>
                  <w:shd w:val="clear" w:color="auto" w:fill="FFFFFF"/>
                  <w:vAlign w:val="center"/>
                </w:tcPr>
                <w:p w14:paraId="30D6C6F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模拟控制流程</w:t>
                  </w:r>
                </w:p>
              </w:tc>
              <w:tc>
                <w:tcPr>
                  <w:tcW w:w="2988" w:type="dxa"/>
                  <w:tcBorders>
                    <w:top w:val="nil"/>
                    <w:left w:val="nil"/>
                    <w:bottom w:val="single" w:color="000000" w:sz="12" w:space="0"/>
                    <w:right w:val="nil"/>
                    <w:tl2br w:val="nil"/>
                    <w:tr2bl w:val="nil"/>
                  </w:tcBorders>
                  <w:shd w:val="clear" w:color="auto" w:fill="FFFFFF"/>
                  <w:vAlign w:val="center"/>
                </w:tcPr>
                <w:p w14:paraId="69B1932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至少12类状态检查；主机检查后开展节点与页面联调</w:t>
                  </w:r>
                </w:p>
              </w:tc>
              <w:tc>
                <w:tcPr>
                  <w:tcW w:w="4268" w:type="dxa"/>
                  <w:tcBorders>
                    <w:top w:val="nil"/>
                    <w:left w:val="nil"/>
                    <w:bottom w:val="single" w:color="000000" w:sz="12" w:space="0"/>
                    <w:right w:val="nil"/>
                    <w:tl2br w:val="nil"/>
                    <w:tr2bl w:val="nil"/>
                  </w:tcBorders>
                  <w:shd w:val="clear" w:color="auto" w:fill="FFFFFF"/>
                  <w:vAlign w:val="center"/>
                </w:tcPr>
                <w:p w14:paraId="355BB19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自动/人工、去重、质量与工况约束、模拟反馈及人工复位；真实阀门不列为本期必做</w:t>
                  </w:r>
                </w:p>
              </w:tc>
            </w:tr>
          </w:tbl>
          <w:p w14:paraId="5EEC516A">
            <w:pPr>
              <w:keepNext w:val="0"/>
              <w:keepLines/>
              <w:spacing w:line="20" w:lineRule="exact"/>
              <w:jc w:val="both"/>
              <w:rPr>
                <w:rFonts w:hint="default" w:ascii="Times New Roman" w:hAnsi="Times New Roman" w:cs="Times New Roman"/>
                <w:sz w:val="2"/>
                <w:szCs w:val="28"/>
                <w:vertAlign w:val="baseline"/>
                <w:lang w:val="en-US" w:eastAsia="zh-CN"/>
              </w:rPr>
            </w:pPr>
          </w:p>
          <w:p w14:paraId="1F75823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后续研究首先围绕健康参照适配展开。现有合成测试表明，供压变化与负载规律变化的影响不同，固定参照对未知负载可能产生误报。项目比较固定参照、多供压点重新标定和少量健康数据修正，按日期及工况划分独立验证批次，评价判断效果和标定工作量，为轮灌条件变化下的应用提供依据。</w:t>
            </w:r>
          </w:p>
          <w:p w14:paraId="760E29E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单节点验证完成后，可增加支管监测节点，利用共用水源下不同支管的同步变化区分共同扰动与局部异常。维护记录还可用于比较有无提示时的排查时间，检验系统的实际巡检价值。多节点布点和更细的区段判断在后续资源、现场条件具备时开展。</w:t>
            </w:r>
          </w:p>
        </w:tc>
      </w:tr>
      <w:tr w14:paraId="5099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77A637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四、国内外研究现状与发展动态</w:t>
            </w:r>
            <w:r>
              <w:br w:type="textWrapping"/>
            </w:r>
            <w:r>
              <w:rPr>
                <w:rFonts w:ascii="宋体" w:hAnsi="宋体" w:eastAsia="宋体"/>
                <w:sz w:val="21"/>
                <w:szCs w:val="21"/>
              </w:rPr>
              <w:t>国内棉花滴灌研究为本项目的应用对象和管网层级提供了依据。李慧琴等针对南疆棉花滴水出苗提出铺管、压力均匀性及适量滴水等管理建议</w:t>
            </w:r>
            <w:r>
              <w:rPr>
                <w:rFonts w:ascii="宋体" w:hAnsi="宋体" w:eastAsia="宋体"/>
                <w:sz w:val="21"/>
                <w:szCs w:val="21"/>
                <w:vertAlign w:val="superscript"/>
              </w:rPr>
              <w:t>[1]</w:t>
            </w:r>
            <w:r>
              <w:rPr>
                <w:rFonts w:ascii="宋体" w:hAnsi="宋体" w:eastAsia="宋体"/>
                <w:sz w:val="21"/>
                <w:szCs w:val="21"/>
              </w:rPr>
              <w:t>；张晔以昌吉棉田工程为例，讨论膜下滴灌的支管、辅管和毛管布置以及轮灌组织</w:t>
            </w:r>
            <w:r>
              <w:rPr>
                <w:rFonts w:ascii="宋体" w:hAnsi="宋体" w:eastAsia="宋体"/>
                <w:sz w:val="21"/>
                <w:szCs w:val="21"/>
                <w:vertAlign w:val="superscript"/>
              </w:rPr>
              <w:t>[4]</w:t>
            </w:r>
            <w:r>
              <w:rPr>
                <w:rFonts w:ascii="宋体" w:hAnsi="宋体" w:eastAsia="宋体"/>
                <w:sz w:val="21"/>
                <w:szCs w:val="21"/>
              </w:rPr>
              <w:t>。前者说明南疆棉田管理对运行压力的关注，后者提供具体管网实例。两类研究共同支持从支管运行监测切入巡检问题；不同地区和种植布置的参数仍应分别核验，本项目不固定“一管四行”等单一种植模式。</w:t>
            </w:r>
          </w:p>
          <w:p w14:paraId="019560B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在水力分析方面，丁法龙等建立滴灌管沿程压力分布模型并开展测压、测流验证</w:t>
            </w:r>
            <w:r>
              <w:rPr>
                <w:rFonts w:ascii="宋体" w:hAnsi="宋体" w:eastAsia="宋体"/>
                <w:sz w:val="21"/>
                <w:szCs w:val="21"/>
                <w:vertAlign w:val="superscript"/>
              </w:rPr>
              <w:t>[2]</w:t>
            </w:r>
            <w:r>
              <w:rPr>
                <w:rFonts w:ascii="宋体" w:hAnsi="宋体" w:eastAsia="宋体"/>
                <w:sz w:val="21"/>
                <w:szCs w:val="21"/>
              </w:rPr>
              <w:t>，说明分布出流和管道结构对压力关系具有影响。付建民等研究液相管道流量、压力与小孔泄漏速率的关系</w:t>
            </w:r>
            <w:r>
              <w:rPr>
                <w:rFonts w:ascii="宋体" w:hAnsi="宋体" w:eastAsia="宋体"/>
                <w:sz w:val="21"/>
                <w:szCs w:val="21"/>
                <w:vertAlign w:val="superscript"/>
              </w:rPr>
              <w:t>[3]</w:t>
            </w:r>
            <w:r>
              <w:rPr>
                <w:rFonts w:ascii="宋体" w:hAnsi="宋体" w:eastAsia="宋体"/>
                <w:sz w:val="21"/>
                <w:szCs w:val="21"/>
              </w:rPr>
              <w:t>，为联合分析水力观测提供了方法参考，其研究对象与滴灌管网不同，应用时需要重新标定。Petit等对滴灌堵塞检测及分析方法进行综述</w:t>
            </w:r>
            <w:r>
              <w:rPr>
                <w:rFonts w:ascii="宋体" w:hAnsi="宋体" w:eastAsia="宋体"/>
                <w:sz w:val="21"/>
                <w:szCs w:val="21"/>
                <w:vertAlign w:val="superscript"/>
              </w:rPr>
              <w:t>[6]</w:t>
            </w:r>
            <w:r>
              <w:rPr>
                <w:rFonts w:ascii="宋体" w:hAnsi="宋体" w:eastAsia="宋体"/>
                <w:sz w:val="21"/>
                <w:szCs w:val="21"/>
              </w:rPr>
              <w:t>，涉及压力、流量等间接观测及其局限。由此，本项目将水力异常识别与具体故障原因核查分开，重点研究测量误差和正常调节对识别结果的影响。</w:t>
            </w:r>
          </w:p>
          <w:p w14:paraId="3A408B1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物联网技术已用于农业灌溉的采集和管理。孟祥等设计基于LoRa的农田智能灌溉系统</w:t>
            </w:r>
            <w:r>
              <w:rPr>
                <w:rFonts w:ascii="宋体" w:hAnsi="宋体" w:eastAsia="宋体"/>
                <w:sz w:val="21"/>
                <w:szCs w:val="21"/>
                <w:vertAlign w:val="superscript"/>
              </w:rPr>
              <w:t>[5]</w:t>
            </w:r>
            <w:r>
              <w:rPr>
                <w:rFonts w:ascii="宋体" w:hAnsi="宋体" w:eastAsia="宋体"/>
                <w:sz w:val="21"/>
                <w:szCs w:val="21"/>
              </w:rPr>
              <w:t>，提供了节点、通信与管理软件的组织实例；Loukatos等构建可控灌溉平台，结合压力、流量和无线采集组织实验</w:t>
            </w:r>
            <w:r>
              <w:rPr>
                <w:rFonts w:ascii="宋体" w:hAnsi="宋体" w:eastAsia="宋体"/>
                <w:sz w:val="21"/>
                <w:szCs w:val="21"/>
                <w:vertAlign w:val="superscript"/>
              </w:rPr>
              <w:t>[7]</w:t>
            </w:r>
            <w:r>
              <w:rPr>
                <w:rFonts w:ascii="宋体" w:hAnsi="宋体" w:eastAsia="宋体"/>
                <w:sz w:val="21"/>
                <w:szCs w:val="21"/>
              </w:rPr>
              <w:t>。这些工作说明系统集成和可控验证具有可借鉴的实现路径，也提示本项目的研究改进应体现在诊断条件与验证方法上，而不能仅以新增无线模块作为创新依据。</w:t>
            </w:r>
          </w:p>
          <w:p w14:paraId="6D49CEA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在事件策略方面，Lozoya等以土壤水分和过程模型预测下一次采集时刻，比较了非周期采集与周期方案的通信和能量取舍</w:t>
            </w:r>
            <w:r>
              <w:rPr>
                <w:rFonts w:ascii="宋体" w:hAnsi="宋体" w:eastAsia="宋体"/>
                <w:sz w:val="21"/>
                <w:szCs w:val="21"/>
                <w:vertAlign w:val="superscript"/>
              </w:rPr>
              <w:t>[8]</w:t>
            </w:r>
            <w:r>
              <w:rPr>
                <w:rFonts w:ascii="宋体" w:hAnsi="宋体" w:eastAsia="宋体"/>
                <w:sz w:val="21"/>
                <w:szCs w:val="21"/>
              </w:rPr>
              <w:t>，其研究对象为山核桃灌溉，链路采用IEEE 802.15.4/Zigbee。本项目借鉴分开评价控制效果、消息数量和实测能耗的思路，围绕支管压力与流量异常设计周期监测后的事件触发，不直接沿用土壤水分的分钟级采集周期。采集调度、数据上报和接收确认分别设置对照，分析通信负担下降是否伴随告警等待、误触发或数据缺口。</w:t>
            </w:r>
          </w:p>
          <w:p w14:paraId="1B0D7DB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结合已有研究，本项目把改进重点放在两方面：利用双压力—流量与工况记录提高渐进异常提示的可复核性，研究正常调节与故障之间的辨识边界；在此基础上比较事件触发分级采集和可靠上报，分析减少观测与通信时的响应代价。控制请求演示和桌面平台承担系统集成任务，研究结论由独立标定、正常干扰对照与留出批次支持。</w:t>
            </w:r>
          </w:p>
          <w:p w14:paraId="4532A199">
            <w:pPr>
              <w:keepNext/>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参考文献</w:t>
            </w:r>
          </w:p>
          <w:p w14:paraId="0C2BD92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[1] 李慧琴, 王潭刚, 孔宪辉. 新疆南疆棉花“滴水出苗”技术问题及建议[J]. 中国棉花, 2022, 49(6): 36-38. DOI:10.11963/cc20220080.</w:t>
            </w:r>
          </w:p>
          <w:p w14:paraId="18611C2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[2] 丁法龙, 茅泽育, 王文娥, 等. 滴灌管主流道沿程压力分布模型及验证[J]. 农业工程学报, 2019, 35(3): 117-124. DOI:10.11975/j.issn.1002-6819.2019.03.015.</w:t>
            </w:r>
          </w:p>
          <w:p w14:paraId="26C8FAD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[3] 付建民, 赵振洋, 陈国明, 等. 液相管道流量与压力对小孔泄漏速率的影响[J]. 石油学报, 2016, 37(2): 257-265. DOI:10.7623/syxb201602013.</w:t>
            </w:r>
          </w:p>
          <w:p w14:paraId="5509C77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[4] 张晔. 棉花膜下“一管四行”滴灌工程设计探讨[J]. 水资源开发与管理, 2019(2): 16-19. DOI:10.16616/j.cnki.10-1326/TV.2019.02.04.</w:t>
            </w:r>
          </w:p>
          <w:p w14:paraId="56E8BC0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[5] 孟祥, 赵莹, 徐卓威, 等. 基于LoRa技术的农田智能灌溉系统设计[J]. 中国农机化学报, 2023, 44(9): 161-168. DOI:10.13733/j.jcam.issn.2095-5553.2023.09.023.</w:t>
            </w:r>
          </w:p>
          <w:p w14:paraId="0EFAE5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[6] Petit J, García S M, Molle B, et al. Methods for drip irrigation clogging detection, analysis and understanding: State of the art and perspectives[J]. Agricultural Water Management, 2022, 272: 107873. DOI:10.1016/j.agwat.2022.107873.</w:t>
            </w:r>
          </w:p>
          <w:p w14:paraId="1708335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[7] Loukatos D, Fragkos A, Londra P, et al. A Simple Platform for Emulating Irrigation Scenarios and Its Applicability for Big Data Collection Toward Water Preservation via In Situ Experiments[J]. Land, 2026, 15(3): 464. DOI:10.3390/land15030464.</w:t>
            </w:r>
          </w:p>
          <w:p w14:paraId="545CC6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[8] Lozoya C, Favela-Contreras A, Aguilar-Gonzalez A, et al. Energy-Efficient Wireless Communication Strategy for Precision Agriculture Irrigation Control[J]. Sensors, 2021, 21(16): 5541. DOI:10.3390/s21165541.</w:t>
            </w:r>
          </w:p>
        </w:tc>
      </w:tr>
      <w:tr w14:paraId="3C71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057BDB8D">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五、项目的特色与创新点</w:t>
            </w:r>
            <w:r>
              <w:br w:type="textWrapping"/>
            </w:r>
            <w:r>
              <w:rPr>
                <w:rFonts w:ascii="Times New Roman" w:hAnsi="Times New Roman" w:eastAsia="宋体"/>
                <w:sz w:val="21"/>
                <w:szCs w:val="21"/>
              </w:rPr>
              <w:t>（1）面向南疆棉田支管巡检的联合判断。将两个压力测点与流量观测结合，以正常运行数据建立参照，减少单一流量报警难以区分正常调节和故障的问题。节点给出异常候选及变化依据，平台关联支管编号、测点区段和建议检查部位，形成感知、提示、核查和复测相衔接的系统功能。对现有观测难以区分的情况保留人工核查，并通过测点对照验证联合观测的实际作用。</w:t>
            </w:r>
          </w:p>
          <w:p w14:paraId="0EE2F21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2）围绕健康参照开展渐进异常辨识与工况适配。以双压力和流量建立正常运行关系，结合稳健门限、双时间窗和连续确认提示渐进变化。通过固定参照与重新标定对照，分析不同负载和供压下的判断变化，将工况记录与复测纳入验证，减少把正常调节直接判为故障的情况。研究重点在于可复核的早期提示及参照适用范围，并由独立故障操作检验。</w:t>
            </w:r>
          </w:p>
          <w:p w14:paraId="36445B3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3）将事件触发采集与可靠告警结合。正常阶段按设定周期观测，出现持续变化后加密采集，并结合异常优先发送、接收确认和恢复重传保存事件。项目分别比较读取次数、发送次数和提示及时性，实物阶段再测量整机电流，评价策略的收益与代价。通过同一事件贯穿节点、接收平台及人工复测，使采集优化与巡检功能在同一系统中得到验证。</w:t>
            </w:r>
          </w:p>
        </w:tc>
      </w:tr>
      <w:tr w14:paraId="192DE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179505F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六、项目预期成果</w:t>
            </w:r>
            <w:r>
              <w:br w:type="textWrapping"/>
            </w:r>
            <w:r>
              <w:rPr>
                <w:rFonts w:ascii="Times New Roman" w:hAnsi="Times New Roman" w:eastAsia="宋体"/>
                <w:sz w:val="21"/>
                <w:szCs w:val="21"/>
              </w:rPr>
              <w:t>预期研制1套支管故障诊断物联网原型，包括双压力—流量感知节点、LoRa接收端、双支路清水台架和桌面巡检软件。完成稳定采集、异常提示、可靠接收、核查复测与模拟控制流程，提交结构和接口设计、节点及前后端程序、使用说明与结题报告，形成可演示、可重复验证的系统。</w:t>
            </w:r>
          </w:p>
          <w:p w14:paraId="025765C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整理形成标定、故障、正常调节、采集策略和通信对照等原始数据，按表2完成主要故障操作及相关验证。配套提交标定曲线、测试记录和结果分析，说明原型的测量范围、故障提示效果及采集通信方案的取舍，形成能够复核的研究报告。软件成果按实际开发内容整理著作权申请材料。</w:t>
            </w:r>
          </w:p>
          <w:p w14:paraId="07E853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形成1篇以实测数据为基础的研究论文稿，围绕跨工况故障辨识或事件采集策略，完成对照试验、结果分析和投稿。项目在规定周期内完成原型及结题报告，论文投稿与修订按实际研究进度推进，录用、发表结果依据真实证明登记。</w:t>
            </w:r>
          </w:p>
        </w:tc>
      </w:tr>
      <w:tr w14:paraId="70E0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69FDEC1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七、项目年度目标和工作内容（按年度写）</w:t>
            </w:r>
            <w:r>
              <w:br w:type="textWrapping"/>
            </w:r>
            <w:r>
              <w:rPr>
                <w:rFonts w:ascii="宋体" w:hAnsi="宋体" w:eastAsia="宋体"/>
                <w:sz w:val="21"/>
                <w:szCs w:val="21"/>
              </w:rPr>
              <w:t>项目周期为2027年3月至2028年2月。2027年完成台架与节点、诊断及采集策略对照、无线与平台联调，形成数据和软件成果；2028年1—2月补验证并结项。阶段交付按表3核验，正式评价前固定方法和数据版本，论文以实测结果组织。</w:t>
            </w:r>
          </w:p>
          <w:p w14:paraId="0AD4DA90">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p w14:paraId="629DF3B9">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表3 项目实施进度与阶段验收</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921"/>
              <w:gridCol w:w="3201"/>
              <w:gridCol w:w="3948"/>
            </w:tblGrid>
            <w:tr w14:paraId="0AD6F9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921" w:type="dxa"/>
                  <w:tcBorders>
                    <w:top w:val="single" w:color="000000" w:sz="12" w:space="0"/>
                    <w:left w:val="nil"/>
                    <w:bottom w:val="single" w:color="000000" w:sz="4" w:space="0"/>
                    <w:right w:val="nil"/>
                    <w:tl2br w:val="nil"/>
                    <w:tr2bl w:val="nil"/>
                  </w:tcBorders>
                  <w:shd w:val="clear" w:color="auto" w:fill="FFFFFF"/>
                  <w:vAlign w:val="center"/>
                </w:tcPr>
                <w:p w14:paraId="2AB02D4D">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时段</w:t>
                  </w:r>
                </w:p>
              </w:tc>
              <w:tc>
                <w:tcPr>
                  <w:tcW w:w="3201" w:type="dxa"/>
                  <w:tcBorders>
                    <w:top w:val="single" w:color="000000" w:sz="12" w:space="0"/>
                    <w:left w:val="nil"/>
                    <w:bottom w:val="single" w:color="000000" w:sz="4" w:space="0"/>
                    <w:right w:val="nil"/>
                    <w:tl2br w:val="nil"/>
                    <w:tr2bl w:val="nil"/>
                  </w:tcBorders>
                  <w:shd w:val="clear" w:color="auto" w:fill="FFFFFF"/>
                  <w:vAlign w:val="center"/>
                </w:tcPr>
                <w:p w14:paraId="4F4080FB">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工作与交付</w:t>
                  </w:r>
                </w:p>
              </w:tc>
              <w:tc>
                <w:tcPr>
                  <w:tcW w:w="3948" w:type="dxa"/>
                  <w:tcBorders>
                    <w:top w:val="single" w:color="000000" w:sz="12" w:space="0"/>
                    <w:left w:val="nil"/>
                    <w:bottom w:val="single" w:color="000000" w:sz="4" w:space="0"/>
                    <w:right w:val="nil"/>
                    <w:tl2br w:val="nil"/>
                    <w:tr2bl w:val="nil"/>
                  </w:tcBorders>
                  <w:shd w:val="clear" w:color="auto" w:fill="FFFFFF"/>
                  <w:vAlign w:val="center"/>
                </w:tcPr>
                <w:p w14:paraId="14CA3BD6">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阶段验收要求</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single" w:color="000000" w:sz="4" w:space="0"/>
                    <w:left w:val="nil"/>
                    <w:bottom w:val="nil"/>
                    <w:right w:val="nil"/>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2027年3—4月</w:t>
                  </w:r>
                </w:p>
              </w:tc>
              <w:tc>
                <w:tcPr>
                  <w:tcW w:w="3201" w:type="dxa"/>
                  <w:tcBorders>
                    <w:top w:val="single" w:color="000000" w:sz="4" w:space="0"/>
                    <w:left w:val="nil"/>
                    <w:bottom w:val="nil"/>
                    <w:right w:val="nil"/>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器件选型与装配、参考标定、健康关系及有线采集</w:t>
                  </w:r>
                </w:p>
              </w:tc>
              <w:tc>
                <w:tcPr>
                  <w:tcW w:w="3948" w:type="dxa"/>
                  <w:tcBorders>
                    <w:top w:val="single" w:color="000000" w:sz="4" w:space="0"/>
                    <w:left w:val="nil"/>
                    <w:bottom w:val="nil"/>
                    <w:right w:val="nil"/>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原始读数完整，量程与误差明确，目标变化可测且可重复</w:t>
                  </w:r>
                </w:p>
              </w:tc>
            </w:tr>
            <w:tr w14:paraId="15AA581F">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6935A47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2027年5—6月</w:t>
                  </w:r>
                </w:p>
              </w:tc>
              <w:tc>
                <w:tcPr>
                  <w:tcW w:w="3201" w:type="dxa"/>
                  <w:tcBorders>
                    <w:top w:val="nil"/>
                    <w:left w:val="nil"/>
                    <w:bottom w:val="nil"/>
                    <w:right w:val="nil"/>
                    <w:tl2br w:val="nil"/>
                    <w:tr2bl w:val="nil"/>
                  </w:tcBorders>
                  <w:shd w:val="clear" w:color="auto" w:fill="FFFFFF"/>
                  <w:vAlign w:val="center"/>
                </w:tcPr>
                <w:p w14:paraId="15207CA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Times New Roman" w:hAnsi="Times New Roman" w:eastAsia="宋体"/>
                      <w:sz w:val="21"/>
                      <w:szCs w:val="21"/>
                    </w:rPr>
                    <w:t>诊断与分级采集、独立故障及正常干扰、参照适配对照</w:t>
                  </w:r>
                </w:p>
              </w:tc>
              <w:tc>
                <w:tcPr>
                  <w:tcW w:w="3948" w:type="dxa"/>
                  <w:tcBorders>
                    <w:top w:val="nil"/>
                    <w:left w:val="nil"/>
                    <w:bottom w:val="nil"/>
                    <w:right w:val="nil"/>
                    <w:tl2br w:val="nil"/>
                    <w:tr2bl w:val="nil"/>
                  </w:tcBorders>
                  <w:shd w:val="clear" w:color="auto" w:fill="FFFFFF"/>
                  <w:vAlign w:val="center"/>
                </w:tcPr>
                <w:p w14:paraId="1924A6C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固定参照和阈值；操作标签与参考测量对应，试次评价完整</w:t>
                  </w:r>
                </w:p>
              </w:tc>
            </w:tr>
            <w:tr w14:paraId="703D1E8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86E9AC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2027年7—8月</w:t>
                  </w:r>
                </w:p>
              </w:tc>
              <w:tc>
                <w:tcPr>
                  <w:tcW w:w="3201" w:type="dxa"/>
                  <w:tcBorders>
                    <w:top w:val="nil"/>
                    <w:left w:val="nil"/>
                    <w:bottom w:val="nil"/>
                    <w:right w:val="nil"/>
                    <w:tl2br w:val="nil"/>
                    <w:tr2bl w:val="nil"/>
                  </w:tcBorders>
                  <w:shd w:val="clear" w:color="auto" w:fill="FFFFFF"/>
                  <w:vAlign w:val="center"/>
                </w:tcPr>
                <w:p w14:paraId="264F540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Times New Roman" w:hAnsi="Times New Roman" w:eastAsia="宋体"/>
                      <w:sz w:val="21"/>
                      <w:szCs w:val="21"/>
                    </w:rPr>
                    <w:t>真实无线与串口接入、本地平台、IO演示及处置复测</w:t>
                  </w:r>
                </w:p>
              </w:tc>
              <w:tc>
                <w:tcPr>
                  <w:tcW w:w="3948" w:type="dxa"/>
                  <w:tcBorders>
                    <w:top w:val="nil"/>
                    <w:left w:val="nil"/>
                    <w:bottom w:val="nil"/>
                    <w:right w:val="nil"/>
                    <w:tl2br w:val="nil"/>
                    <w:tr2bl w:val="nil"/>
                  </w:tcBorders>
                  <w:shd w:val="clear" w:color="auto" w:fill="FFFFFF"/>
                  <w:vAlign w:val="center"/>
                </w:tcPr>
                <w:p w14:paraId="60AEDEA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完整事件流程可追溯，完成连续运行、重启与恢复测试</w:t>
                  </w:r>
                </w:p>
              </w:tc>
            </w:tr>
            <w:tr w14:paraId="787D7A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576E76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2027年9—10月</w:t>
                  </w:r>
                </w:p>
              </w:tc>
              <w:tc>
                <w:tcPr>
                  <w:tcW w:w="3201" w:type="dxa"/>
                  <w:tcBorders>
                    <w:top w:val="nil"/>
                    <w:left w:val="nil"/>
                    <w:bottom w:val="nil"/>
                    <w:right w:val="nil"/>
                    <w:tl2br w:val="nil"/>
                    <w:tr2bl w:val="nil"/>
                  </w:tcBorders>
                  <w:shd w:val="clear" w:color="auto" w:fill="FFFFFF"/>
                  <w:vAlign w:val="center"/>
                </w:tcPr>
                <w:p w14:paraId="0B32EEA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留出批次、基线与测点对照、关键边界补实验及</w:t>
                  </w:r>
                  <w:r>
                    <w:rPr>
                      <w:rFonts w:hint="eastAsia" w:ascii="宋体" w:hAnsi="宋体"/>
                      <w:b w:val="0"/>
                      <w:color w:val="000000"/>
                      <w:sz w:val="21"/>
                      <w:szCs w:val="21"/>
                      <w:lang w:val="en-US" w:eastAsia="zh-CN"/>
                    </w:rPr>
                    <w:t>软著申请</w:t>
                  </w:r>
                </w:p>
              </w:tc>
              <w:tc>
                <w:tcPr>
                  <w:tcW w:w="3948" w:type="dxa"/>
                  <w:tcBorders>
                    <w:top w:val="nil"/>
                    <w:left w:val="nil"/>
                    <w:bottom w:val="nil"/>
                    <w:right w:val="nil"/>
                    <w:tl2br w:val="nil"/>
                    <w:tr2bl w:val="nil"/>
                  </w:tcBorders>
                  <w:shd w:val="clear" w:color="auto" w:fill="FFFFFF"/>
                  <w:vAlign w:val="center"/>
                </w:tcPr>
                <w:p w14:paraId="1E5D13C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数据和方法版本固定，统计及失败条件可复核</w:t>
                  </w:r>
                </w:p>
              </w:tc>
            </w:tr>
            <w:tr w14:paraId="1C6E847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EDB576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2027年11—12月</w:t>
                  </w:r>
                </w:p>
              </w:tc>
              <w:tc>
                <w:tcPr>
                  <w:tcW w:w="3201" w:type="dxa"/>
                  <w:tcBorders>
                    <w:top w:val="nil"/>
                    <w:left w:val="nil"/>
                    <w:bottom w:val="nil"/>
                    <w:right w:val="nil"/>
                    <w:tl2br w:val="nil"/>
                    <w:tr2bl w:val="nil"/>
                  </w:tcBorders>
                  <w:shd w:val="clear" w:color="auto" w:fill="FFFFFF"/>
                  <w:vAlign w:val="center"/>
                </w:tcPr>
                <w:p w14:paraId="689D001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原型完善、研究报告</w:t>
                  </w:r>
                </w:p>
              </w:tc>
              <w:tc>
                <w:tcPr>
                  <w:tcW w:w="3948" w:type="dxa"/>
                  <w:tcBorders>
                    <w:top w:val="nil"/>
                    <w:left w:val="nil"/>
                    <w:bottom w:val="nil"/>
                    <w:right w:val="nil"/>
                    <w:tl2br w:val="nil"/>
                    <w:tr2bl w:val="nil"/>
                  </w:tcBorders>
                  <w:shd w:val="clear" w:color="auto" w:fill="FFFFFF"/>
                  <w:vAlign w:val="center"/>
                </w:tcPr>
                <w:p w14:paraId="291448C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实验结论与原始数据一致，文稿与系统说明完整</w:t>
                  </w:r>
                </w:p>
              </w:tc>
            </w:tr>
            <w:tr w14:paraId="67E5A30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single" w:color="000000" w:sz="12" w:space="0"/>
                    <w:right w:val="nil"/>
                    <w:tl2br w:val="nil"/>
                    <w:tr2bl w:val="nil"/>
                  </w:tcBorders>
                  <w:shd w:val="clear" w:color="auto" w:fill="FFFFFF"/>
                  <w:vAlign w:val="center"/>
                </w:tcPr>
                <w:p w14:paraId="0C79A9B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2028年1—2月</w:t>
                  </w:r>
                </w:p>
              </w:tc>
              <w:tc>
                <w:tcPr>
                  <w:tcW w:w="3201" w:type="dxa"/>
                  <w:tcBorders>
                    <w:top w:val="nil"/>
                    <w:left w:val="nil"/>
                    <w:bottom w:val="single" w:color="000000" w:sz="12" w:space="0"/>
                    <w:right w:val="nil"/>
                    <w:tl2br w:val="nil"/>
                    <w:tr2bl w:val="nil"/>
                  </w:tcBorders>
                  <w:shd w:val="clear" w:color="auto" w:fill="FFFFFF"/>
                  <w:vAlign w:val="center"/>
                </w:tcPr>
                <w:p w14:paraId="07F6D5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补验证、成果整理与结项</w:t>
                  </w:r>
                </w:p>
              </w:tc>
              <w:tc>
                <w:tcPr>
                  <w:tcW w:w="3948" w:type="dxa"/>
                  <w:tcBorders>
                    <w:top w:val="nil"/>
                    <w:left w:val="nil"/>
                    <w:bottom w:val="single" w:color="000000" w:sz="12" w:space="0"/>
                    <w:right w:val="nil"/>
                    <w:tl2br w:val="nil"/>
                    <w:tr2bl w:val="nil"/>
                  </w:tcBorders>
                  <w:shd w:val="clear" w:color="auto" w:fill="FFFFFF"/>
                  <w:vAlign w:val="center"/>
                </w:tcPr>
                <w:p w14:paraId="51F5580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按任务要求提交原型、数据、程序及报告，成果证明据实归档</w:t>
                  </w:r>
                </w:p>
              </w:tc>
            </w:tr>
          </w:tbl>
          <w:p w14:paraId="0386B1A7">
            <w:pPr>
              <w:keepNext w:val="0"/>
              <w:keepLines/>
              <w:spacing w:line="20" w:lineRule="exact"/>
              <w:jc w:val="both"/>
              <w:rPr>
                <w:rFonts w:hint="default" w:ascii="Times New Roman" w:hAnsi="Times New Roman" w:cs="Times New Roman"/>
                <w:sz w:val="2"/>
                <w:szCs w:val="28"/>
                <w:vertAlign w:val="baseline"/>
                <w:lang w:val="en-US" w:eastAsia="zh-CN"/>
              </w:rPr>
            </w:pPr>
          </w:p>
          <w:p w14:paraId="00CD92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项目按方案论证、原型研制和研究成果三个阶段推进。申报阶段以系统设计、可复现模型及软件验证说明任务可行性；实施阶段完成台架、节点、无线与平台联调，并开展独立试验；成果阶段整理原始记录、研究报告和论文初稿。各阶段围绕同一巡检问题展开，仿真用于前期准备，原型性能以实测结果验收。</w:t>
            </w:r>
          </w:p>
        </w:tc>
      </w:tr>
      <w:tr w14:paraId="4281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1432828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八、已有基础</w:t>
            </w:r>
            <w:r>
              <w:br w:type="textWrapping"/>
            </w:r>
            <w:r>
              <w:rPr>
                <w:rFonts w:ascii="宋体" w:hAnsi="宋体" w:eastAsia="宋体"/>
                <w:b/>
                <w:sz w:val="21"/>
                <w:szCs w:val="21"/>
              </w:rPr>
              <w:t>1 系统设计与前期论证</w:t>
            </w:r>
            <w:r>
              <w:br w:type="textWrapping"/>
            </w:r>
            <w:r>
              <w:rPr>
                <w:rFonts w:ascii="Times New Roman" w:hAnsi="Times New Roman" w:eastAsia="宋体"/>
                <w:sz w:val="21"/>
                <w:szCs w:val="21"/>
              </w:rPr>
              <w:t>前期已完成文献梳理、双支路水路设计、参数化装配、采集接口分析和本地巡检软件。台架模型含207个有效实体，测点顺序与水路一致，支持整体、电气和泄漏计量局部查看；已检查防溅板交集、局部间隙与容器取放。现有成果为设计、仿真和主机软件，实物节点、无线射频及田间应用在实施阶段验证。</w:t>
            </w:r>
          </w:p>
          <w:p w14:paraId="4F965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图9比较固定门限、稳健门限及稳健门限与累积判据组合。三组使用相同测量前端、窗口和确认条件，对泄漏、局部受限及长时正常轨迹进行合成回放，覆盖三档压力噪声和12个测试种子。该对照用于选择节点方法，全部试次及失败结果按原记录保留。</w:t>
            </w:r>
          </w:p>
          <w:p w14:paraId="7A5BFDA1">
            <w:pPr>
              <w:keepNext w:val="0"/>
              <w:keepLines/>
              <w:numPr>
                <w:ilvl w:val="0"/>
                <w:numId w:val="0"/>
              </w:numPr>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4" o:spt="75" alt="图9 不同压力噪声条件下的有效早期识别结果（仿真）" type="#_x0000_t75" style="height:360pt;width:400pt;" filled="f" o:preferrelative="t" stroked="f" coordsize="21600,21600">
                  <v:path/>
                  <v:fill on="f" focussize="0,0"/>
                  <v:stroke on="f"/>
                  <v:imagedata r:id="rId14" o:title="noise_outcomes_prin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图9 候选判据的有效早期与正常误报对照</w:t>
            </w:r>
            <w:bookmarkStart w:id="0" w:name="_GoBack"/>
            <w:bookmarkEnd w:id="0"/>
          </w:p>
          <w:p w14:paraId="5AEA0DC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在0.3、3 kPa噪声下，两类故障均为12/12条有效早期；10 kPa时固定门限降为1/12，稳健门限和累积组合保持12/12。长时正常对照中，稳健门限三档均无确认误报，固定门限与累积组合分别出现误报。结果支持优先部署稳健门限，并在实物阶段检验其实际效果。</w:t>
            </w:r>
          </w:p>
          <w:p w14:paraId="36A923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前期还构造了未知正常负载、压力漂移及负载规律失配反例。图10显示，未知负载增加可与等效泄漏产生相同观测，上游压力</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Times New Roman" w:hAnsi="Times New Roman" w:eastAsia="宋体"/>
                <w:sz w:val="21"/>
                <w:szCs w:val="21"/>
              </w:rPr>
              <w:t>偏移也可能形成受限候选。稳健门限能够抑制随机波动，却不能替代工况信息和独立核查。因此，试验纳入操作记录、健康标定与跨负载留出评价。</w:t>
            </w:r>
          </w:p>
          <w:p w14:paraId="4E89EC37">
            <w:pPr>
              <w:keepNext w:val="0"/>
              <w:keepLines/>
              <w:numPr>
                <w:ilvl w:val="0"/>
                <w:numId w:val="0"/>
              </w:numPr>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5" o:spt="75" alt="图10 负载变化与压力漂移的诊断影响（仿真）" type="#_x0000_t75" style="height:341pt;width:420pt;" filled="f" o:preferrelative="t" stroked="f" coordsize="21600,21600">
                  <v:path/>
                  <v:fill on="f" focussize="0,0"/>
                  <v:stroke on="f"/>
                  <v:imagedata r:id="rId15" o:title="failure_counterexampl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图10 初始K/R判据的负载歧义与压力漂移反例（仿真）</w:t>
            </w:r>
          </w:p>
          <w:p w14:paraId="68EEDF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诊断程序已完成健康参照、稳健门限和测量质量检查。便携C整数内核与主机参考程序在216条合成轨迹、130,896次更新中的九字段输出一致，边界舍入与插值差异另有记录。当前固定1 Hz基线采用十秒主窗、五次确认，三秒短窗形成关注提示，为STM32移植提供程序基础。</w:t>
            </w:r>
          </w:p>
          <w:p w14:paraId="3BEB3391">
            <w:pPr>
              <w:keepNext w:val="1"/>
              <w:keepLines/>
              <w:widowControl/>
              <w:spacing w:before="0" w:after="80" w:line="240" w:lineRule="auto"/>
              <w:jc w:val="both"/>
              <w:rPr>
                <w:rFonts w:hint="default" w:ascii="Times New Roman" w:hAnsi="Times New Roman" w:eastAsia="宋体" w:cs="Times New Roman"/>
                <w:b w:val="0"/>
                <w:color w:val="000000"/>
                <w:sz w:val="21"/>
                <w:szCs w:val="28"/>
                <w:lang w:val="en-US" w:eastAsia="zh-CN"/>
              </w:rPr>
            </w:pPr>
            <w:r>
              <w:rPr>
                <w:rFonts w:ascii="宋体" w:hAnsi="宋体" w:eastAsia="宋体"/>
                <w:b/>
                <w:color w:val="000000"/>
                <w:sz w:val="21"/>
                <w:szCs w:val="21"/>
              </w:rPr>
              <w:t>2 协议与平台软件</w:t>
            </w:r>
          </w:p>
          <w:p w14:paraId="295DDC90">
            <w:pPr>
              <w:keepNext w:val="0"/>
              <w:keepLines/>
              <w:widowControl/>
              <w:spacing w:before="0" w:after="80" w:line="240" w:lineRule="auto"/>
              <w:jc w:val="both"/>
              <w:rPr>
                <w:rFonts w:hint="default" w:ascii="Times New Roman" w:hAnsi="Times New Roman" w:eastAsia="宋体" w:cs="Times New Roman"/>
                <w:b w:val="0"/>
                <w:color w:val="000000"/>
                <w:sz w:val="21"/>
                <w:szCs w:val="28"/>
                <w:lang w:val="en-US" w:eastAsia="zh-CN"/>
              </w:rPr>
            </w:pPr>
            <w:r>
              <w:rPr>
                <w:rFonts w:ascii="Times New Roman" w:hAnsi="Times New Roman" w:eastAsia="宋体"/>
                <w:sz w:val="21"/>
                <w:szCs w:val="21"/>
              </w:rPr>
              <w:t>采集适配与通信状态已在主机联调，覆盖缺测、越量程、计数复位、重复报文和确认丢失。80组通信回放包括正常链路、随机丢失及受控中断，正常组收到全部生成事件；其他组保留丢失、拒绝和过期记录。节点日志与真实射频恢复将在后续联调中验证。</w:t>
            </w:r>
          </w:p>
          <w:p w14:paraId="60A3609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巡检平台已接入C回放、Python服务和SQLite，提供27组合成轨迹及独立核查记录。桌面封装支持八页操作、可暂停回放、压力与流量曲线、三维测点聚焦、CSV/JSON保存和重启后恢复。两种EXE在当前电脑完成启动、操作、保存与恢复检查，当前界面使用合成数据，图8展示实际运行页面。</w:t>
            </w:r>
          </w:p>
          <w:p w14:paraId="3B9B252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分级采集仿真共432组，改变种子、噪声、场景及读取相位。固定1秒组的渐进泄漏与受限均为9/9有效早期，2秒巡航组为17/18，5秒组分别为39/45和42/45。读取次数随周期延长减少，响应代价也随之出现；项目据此保留1 Hz主线，并继续研究2秒、5秒策略。</w:t>
            </w:r>
          </w:p>
          <w:p w14:paraId="1FBAF5F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72组未见工况C测试显示，参照负载规律匹配时效果较稳定，失配时出现正常误报。这说明调整门限不足以解决跨工况问题。平台已提供多供压健康曲线拟合，候选参照经独立健康数据核验后启用，后续用实测批次比较固定参照与重新标定。</w:t>
            </w:r>
          </w:p>
          <w:p w14:paraId="573CEE5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控制请求已接入页面和数据库，能够区分请求、软件接收、模拟输出及人工复位，并保留重复命令和重启后的状态。节点IO仍待联调，现有程序为LED或蜂鸣器演示提供基础。</w:t>
            </w:r>
          </w:p>
        </w:tc>
      </w:tr>
      <w:tr w14:paraId="0668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0" w:hRule="atLeast"/>
          <w:jc w:val="center"/>
        </w:trPr>
        <w:tc>
          <w:tcPr>
            <w:tcW w:w="9286" w:type="dxa"/>
            <w:gridSpan w:val="9"/>
            <w:noWrap w:val="0"/>
            <w:vAlign w:val="top"/>
          </w:tcPr>
          <w:p w14:paraId="1F4BCD80">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九、项目经费使用计划</w:t>
            </w:r>
          </w:p>
          <w:p w14:paraId="6D34067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p>
        </w:tc>
      </w:tr>
      <w:tr w14:paraId="061D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77A5EB25">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25326007">
            <w:pPr>
              <w:keepNext/>
              <w:spacing w:before="156" w:beforeLines="50"/>
              <w:rPr>
                <w:rFonts w:hint="eastAsia"/>
                <w:b/>
              </w:rPr>
            </w:pPr>
          </w:p>
        </w:tc>
        <w:tc>
          <w:tcPr>
            <w:tcW w:w="3421" w:type="dxa"/>
            <w:gridSpan w:val="2"/>
            <w:noWrap w:val="0"/>
            <w:vAlign w:val="top"/>
          </w:tcPr>
          <w:p w14:paraId="1010124C">
            <w:pPr>
              <w:keepNext/>
              <w:spacing w:before="156" w:beforeLines="50"/>
              <w:rPr>
                <w:rFonts w:hint="eastAsia"/>
                <w:b/>
              </w:rPr>
            </w:pPr>
          </w:p>
        </w:tc>
      </w:tr>
      <w:tr w14:paraId="3C61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500A16B1">
            <w:pPr>
              <w:keepNext/>
              <w:spacing w:before="156" w:beforeLines="50"/>
              <w:rPr>
                <w:rFonts w:hint="eastAsia"/>
                <w:b/>
              </w:rPr>
            </w:pPr>
          </w:p>
        </w:tc>
        <w:tc>
          <w:tcPr>
            <w:tcW w:w="3050" w:type="dxa"/>
            <w:gridSpan w:val="2"/>
            <w:noWrap w:val="0"/>
            <w:vAlign w:val="top"/>
          </w:tcPr>
          <w:p w14:paraId="5EBA5152">
            <w:pPr>
              <w:keepNext/>
              <w:spacing w:before="156" w:beforeLines="50"/>
              <w:rPr>
                <w:rFonts w:hint="eastAsia"/>
                <w:b/>
              </w:rPr>
            </w:pPr>
          </w:p>
        </w:tc>
        <w:tc>
          <w:tcPr>
            <w:tcW w:w="3421" w:type="dxa"/>
            <w:gridSpan w:val="2"/>
            <w:noWrap w:val="0"/>
            <w:vAlign w:val="top"/>
          </w:tcPr>
          <w:p w14:paraId="328D95B2">
            <w:pPr>
              <w:keepNext/>
              <w:spacing w:before="156" w:beforeLines="50"/>
              <w:rPr>
                <w:rFonts w:hint="eastAsia"/>
                <w:b/>
              </w:rPr>
            </w:pPr>
          </w:p>
        </w:tc>
      </w:tr>
      <w:tr w14:paraId="0196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318076D0">
            <w:pPr>
              <w:keepNext w:val="0"/>
              <w:spacing w:before="156" w:beforeLines="50"/>
              <w:rPr>
                <w:rFonts w:hint="eastAsia"/>
                <w:b/>
              </w:rPr>
            </w:pPr>
          </w:p>
        </w:tc>
        <w:tc>
          <w:tcPr>
            <w:tcW w:w="3050" w:type="dxa"/>
            <w:gridSpan w:val="2"/>
            <w:noWrap w:val="0"/>
            <w:vAlign w:val="top"/>
          </w:tcPr>
          <w:p w14:paraId="2A7FC937">
            <w:pPr>
              <w:keepNext w:val="0"/>
              <w:spacing w:before="156" w:beforeLines="50"/>
              <w:rPr>
                <w:rFonts w:hint="eastAsia"/>
                <w:b/>
              </w:rPr>
            </w:pPr>
          </w:p>
        </w:tc>
        <w:tc>
          <w:tcPr>
            <w:tcW w:w="3421" w:type="dxa"/>
            <w:gridSpan w:val="2"/>
            <w:noWrap w:val="0"/>
            <w:vAlign w:val="top"/>
          </w:tcPr>
          <w:p w14:paraId="0C34011F">
            <w:pPr>
              <w:keepNext w:val="0"/>
              <w:spacing w:before="156" w:beforeLines="50"/>
              <w:rPr>
                <w:rFonts w:hint="eastAsia"/>
                <w:b/>
              </w:rPr>
            </w:pPr>
          </w:p>
        </w:tc>
      </w:tr>
      <w:tr w14:paraId="21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525AC1DF">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2F3BAEC7">
            <w:pPr>
              <w:rPr>
                <w:rFonts w:hint="eastAsia" w:ascii="宋体" w:hAnsi="宋体"/>
              </w:rPr>
            </w:pPr>
          </w:p>
          <w:p w14:paraId="5E13975A">
            <w:pPr>
              <w:rPr>
                <w:rFonts w:hint="eastAsia" w:ascii="宋体" w:hAnsi="宋体"/>
              </w:rPr>
            </w:pPr>
          </w:p>
          <w:p w14:paraId="41EB61EE">
            <w:pPr>
              <w:rPr>
                <w:rFonts w:hint="eastAsia" w:ascii="宋体" w:hAnsi="宋体"/>
              </w:rPr>
            </w:pPr>
          </w:p>
          <w:p w14:paraId="0475BEC9">
            <w:pPr>
              <w:rPr>
                <w:rFonts w:hint="eastAsia" w:ascii="宋体" w:hAnsi="宋体"/>
              </w:rPr>
            </w:pPr>
          </w:p>
          <w:p w14:paraId="62FAA5E9">
            <w:pPr>
              <w:rPr>
                <w:rFonts w:hint="eastAsia" w:ascii="宋体" w:hAnsi="宋体"/>
              </w:rPr>
            </w:pPr>
          </w:p>
          <w:p w14:paraId="4F117AFA">
            <w:pPr>
              <w:rPr>
                <w:rFonts w:hint="eastAsia" w:ascii="宋体" w:hAnsi="宋体"/>
              </w:rPr>
            </w:pPr>
          </w:p>
          <w:p w14:paraId="603D5520">
            <w:pPr>
              <w:rPr>
                <w:rFonts w:hint="eastAsia" w:ascii="宋体" w:hAnsi="宋体"/>
              </w:rPr>
            </w:pPr>
          </w:p>
          <w:p w14:paraId="6F4594DD">
            <w:pPr>
              <w:rPr>
                <w:rFonts w:hint="eastAsia" w:ascii="宋体" w:hAnsi="宋体"/>
              </w:rPr>
            </w:pPr>
          </w:p>
          <w:p w14:paraId="05637EA5">
            <w:pPr>
              <w:rPr>
                <w:rFonts w:hint="eastAsia" w:ascii="宋体" w:hAnsi="宋体"/>
              </w:rPr>
            </w:pPr>
          </w:p>
          <w:p w14:paraId="4950C468">
            <w:pPr>
              <w:rPr>
                <w:rFonts w:hint="eastAsia" w:ascii="宋体" w:hAnsi="宋体"/>
                <w:szCs w:val="21"/>
              </w:rPr>
            </w:pPr>
          </w:p>
          <w:p w14:paraId="7974064F">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162870A8">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58F1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7" w:hRule="atLeast"/>
          <w:jc w:val="center"/>
        </w:trPr>
        <w:tc>
          <w:tcPr>
            <w:tcW w:w="9286" w:type="dxa"/>
            <w:gridSpan w:val="9"/>
            <w:noWrap w:val="0"/>
            <w:vAlign w:val="top"/>
          </w:tcPr>
          <w:p w14:paraId="78FFD152">
            <w:pPr>
              <w:keepNext/>
              <w:pageBreakBefore/>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2B553DE0">
            <w:pPr>
              <w:keepNext/>
              <w:rPr>
                <w:rFonts w:hint="eastAsia" w:ascii="宋体" w:hAnsi="宋体"/>
              </w:rPr>
            </w:pPr>
          </w:p>
          <w:p w14:paraId="4BC3B6E9">
            <w:pPr>
              <w:keepNext/>
              <w:rPr>
                <w:rFonts w:hint="eastAsia" w:ascii="宋体" w:hAnsi="宋体"/>
              </w:rPr>
            </w:pPr>
          </w:p>
          <w:p w14:paraId="579AC6B1">
            <w:pPr>
              <w:keepNext/>
              <w:rPr>
                <w:rFonts w:hint="eastAsia" w:ascii="宋体" w:hAnsi="宋体"/>
              </w:rPr>
            </w:pPr>
          </w:p>
          <w:p w14:paraId="0D2A5269">
            <w:pPr>
              <w:keepNext/>
              <w:rPr>
                <w:rFonts w:hint="eastAsia" w:ascii="宋体" w:hAnsi="宋体"/>
              </w:rPr>
            </w:pPr>
          </w:p>
          <w:p w14:paraId="210892A5">
            <w:pPr>
              <w:keepNext/>
              <w:rPr>
                <w:rFonts w:hint="eastAsia" w:ascii="宋体" w:hAnsi="宋体"/>
              </w:rPr>
            </w:pPr>
          </w:p>
          <w:p w14:paraId="31739BEB">
            <w:pPr>
              <w:keepNext/>
              <w:rPr>
                <w:rFonts w:hint="eastAsia" w:ascii="宋体" w:hAnsi="宋体"/>
              </w:rPr>
            </w:pPr>
          </w:p>
          <w:p w14:paraId="2310681F">
            <w:pPr>
              <w:keepNext/>
              <w:rPr>
                <w:rFonts w:hint="eastAsia" w:ascii="宋体" w:hAnsi="宋体"/>
              </w:rPr>
            </w:pPr>
          </w:p>
          <w:p w14:paraId="51FBD0CA">
            <w:pPr>
              <w:keepNext/>
              <w:rPr>
                <w:rFonts w:hint="eastAsia" w:ascii="宋体" w:hAnsi="宋体"/>
              </w:rPr>
            </w:pPr>
          </w:p>
          <w:p w14:paraId="10FD6072">
            <w:pPr>
              <w:keepNext/>
              <w:rPr>
                <w:rFonts w:hint="eastAsia" w:ascii="宋体" w:hAnsi="宋体"/>
              </w:rPr>
            </w:pPr>
          </w:p>
          <w:p w14:paraId="147C4367">
            <w:pPr>
              <w:keepNext/>
              <w:rPr>
                <w:rFonts w:hint="eastAsia" w:ascii="宋体" w:hAnsi="宋体"/>
              </w:rPr>
            </w:pPr>
          </w:p>
          <w:p w14:paraId="51FCD4CF">
            <w:pPr>
              <w:keepNext/>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2D92CEC6">
            <w:pPr>
              <w:keepNext/>
              <w:spacing w:before="156" w:beforeLines="50"/>
              <w:ind w:firstLine="6600" w:firstLineChars="3000"/>
              <w:rPr>
                <w:rFonts w:hint="eastAsia"/>
                <w:b/>
              </w:rPr>
            </w:pPr>
            <w:r>
              <w:rPr>
                <w:rFonts w:hint="eastAsia" w:ascii="黑体" w:hAnsi="黑体" w:eastAsia="黑体" w:cs="Times New Roman"/>
                <w:sz w:val="22"/>
                <w:szCs w:val="28"/>
              </w:rPr>
              <w:t>年     月     日</w:t>
            </w:r>
          </w:p>
        </w:tc>
      </w:tr>
      <w:tr w14:paraId="2572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6" w:hRule="atLeast"/>
          <w:jc w:val="center"/>
        </w:trPr>
        <w:tc>
          <w:tcPr>
            <w:tcW w:w="9286" w:type="dxa"/>
            <w:gridSpan w:val="9"/>
            <w:noWrap w:val="0"/>
            <w:vAlign w:val="top"/>
          </w:tcPr>
          <w:p w14:paraId="5B45BE3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6147275">
            <w:pPr>
              <w:spacing w:before="156" w:beforeLines="50"/>
              <w:rPr>
                <w:rFonts w:hint="eastAsia" w:ascii="黑体" w:hAnsi="黑体" w:eastAsia="黑体" w:cs="Times New Roman"/>
                <w:sz w:val="22"/>
                <w:szCs w:val="28"/>
              </w:rPr>
            </w:pPr>
          </w:p>
          <w:p w14:paraId="6814AF6E">
            <w:pPr>
              <w:spacing w:before="156" w:beforeLines="50"/>
              <w:rPr>
                <w:rFonts w:hint="eastAsia" w:ascii="黑体" w:hAnsi="黑体" w:eastAsia="黑体" w:cs="Times New Roman"/>
                <w:sz w:val="22"/>
                <w:szCs w:val="28"/>
              </w:rPr>
            </w:pPr>
          </w:p>
          <w:p w14:paraId="739D9A18">
            <w:pPr>
              <w:spacing w:before="156" w:beforeLines="50"/>
              <w:rPr>
                <w:rFonts w:hint="eastAsia" w:ascii="黑体" w:hAnsi="黑体" w:eastAsia="黑体" w:cs="Times New Roman"/>
                <w:sz w:val="22"/>
                <w:szCs w:val="28"/>
              </w:rPr>
            </w:pPr>
          </w:p>
          <w:p w14:paraId="616D26C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pict>
                <v:shape id="_x0000_s1030" o:spid="_x0000_s1030" o:spt="202" type="#_x0000_t202" style="position:absolute;left:0pt;margin-left:123.75pt;margin-top:6.15pt;height:15.6pt;width:18pt;z-index:251659264;mso-width-relative:page;mso-height-relative:page;" coordsize="21600,21600">
                  <v:path/>
                  <v:fill focussize="0,0"/>
                  <v:stroke/>
                  <v:imagedata o:title=""/>
                  <o:lock v:ext="edit"/>
                  <v:textbox>
                    <w:txbxContent>
                      <w:p w14:paraId="727C73C7"/>
                    </w:txbxContent>
                  </v:textbox>
                </v:shape>
              </w:pict>
            </w:r>
            <w:r>
              <w:rPr>
                <w:rFonts w:hint="eastAsia" w:ascii="黑体" w:hAnsi="黑体" w:eastAsia="黑体" w:cs="Times New Roman"/>
                <w:sz w:val="22"/>
                <w:szCs w:val="28"/>
              </w:rPr>
              <w:pict>
                <v:shape id="_x0000_s1031" o:spid="_x0000_s1031" o:spt="202" type="#_x0000_t202" style="position:absolute;left:0pt;margin-left:250.6pt;margin-top:5.6pt;height:15.6pt;width:18pt;z-index:251660288;mso-width-relative:page;mso-height-relative:page;" coordsize="21600,21600">
                  <v:path/>
                  <v:fill focussize="0,0"/>
                  <v:stroke/>
                  <v:imagedata o:title=""/>
                  <o:lock v:ext="edit"/>
                  <v:textbox>
                    <w:txbxContent>
                      <w:p w14:paraId="6A3DDA88"/>
                    </w:txbxContent>
                  </v:textbox>
                </v:shape>
              </w:pict>
            </w:r>
            <w:r>
              <w:rPr>
                <w:rFonts w:hint="eastAsia" w:ascii="黑体" w:hAnsi="黑体" w:eastAsia="黑体" w:cs="Times New Roman"/>
                <w:sz w:val="22"/>
                <w:szCs w:val="28"/>
              </w:rPr>
              <w:t>同意立项级别：   校级                  国家级</w:t>
            </w:r>
          </w:p>
          <w:p w14:paraId="69E7DA89">
            <w:pPr>
              <w:rPr>
                <w:rFonts w:hint="eastAsia"/>
                <w:b/>
              </w:rPr>
            </w:pPr>
          </w:p>
          <w:p w14:paraId="4266208B">
            <w:pPr>
              <w:spacing w:before="156" w:beforeLines="50"/>
              <w:rPr>
                <w:rFonts w:hint="eastAsia" w:ascii="黑体" w:hAnsi="黑体" w:eastAsia="黑体" w:cs="Times New Roman"/>
                <w:sz w:val="22"/>
                <w:szCs w:val="28"/>
              </w:rPr>
            </w:pPr>
          </w:p>
          <w:p w14:paraId="45094065">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23F65732">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1A55821F">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AC98357-2E9C-4971-B546-FFD2558D4B7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F6035B67-87B7-4F5D-B3F3-623F5B94E7D9}"/>
  </w:font>
  <w:font w:name="楷体_GB2312">
    <w:altName w:val="楷体"/>
    <w:panose1 w:val="02010609030101010101"/>
    <w:charset w:val="86"/>
    <w:family w:val="modern"/>
    <w:pitch w:val="default"/>
    <w:sig w:usb0="00000000" w:usb1="00000000" w:usb2="00000000" w:usb3="00000000" w:csb0="00040000" w:csb1="00000000"/>
    <w:embedRegular r:id="rId3" w:fontKey="{A0A67292-7C1E-421A-90ED-DDA9E8E7D55C}"/>
  </w:font>
  <w:font w:name="楷体">
    <w:panose1 w:val="02010609060101010101"/>
    <w:charset w:val="86"/>
    <w:family w:val="auto"/>
    <w:pitch w:val="default"/>
    <w:sig w:usb0="800002BF" w:usb1="38CF7CFA" w:usb2="00000016" w:usb3="00000000" w:csb0="00040001" w:csb1="00000000"/>
  </w:font>
  <w:font w:name="小标宋">
    <w:altName w:val="微软雅黑"/>
    <w:panose1 w:val="03000509000000000000"/>
    <w:charset w:val="86"/>
    <w:family w:val="auto"/>
    <w:pitch w:val="default"/>
    <w:sig w:usb0="00000000" w:usb1="00000000" w:usb2="00000000" w:usb3="00000000" w:csb0="00040000" w:csb1="00000000"/>
    <w:embedRegular r:id="rId4" w:fontKey="{2C03555E-AC3F-43EC-8DB3-D29A3AD943F4}"/>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embedRegular r:id="rId5" w:fontKey="{AFF654A9-E53D-4466-9CC0-CBD23BE80CC1}"/>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embedRegular r:id="rId6" w:fontKey="{B57B3322-11D0-427C-B638-7F226FC83F55}"/>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624F">
    <w:pPr>
      <w:pStyle w:val="2"/>
    </w:pPr>
    <w:r>
      <w:rPr>
        <w:sz w:val="18"/>
      </w:rPr>
      <w:pict>
        <v:shape id="_x0000_s2049" o:spid="_x0000_s2049"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D2E4FC1">
                <w:pPr>
                  <w:pStyle w:val="2"/>
                  <w:rPr>
                    <w:rStyle w:val="8"/>
                    <w:sz w:val="21"/>
                    <w:szCs w:val="21"/>
                  </w:rPr>
                </w:pPr>
                <w:r>
                  <w:rPr>
                    <w:sz w:val="21"/>
                    <w:szCs w:val="21"/>
                  </w:rPr>
                  <w:fldChar w:fldCharType="begin"/>
                </w:r>
                <w:r>
                  <w:rPr>
                    <w:rStyle w:val="8"/>
                    <w:sz w:val="21"/>
                    <w:szCs w:val="21"/>
                  </w:rPr>
                  <w:instrText xml:space="preserve">PAGE  </w:instrText>
                </w:r>
                <w:r>
                  <w:rPr>
                    <w:sz w:val="21"/>
                    <w:szCs w:val="21"/>
                  </w:rPr>
                  <w:fldChar w:fldCharType="separate"/>
                </w:r>
                <w:r>
                  <w:rPr>
                    <w:rStyle w:val="8"/>
                    <w:sz w:val="21"/>
                    <w:szCs w:val="21"/>
                  </w:rPr>
                  <w:t>1</w:t>
                </w:r>
                <w:r>
                  <w:rPr>
                    <w:sz w:val="21"/>
                    <w:szCs w:val="21"/>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5C375FE"/>
    <w:rsid w:val="081C745E"/>
    <w:rsid w:val="090A6A84"/>
    <w:rsid w:val="0B0419E3"/>
    <w:rsid w:val="0F8A271E"/>
    <w:rsid w:val="127D5F11"/>
    <w:rsid w:val="16730DCD"/>
    <w:rsid w:val="18A40355"/>
    <w:rsid w:val="19F92A7C"/>
    <w:rsid w:val="24D448BC"/>
    <w:rsid w:val="28156ACF"/>
    <w:rsid w:val="28F13DE8"/>
    <w:rsid w:val="2B7175E9"/>
    <w:rsid w:val="2CC22333"/>
    <w:rsid w:val="2DDB2E87"/>
    <w:rsid w:val="2FE9288F"/>
    <w:rsid w:val="35F25224"/>
    <w:rsid w:val="391E4B76"/>
    <w:rsid w:val="46006614"/>
    <w:rsid w:val="50BC0C37"/>
    <w:rsid w:val="532474A3"/>
    <w:rsid w:val="5C4F0B22"/>
    <w:rsid w:val="5DAE1817"/>
    <w:rsid w:val="5FC33C0F"/>
    <w:rsid w:val="61892ED4"/>
    <w:rsid w:val="62864897"/>
    <w:rsid w:val="62950A20"/>
    <w:rsid w:val="63F4655B"/>
    <w:rsid w:val="7A0F27A6"/>
    <w:rsid w:val="7C076ABF"/>
    <w:rsid w:val="7D7434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table" w:styleId="6">
    <w:name w:val="Table Grid"/>
    <w:basedOn w:val="5"/>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20</Pages>
  <Words>13315</Words>
  <Characters>14595</Characters>
  <Lines>7</Lines>
  <Paragraphs>2</Paragraphs>
  <TotalTime>18</TotalTime>
  <ScaleCrop>false</ScaleCrop>
  <LinksUpToDate>false</LinksUpToDate>
  <CharactersWithSpaces>14965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2012-03-22T01:26:00Z</dcterms:created>
  <dc:creator>liangqs</dc:creator>
  <cp:lastModifiedBy>当问春风</cp:lastModifiedBy>
  <cp:lastPrinted>2022-10-26T02:38:00Z</cp:lastPrinted>
  <dcterms:modified xsi:type="dcterms:W3CDTF">2026-10-07T03:11:01Z</dcterms:modified>
  <dc:title>华南理工大学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EF664FE6B2DC4D0CAECEFB8FD2332CF0_13</vt:lpwstr>
  </property>
  <property fmtid="{D5CDD505-2E9C-101B-9397-08002B2CF9AE}" pid="4" name="KSOTemplateDocerSaveRecord">
    <vt:lpwstr>eyJoZGlkIjoiZTljYjUxYzc5MzU5N2YwMmU0NTMwZDE3MDE5YmM1MGUiLCJ1c2VySWQiOiIxNzQzMDgyNTIzIn0=</vt:lpwstr>
  </property>
</Properties>
</file>