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5AB078">
      <w:pPr>
        <w:rPr>
          <w:rFonts w:hint="eastAsia" w:eastAsia="宋体"/>
          <w:lang w:eastAsia="zh-CN"/>
        </w:rPr>
      </w:pPr>
      <w:bookmarkStart w:id="0" w:name="_GoBack"/>
      <w:bookmarkEnd w:id="0"/>
    </w:p>
    <w:p w14:paraId="3040FA73">
      <w:pPr>
        <w:rPr>
          <w:rFonts w:hint="eastAsia" w:eastAsia="宋体"/>
          <w:lang w:eastAsia="zh-CN"/>
        </w:rPr>
      </w:pPr>
    </w:p>
    <w:p w14:paraId="3A2174E9">
      <w:pPr>
        <w:jc w:val="left"/>
        <w:rPr>
          <w:rFonts w:hint="eastAsia" w:eastAsia="宋体"/>
          <w:lang w:eastAsia="zh-CN"/>
        </w:rPr>
      </w:pPr>
      <w:r>
        <w:rPr>
          <w:rFonts w:hint="eastAsia" w:eastAsia="宋体"/>
          <w:lang w:eastAsia="zh-CN"/>
        </w:rPr>
        <w:pict>
          <v:shape id="_x0000_i1025" o:spt="75" alt="塔里木大学VI-基础部分_A4.01标志标准中英文全称横式使用规范与不可入侵范围" type="#_x0000_t75" style="height:61.5pt;width:178pt;" filled="f" o:preferrelative="t" stroked="f" coordsize="21600,21600">
            <v:path/>
            <v:fill on="f" focussize="0,0"/>
            <v:stroke on="f"/>
            <v:imagedata r:id="rId5" o:title="塔里木大学VI-基础部分_A4.01标志标准中英文全称横式使用规范与不可入侵范围"/>
            <o:lock v:ext="edit" aspectratio="t"/>
            <w10:wrap type="none"/>
            <w10:anchorlock/>
          </v:shape>
        </w:pict>
      </w:r>
    </w:p>
    <w:p w14:paraId="5586248D">
      <w:pPr>
        <w:rPr>
          <w:rFonts w:hint="eastAsia"/>
        </w:rPr>
      </w:pPr>
    </w:p>
    <w:p w14:paraId="46F799BC">
      <w:pPr>
        <w:rPr>
          <w:rFonts w:hint="eastAsia"/>
        </w:rPr>
      </w:pPr>
    </w:p>
    <w:p w14:paraId="00F695AE">
      <w:pPr>
        <w:rPr>
          <w:rFonts w:hint="eastAsia"/>
        </w:rPr>
      </w:pPr>
    </w:p>
    <w:p w14:paraId="308E87AC">
      <w:pPr>
        <w:rPr>
          <w:rFonts w:hint="eastAsia"/>
        </w:rPr>
      </w:pPr>
    </w:p>
    <w:p w14:paraId="16500DC2">
      <w:pPr>
        <w:jc w:val="center"/>
        <w:rPr>
          <w:rFonts w:hint="eastAsia" w:ascii="方正小标宋简体" w:hAnsi="方正小标宋简体" w:eastAsia="方正小标宋简体" w:cs="方正小标宋简体"/>
          <w:b w:val="0"/>
          <w:bCs/>
          <w:sz w:val="52"/>
          <w:szCs w:val="52"/>
        </w:rPr>
      </w:pPr>
      <w:r>
        <w:rPr>
          <w:rFonts w:hint="eastAsia" w:ascii="方正小标宋简体" w:hAnsi="方正小标宋简体" w:eastAsia="方正小标宋简体" w:cs="方正小标宋简体"/>
          <w:b w:val="0"/>
          <w:bCs/>
          <w:sz w:val="52"/>
          <w:szCs w:val="52"/>
        </w:rPr>
        <w:t>大学生创新训练</w:t>
      </w:r>
      <w:r>
        <w:rPr>
          <w:rFonts w:hint="eastAsia" w:ascii="方正小标宋简体" w:hAnsi="方正小标宋简体" w:eastAsia="方正小标宋简体" w:cs="方正小标宋简体"/>
          <w:b w:val="0"/>
          <w:bCs/>
          <w:sz w:val="52"/>
          <w:szCs w:val="52"/>
          <w:lang w:val="en-US" w:eastAsia="zh-CN"/>
        </w:rPr>
        <w:t>计划</w:t>
      </w:r>
      <w:r>
        <w:rPr>
          <w:rFonts w:hint="eastAsia" w:ascii="方正小标宋简体" w:hAnsi="方正小标宋简体" w:eastAsia="方正小标宋简体" w:cs="方正小标宋简体"/>
          <w:b w:val="0"/>
          <w:bCs/>
          <w:sz w:val="52"/>
          <w:szCs w:val="52"/>
        </w:rPr>
        <w:t>申报书</w:t>
      </w:r>
    </w:p>
    <w:p w14:paraId="766AB869">
      <w:pPr>
        <w:jc w:val="center"/>
        <w:rPr>
          <w:rFonts w:hint="eastAsia" w:ascii="黑体" w:hAnsi="黑体" w:eastAsia="黑体"/>
          <w:sz w:val="36"/>
          <w:szCs w:val="36"/>
        </w:rPr>
      </w:pPr>
      <w:r>
        <w:rPr>
          <w:rFonts w:hint="eastAsia" w:ascii="方正小标宋简体" w:hAnsi="方正小标宋简体" w:eastAsia="方正小标宋简体" w:cs="方正小标宋简体"/>
          <w:color w:val="000000"/>
          <w:sz w:val="36"/>
          <w:szCs w:val="36"/>
          <w:lang w:eastAsia="zh-CN"/>
        </w:rPr>
        <w:t>（</w:t>
      </w:r>
      <w:r>
        <w:rPr>
          <w:rFonts w:hint="eastAsia" w:ascii="方正小标宋简体" w:hAnsi="方正小标宋简体" w:eastAsia="方正小标宋简体" w:cs="方正小标宋简体"/>
          <w:color w:val="000000"/>
          <w:sz w:val="36"/>
          <w:szCs w:val="36"/>
          <w:lang w:val="en-US" w:eastAsia="zh-CN"/>
        </w:rPr>
        <w:t>创新训练项目</w:t>
      </w:r>
      <w:r>
        <w:rPr>
          <w:rFonts w:hint="eastAsia" w:ascii="方正小标宋简体" w:hAnsi="方正小标宋简体" w:eastAsia="方正小标宋简体" w:cs="方正小标宋简体"/>
          <w:color w:val="000000"/>
          <w:sz w:val="36"/>
          <w:szCs w:val="36"/>
          <w:lang w:eastAsia="zh-CN"/>
        </w:rPr>
        <w:t>）</w:t>
      </w:r>
    </w:p>
    <w:p w14:paraId="2A7E17A7">
      <w:pPr>
        <w:jc w:val="both"/>
        <w:rPr>
          <w:rFonts w:hint="eastAsia" w:ascii="黑体" w:hAnsi="黑体" w:eastAsia="黑体"/>
          <w:sz w:val="36"/>
          <w:szCs w:val="36"/>
        </w:rPr>
      </w:pPr>
    </w:p>
    <w:p w14:paraId="705A4454">
      <w:pPr>
        <w:keepNext w:val="0"/>
        <w:keepLines w:val="0"/>
        <w:pageBreakBefore w:val="0"/>
        <w:widowControl w:val="0"/>
        <w:kinsoku/>
        <w:wordWrap/>
        <w:overflowPunct/>
        <w:topLinePunct w:val="0"/>
        <w:autoSpaceDE/>
        <w:autoSpaceDN/>
        <w:bidi w:val="0"/>
        <w:adjustRightInd/>
        <w:snapToGrid/>
        <w:ind w:left="0" w:right="0" w:firstLine="840" w:firstLineChars="400"/>
        <w:jc w:val="center"/>
        <w:textAlignment w:val="auto"/>
        <w:rPr>
          <w:rFonts w:hint="eastAsia" w:ascii="黑体" w:hAnsi="黑体" w:eastAsia="黑体" w:cs="黑体"/>
          <w:b w:val="0"/>
          <w:bCs w:val="0"/>
          <w:sz w:val="21"/>
          <w:szCs w:val="30"/>
          <w:lang w:val="en-US" w:eastAsia="zh-CN"/>
        </w:rPr>
      </w:pPr>
      <w:r>
        <w:rPr>
          <w:rFonts w:hint="eastAsia" w:ascii="黑体" w:hAnsi="黑体" w:eastAsia="黑体" w:cs="黑体"/>
          <w:b w:val="0"/>
          <w:bCs w:val="0"/>
          <w:sz w:val="21"/>
          <w:szCs w:val="30"/>
          <w:lang w:val="en-US" w:eastAsia="zh-CN"/>
        </w:rPr>
        <w:t>项目名称：基于 LoRa 的南疆滴灌支管道早期故障诊断物联网原型系统</w:t>
      </w:r>
    </w:p>
    <w:p w14:paraId="1ED66EB0">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项目负责人：</w:t>
      </w:r>
      <w:r>
        <w:rPr>
          <w:rFonts w:hint="eastAsia" w:ascii="黑体" w:hAnsi="黑体" w:eastAsia="黑体" w:cs="黑体"/>
          <w:b w:val="0"/>
          <w:bCs w:val="0"/>
          <w:sz w:val="30"/>
          <w:szCs w:val="30"/>
          <w:u w:val="single"/>
          <w:lang w:val="en-US" w:eastAsia="zh-CN"/>
        </w:rPr>
        <w:t xml:space="preserve">                            </w:t>
      </w:r>
    </w:p>
    <w:p w14:paraId="596D504A">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学    号：</w:t>
      </w:r>
      <w:r>
        <w:rPr>
          <w:rFonts w:hint="eastAsia" w:ascii="黑体" w:hAnsi="黑体" w:eastAsia="黑体" w:cs="黑体"/>
          <w:b w:val="0"/>
          <w:bCs w:val="0"/>
          <w:sz w:val="30"/>
          <w:szCs w:val="30"/>
          <w:u w:val="single"/>
          <w:lang w:val="en-US" w:eastAsia="zh-CN"/>
        </w:rPr>
        <w:t xml:space="preserve">                              </w:t>
      </w:r>
    </w:p>
    <w:p w14:paraId="0FB28F12">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班    级：</w:t>
      </w:r>
      <w:r>
        <w:rPr>
          <w:rFonts w:hint="eastAsia" w:ascii="黑体" w:hAnsi="黑体" w:eastAsia="黑体" w:cs="黑体"/>
          <w:b w:val="0"/>
          <w:bCs w:val="0"/>
          <w:sz w:val="30"/>
          <w:szCs w:val="30"/>
          <w:u w:val="single"/>
          <w:lang w:val="en-US" w:eastAsia="zh-CN"/>
        </w:rPr>
        <w:t xml:space="preserve">                              </w:t>
      </w:r>
    </w:p>
    <w:p w14:paraId="53FBCEA1">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联系电话：</w:t>
      </w:r>
      <w:r>
        <w:rPr>
          <w:rFonts w:hint="eastAsia" w:ascii="黑体" w:hAnsi="黑体" w:eastAsia="黑体" w:cs="黑体"/>
          <w:b w:val="0"/>
          <w:bCs w:val="0"/>
          <w:sz w:val="30"/>
          <w:szCs w:val="30"/>
          <w:u w:val="single"/>
          <w:lang w:val="en-US" w:eastAsia="zh-CN"/>
        </w:rPr>
        <w:t xml:space="preserve">                              </w:t>
      </w:r>
    </w:p>
    <w:p w14:paraId="211D5046">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所属学院：信息工程学院</w:t>
      </w:r>
    </w:p>
    <w:p w14:paraId="18E55C5D">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指导教师：</w:t>
      </w:r>
      <w:r>
        <w:rPr>
          <w:rFonts w:hint="eastAsia" w:ascii="黑体" w:hAnsi="黑体" w:eastAsia="黑体" w:cs="黑体"/>
          <w:b w:val="0"/>
          <w:bCs w:val="0"/>
          <w:sz w:val="30"/>
          <w:szCs w:val="30"/>
          <w:u w:val="single"/>
          <w:lang w:val="en-US" w:eastAsia="zh-CN"/>
        </w:rPr>
        <w:t xml:space="preserve">                              </w:t>
      </w:r>
    </w:p>
    <w:p w14:paraId="22D802A8">
      <w:pPr>
        <w:keepNext w:val="0"/>
        <w:keepLines w:val="0"/>
        <w:pageBreakBefore w:val="0"/>
        <w:widowControl w:val="0"/>
        <w:kinsoku/>
        <w:wordWrap/>
        <w:overflowPunct/>
        <w:topLinePunct w:val="0"/>
        <w:autoSpaceDE/>
        <w:autoSpaceDN/>
        <w:bidi w:val="0"/>
        <w:adjustRightInd/>
        <w:snapToGrid/>
        <w:ind w:firstLine="1200" w:firstLineChars="400"/>
        <w:jc w:val="left"/>
        <w:textAlignment w:val="auto"/>
        <w:rPr>
          <w:rFonts w:hint="default" w:ascii="黑体" w:hAnsi="黑体" w:eastAsia="黑体" w:cs="黑体"/>
          <w:b w:val="0"/>
          <w:bCs w:val="0"/>
          <w:sz w:val="30"/>
          <w:szCs w:val="30"/>
          <w:u w:val="single"/>
          <w:lang w:val="en-US" w:eastAsia="zh-CN"/>
        </w:rPr>
      </w:pPr>
      <w:r>
        <w:rPr>
          <w:rFonts w:hint="eastAsia" w:ascii="黑体" w:hAnsi="黑体" w:eastAsia="黑体" w:cs="黑体"/>
          <w:b w:val="0"/>
          <w:bCs w:val="0"/>
          <w:sz w:val="30"/>
          <w:szCs w:val="30"/>
          <w:u w:val="none"/>
          <w:lang w:val="en-US" w:eastAsia="zh-CN"/>
        </w:rPr>
        <w:t>联系电话：</w:t>
      </w:r>
      <w:r>
        <w:rPr>
          <w:rFonts w:hint="eastAsia" w:ascii="黑体" w:hAnsi="黑体" w:eastAsia="黑体" w:cs="黑体"/>
          <w:b w:val="0"/>
          <w:bCs w:val="0"/>
          <w:sz w:val="30"/>
          <w:szCs w:val="30"/>
          <w:u w:val="single"/>
          <w:lang w:val="en-US" w:eastAsia="zh-CN"/>
        </w:rPr>
        <w:t xml:space="preserve">                              </w:t>
      </w:r>
    </w:p>
    <w:p w14:paraId="37CAB281">
      <w:pPr>
        <w:spacing w:line="480" w:lineRule="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起止时间：2027年3月至2028年2月</w:t>
      </w:r>
    </w:p>
    <w:p w14:paraId="3DC328A5">
      <w:pPr>
        <w:spacing w:line="480" w:lineRule="auto"/>
        <w:rPr>
          <w:rFonts w:hint="eastAsia" w:ascii="黑体" w:hAnsi="黑体" w:eastAsia="黑体" w:cs="黑体"/>
          <w:b w:val="0"/>
          <w:bCs w:val="0"/>
          <w:sz w:val="30"/>
          <w:szCs w:val="30"/>
          <w:lang w:val="en-US" w:eastAsia="zh-CN"/>
        </w:rPr>
      </w:pPr>
    </w:p>
    <w:p w14:paraId="5F9E54FF">
      <w:pPr>
        <w:rPr>
          <w:rFonts w:hint="eastAsia" w:ascii="黑体" w:hAnsi="黑体" w:eastAsia="黑体" w:cs="黑体"/>
          <w:sz w:val="36"/>
        </w:rPr>
      </w:pPr>
    </w:p>
    <w:p w14:paraId="4C1ED90D">
      <w:pPr>
        <w:rPr>
          <w:rFonts w:hint="eastAsia" w:ascii="黑体" w:hAnsi="黑体" w:eastAsia="黑体" w:cs="黑体"/>
          <w:sz w:val="36"/>
        </w:rPr>
      </w:pPr>
    </w:p>
    <w:p w14:paraId="3B33A67D">
      <w:pPr>
        <w:keepNext w:val="0"/>
        <w:keepLines w:val="0"/>
        <w:pageBreakBefore w:val="0"/>
        <w:widowControl w:val="0"/>
        <w:kinsoku/>
        <w:wordWrap/>
        <w:overflowPunct/>
        <w:topLinePunct w:val="0"/>
        <w:autoSpaceDE/>
        <w:autoSpaceDN/>
        <w:bidi w:val="0"/>
        <w:adjustRightInd/>
        <w:snapToGrid/>
        <w:jc w:val="center"/>
        <w:textAlignment w:val="auto"/>
        <w:rPr>
          <w:rFonts w:hint="eastAsia" w:ascii="黑体" w:hAnsi="黑体" w:eastAsia="黑体" w:cs="黑体"/>
          <w:b w:val="0"/>
          <w:bCs w:val="0"/>
          <w:sz w:val="28"/>
          <w:szCs w:val="24"/>
          <w:lang w:val="en-US" w:eastAsia="zh-CN"/>
        </w:rPr>
      </w:pPr>
      <w:r>
        <w:rPr>
          <w:rFonts w:hint="eastAsia" w:ascii="黑体" w:hAnsi="黑体" w:eastAsia="黑体" w:cs="黑体"/>
          <w:b w:val="0"/>
          <w:bCs w:val="0"/>
          <w:sz w:val="28"/>
          <w:szCs w:val="24"/>
          <w:lang w:val="en-US" w:eastAsia="zh-CN"/>
        </w:rPr>
        <w:t>塔里木大学教务处制</w:t>
      </w:r>
    </w:p>
    <w:p w14:paraId="3E4724E7">
      <w:pPr>
        <w:pageBreakBefore/>
        <w:jc w:val="center"/>
        <w:rPr>
          <w:rFonts w:eastAsia="楷体_GB2312"/>
          <w:b/>
          <w:bCs/>
          <w:sz w:val="36"/>
        </w:rPr>
      </w:pPr>
      <w:r>
        <w:rPr>
          <w:rFonts w:hint="eastAsia" w:ascii="小标宋" w:hAnsi="小标宋" w:eastAsia="小标宋" w:cs="小标宋"/>
          <w:b w:val="0"/>
          <w:bCs w:val="0"/>
          <w:sz w:val="44"/>
        </w:rPr>
        <w:t>填 写 须 知</w:t>
      </w:r>
    </w:p>
    <w:p w14:paraId="2ECC00FD">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一、项目分类说明：</w:t>
      </w:r>
    </w:p>
    <w:p w14:paraId="31FEBDE0">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1.创新训练项目是本科生个人或团队，在导师指导下，自主完成创新性实验方法的设计、设备和材料的准备、实验的实施、数据处理与分析、总结报告撰写等工作。</w:t>
      </w:r>
    </w:p>
    <w:p w14:paraId="39E9C582">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2.创业训练项目是本科生团队，在导师指导下，团队中每个学生在项目实施过程中扮演一个或多个具体的角色，通过编制商业计划书、开展可行性研究、模拟企业运行、进行一定程度的验证试验，撰写创业报告等工作。</w:t>
      </w:r>
    </w:p>
    <w:p w14:paraId="529F8DBA">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color="auto" w:fill="FFFFFF"/>
        <w:kinsoku/>
        <w:wordWrap/>
        <w:overflowPunct/>
        <w:topLinePunct w:val="0"/>
        <w:autoSpaceDE/>
        <w:autoSpaceDN/>
        <w:bidi w:val="0"/>
        <w:adjustRightInd/>
        <w:snapToGrid/>
        <w:spacing w:before="0" w:beforeAutospacing="0" w:after="0" w:afterAutospacing="0" w:line="520" w:lineRule="exact"/>
        <w:ind w:left="0" w:right="0" w:firstLine="560" w:firstLineChars="200"/>
        <w:textAlignment w:val="auto"/>
        <w:rPr>
          <w:rFonts w:hint="default" w:ascii="仿宋_GB2312" w:eastAsia="仿宋_GB2312"/>
          <w:sz w:val="28"/>
          <w:szCs w:val="28"/>
          <w:lang w:val="en-US" w:eastAsia="zh-CN"/>
        </w:rPr>
      </w:pPr>
      <w:r>
        <w:rPr>
          <w:rFonts w:hint="eastAsia" w:ascii="仿宋_GB2312" w:hAnsi="Times New Roman" w:eastAsia="仿宋_GB2312" w:cs="Times New Roman"/>
          <w:kern w:val="2"/>
          <w:sz w:val="28"/>
          <w:szCs w:val="28"/>
          <w:lang w:val="en-US" w:eastAsia="zh-CN" w:bidi="ar-SA"/>
        </w:rPr>
        <w:t>3.创业实践项目是学生团队，在学校导师和企业导师共同指导下，采用创新训练项目或创新性实验等成果，提出具有市场前景的创新性产品或服务，以此为基础开展创业实践活动。</w:t>
      </w:r>
    </w:p>
    <w:p w14:paraId="7D7A8A4C">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hAnsi="Times New Roman" w:eastAsia="仿宋_GB2312" w:cs="Times New Roman"/>
          <w:kern w:val="2"/>
          <w:sz w:val="28"/>
          <w:szCs w:val="28"/>
          <w:lang w:val="en-US" w:eastAsia="zh-CN" w:bidi="ar-SA"/>
        </w:rPr>
      </w:pPr>
      <w:r>
        <w:rPr>
          <w:rFonts w:hint="eastAsia" w:ascii="仿宋_GB2312" w:eastAsia="仿宋_GB2312"/>
          <w:sz w:val="28"/>
          <w:szCs w:val="28"/>
        </w:rPr>
        <w:t>二、申报书请按顺序逐项填写，填写内容必须实事求是，表达明确严谨。空缺项要填“无”。</w:t>
      </w:r>
      <w:r>
        <w:rPr>
          <w:rFonts w:hint="eastAsia" w:ascii="仿宋_GB2312" w:hAnsi="Times New Roman" w:eastAsia="仿宋_GB2312" w:cs="Times New Roman"/>
          <w:kern w:val="2"/>
          <w:sz w:val="28"/>
          <w:szCs w:val="28"/>
          <w:lang w:val="en-US" w:eastAsia="zh-CN" w:bidi="ar-SA"/>
        </w:rPr>
        <w:t xml:space="preserve">正文填写需采用宋体五号字体、单倍行距、双面印刷、左侧装订成册，注意排版和打印的美观。 </w:t>
      </w:r>
    </w:p>
    <w:p w14:paraId="6796D876">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三、申请参加大学生创新创业训练计划项目团队的人数含负责人在内不得超过5人。</w:t>
      </w:r>
    </w:p>
    <w:p w14:paraId="1447E501">
      <w:pPr>
        <w:keepNext w:val="0"/>
        <w:keepLines w:val="0"/>
        <w:pageBreakBefore w:val="0"/>
        <w:widowControl w:val="0"/>
        <w:kinsoku/>
        <w:wordWrap/>
        <w:overflowPunct/>
        <w:topLinePunct w:val="0"/>
        <w:autoSpaceDE/>
        <w:autoSpaceDN/>
        <w:bidi w:val="0"/>
        <w:adjustRightInd/>
        <w:snapToGrid/>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四、填写完后用A4纸张双面打印，不得随意涂改。</w:t>
      </w:r>
    </w:p>
    <w:p w14:paraId="1899E98E">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ascii="仿宋_GB2312" w:eastAsia="仿宋_GB2312"/>
          <w:b/>
          <w:sz w:val="28"/>
        </w:rPr>
        <w:sectPr>
          <w:pgSz w:w="11906" w:h="16838"/>
          <w:pgMar w:top="1440" w:right="1800" w:bottom="1440" w:left="1800" w:header="851" w:footer="992" w:gutter="0"/>
          <w:pgBorders>
            <w:top w:val="none" w:sz="0" w:space="0"/>
            <w:left w:val="none" w:sz="0" w:space="0"/>
            <w:bottom w:val="none" w:sz="0" w:space="0"/>
            <w:right w:val="none" w:sz="0" w:space="0"/>
          </w:pgBorders>
          <w:cols w:space="720" w:num="1"/>
          <w:docGrid w:type="lines" w:linePitch="312" w:charSpace="0"/>
        </w:sectPr>
      </w:pPr>
    </w:p>
    <w:tbl>
      <w:tblPr>
        <w:tblStyle w:val="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6"/>
        <w:gridCol w:w="360"/>
        <w:gridCol w:w="722"/>
        <w:gridCol w:w="719"/>
        <w:gridCol w:w="548"/>
        <w:gridCol w:w="2335"/>
        <w:gridCol w:w="715"/>
        <w:gridCol w:w="732"/>
        <w:gridCol w:w="2689"/>
      </w:tblGrid>
      <w:tr w14:paraId="306AA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jc w:val="center"/>
        </w:trPr>
        <w:tc>
          <w:tcPr>
            <w:tcW w:w="1548" w:type="dxa"/>
            <w:gridSpan w:val="3"/>
            <w:noWrap w:val="0"/>
            <w:vAlign w:val="center"/>
          </w:tcPr>
          <w:p w14:paraId="2527287B">
            <w:pPr>
              <w:jc w:val="center"/>
              <w:rPr>
                <w:rFonts w:hint="eastAsia" w:ascii="黑体" w:hAnsi="黑体" w:eastAsia="黑体"/>
              </w:rPr>
            </w:pPr>
            <w:r>
              <w:rPr>
                <w:rFonts w:hint="eastAsia" w:ascii="黑体" w:hAnsi="黑体" w:eastAsia="黑体"/>
              </w:rPr>
              <w:t>项目名称</w:t>
            </w:r>
          </w:p>
        </w:tc>
        <w:tc>
          <w:tcPr>
            <w:tcW w:w="7738" w:type="dxa"/>
            <w:gridSpan w:val="6"/>
            <w:noWrap w:val="0"/>
            <w:vAlign w:val="center"/>
          </w:tcPr>
          <w:p w14:paraId="7278AD22">
            <w:pPr>
              <w:jc w:val="center"/>
              <w:rPr>
                <w:rFonts w:hint="eastAsia" w:eastAsia="宋体"/>
                <w:lang w:eastAsia="zh-CN"/>
              </w:rPr>
            </w:pPr>
            <w:r>
              <w:rPr>
                <w:rFonts w:hint="eastAsia"/>
                <w:lang w:eastAsia="zh-CN"/>
              </w:rPr>
              <w:t>基于 LoRa 的南疆滴灌支管道早期故障诊断物联网原型系统</w:t>
            </w:r>
          </w:p>
        </w:tc>
      </w:tr>
      <w:tr w14:paraId="1676B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jc w:val="center"/>
        </w:trPr>
        <w:tc>
          <w:tcPr>
            <w:tcW w:w="1548" w:type="dxa"/>
            <w:gridSpan w:val="3"/>
            <w:noWrap w:val="0"/>
            <w:vAlign w:val="center"/>
          </w:tcPr>
          <w:p w14:paraId="5F92FF7C">
            <w:pPr>
              <w:jc w:val="center"/>
              <w:rPr>
                <w:rFonts w:hint="default" w:ascii="黑体" w:hAnsi="黑体" w:eastAsia="黑体"/>
                <w:lang w:val="en-US" w:eastAsia="zh-CN"/>
              </w:rPr>
            </w:pPr>
            <w:r>
              <w:rPr>
                <w:rFonts w:hint="eastAsia" w:ascii="黑体" w:hAnsi="黑体" w:eastAsia="黑体"/>
                <w:lang w:val="en-US" w:eastAsia="zh-CN"/>
              </w:rPr>
              <w:t>项目所属专业大类及代码</w:t>
            </w:r>
          </w:p>
        </w:tc>
        <w:tc>
          <w:tcPr>
            <w:tcW w:w="7738" w:type="dxa"/>
            <w:gridSpan w:val="6"/>
            <w:noWrap w:val="0"/>
            <w:vAlign w:val="center"/>
          </w:tcPr>
          <w:p w14:paraId="3F238E73">
            <w:pPr>
              <w:jc w:val="left"/>
              <w:rPr>
                <w:rFonts w:hint="default" w:eastAsia="宋体"/>
                <w:lang w:val="en-US" w:eastAsia="zh-CN"/>
              </w:rPr>
            </w:pPr>
            <w:r>
              <w:rPr>
                <w:rFonts w:hint="eastAsia" w:ascii="黑体" w:hAnsi="黑体" w:eastAsia="黑体" w:cs="Times New Roman"/>
                <w:lang w:val="en-US" w:eastAsia="zh-CN"/>
              </w:rPr>
              <w:t>电子信息类 0807（提交前按附件6核对）</w:t>
            </w:r>
          </w:p>
        </w:tc>
      </w:tr>
      <w:tr w14:paraId="6B1CE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jc w:val="center"/>
        </w:trPr>
        <w:tc>
          <w:tcPr>
            <w:tcW w:w="1548" w:type="dxa"/>
            <w:gridSpan w:val="3"/>
            <w:noWrap w:val="0"/>
            <w:vAlign w:val="center"/>
          </w:tcPr>
          <w:p w14:paraId="0203A882">
            <w:pPr>
              <w:jc w:val="center"/>
              <w:rPr>
                <w:rFonts w:ascii="黑体" w:hAnsi="黑体" w:eastAsia="黑体"/>
              </w:rPr>
            </w:pPr>
            <w:r>
              <w:rPr>
                <w:rFonts w:hint="eastAsia" w:ascii="黑体" w:hAnsi="黑体" w:eastAsia="黑体"/>
              </w:rPr>
              <w:t>项目起止时间</w:t>
            </w:r>
          </w:p>
        </w:tc>
        <w:tc>
          <w:tcPr>
            <w:tcW w:w="7738" w:type="dxa"/>
            <w:gridSpan w:val="6"/>
            <w:noWrap w:val="0"/>
            <w:vAlign w:val="center"/>
          </w:tcPr>
          <w:p w14:paraId="50EBD277">
            <w:pPr>
              <w:jc w:val="center"/>
              <w:rPr>
                <w:rFonts w:hint="eastAsia" w:eastAsia="宋体"/>
                <w:lang w:eastAsia="zh-CN"/>
              </w:rPr>
            </w:pPr>
            <w:r>
              <w:rPr>
                <w:rFonts w:hint="eastAsia" w:ascii="黑体" w:hAnsi="黑体" w:eastAsia="黑体" w:cs="Times New Roman"/>
                <w:lang w:eastAsia="zh-CN"/>
              </w:rPr>
              <w:t>2027年3月至2028年2月</w:t>
            </w:r>
          </w:p>
        </w:tc>
      </w:tr>
      <w:tr w14:paraId="688A0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restart"/>
            <w:noWrap w:val="0"/>
            <w:textDirection w:val="tbRlV"/>
            <w:vAlign w:val="center"/>
          </w:tcPr>
          <w:p w14:paraId="12651A24">
            <w:pPr>
              <w:ind w:left="113" w:right="113"/>
              <w:jc w:val="center"/>
              <w:rPr>
                <w:rFonts w:ascii="黑体" w:hAnsi="黑体" w:eastAsia="黑体"/>
              </w:rPr>
            </w:pPr>
            <w:r>
              <w:rPr>
                <w:rFonts w:hint="eastAsia" w:ascii="黑体" w:hAnsi="黑体" w:eastAsia="黑体"/>
              </w:rPr>
              <w:t>负责人</w:t>
            </w:r>
          </w:p>
        </w:tc>
        <w:tc>
          <w:tcPr>
            <w:tcW w:w="1082" w:type="dxa"/>
            <w:gridSpan w:val="2"/>
            <w:noWrap w:val="0"/>
            <w:vAlign w:val="center"/>
          </w:tcPr>
          <w:p w14:paraId="7EE196BA">
            <w:pPr>
              <w:jc w:val="center"/>
              <w:rPr>
                <w:rFonts w:ascii="黑体" w:hAnsi="黑体" w:eastAsia="黑体"/>
              </w:rPr>
            </w:pPr>
            <w:r>
              <w:rPr>
                <w:rFonts w:hint="eastAsia" w:ascii="黑体" w:hAnsi="黑体" w:eastAsia="黑体"/>
              </w:rPr>
              <w:t>姓名</w:t>
            </w:r>
          </w:p>
        </w:tc>
        <w:tc>
          <w:tcPr>
            <w:tcW w:w="719" w:type="dxa"/>
            <w:noWrap w:val="0"/>
            <w:vAlign w:val="center"/>
          </w:tcPr>
          <w:p w14:paraId="1D928773">
            <w:pPr>
              <w:jc w:val="center"/>
              <w:rPr>
                <w:rFonts w:ascii="黑体" w:hAnsi="黑体" w:eastAsia="黑体"/>
              </w:rPr>
            </w:pPr>
            <w:r>
              <w:rPr>
                <w:rFonts w:hint="eastAsia" w:ascii="黑体" w:hAnsi="黑体" w:eastAsia="黑体"/>
              </w:rPr>
              <w:t>年级</w:t>
            </w:r>
          </w:p>
        </w:tc>
        <w:tc>
          <w:tcPr>
            <w:tcW w:w="2883" w:type="dxa"/>
            <w:gridSpan w:val="2"/>
            <w:noWrap w:val="0"/>
            <w:vAlign w:val="center"/>
          </w:tcPr>
          <w:p w14:paraId="0B75A9AF">
            <w:pPr>
              <w:jc w:val="center"/>
              <w:rPr>
                <w:rFonts w:ascii="黑体" w:hAnsi="黑体" w:eastAsia="黑体"/>
              </w:rPr>
            </w:pPr>
            <w:r>
              <w:rPr>
                <w:rFonts w:hint="eastAsia" w:ascii="黑体" w:hAnsi="黑体" w:eastAsia="黑体"/>
              </w:rPr>
              <w:t>所在学院、专业</w:t>
            </w:r>
          </w:p>
        </w:tc>
        <w:tc>
          <w:tcPr>
            <w:tcW w:w="1447" w:type="dxa"/>
            <w:gridSpan w:val="2"/>
            <w:noWrap w:val="0"/>
            <w:vAlign w:val="center"/>
          </w:tcPr>
          <w:p w14:paraId="7FB89E4D">
            <w:pPr>
              <w:jc w:val="center"/>
              <w:rPr>
                <w:rFonts w:ascii="黑体" w:hAnsi="黑体" w:eastAsia="黑体"/>
              </w:rPr>
            </w:pPr>
            <w:r>
              <w:rPr>
                <w:rFonts w:hint="eastAsia" w:ascii="黑体" w:hAnsi="黑体" w:eastAsia="黑体"/>
              </w:rPr>
              <w:t>联系电话</w:t>
            </w:r>
          </w:p>
        </w:tc>
        <w:tc>
          <w:tcPr>
            <w:tcW w:w="2689" w:type="dxa"/>
            <w:noWrap w:val="0"/>
            <w:vAlign w:val="center"/>
          </w:tcPr>
          <w:p w14:paraId="727ED782">
            <w:pPr>
              <w:jc w:val="center"/>
              <w:rPr>
                <w:rFonts w:hint="eastAsia" w:ascii="黑体" w:hAnsi="黑体" w:eastAsia="黑体"/>
              </w:rPr>
            </w:pPr>
            <w:r>
              <w:rPr>
                <w:rFonts w:hint="eastAsia" w:ascii="黑体" w:hAnsi="黑体" w:eastAsia="黑体"/>
              </w:rPr>
              <w:t>E-mail</w:t>
            </w:r>
          </w:p>
        </w:tc>
      </w:tr>
      <w:tr w14:paraId="5728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308CF24C">
            <w:pPr>
              <w:ind w:left="113" w:right="113"/>
              <w:jc w:val="center"/>
              <w:rPr>
                <w:rFonts w:hint="eastAsia" w:ascii="黑体" w:hAnsi="黑体" w:eastAsia="黑体"/>
              </w:rPr>
            </w:pPr>
          </w:p>
        </w:tc>
        <w:tc>
          <w:tcPr>
            <w:tcW w:w="1082" w:type="dxa"/>
            <w:gridSpan w:val="2"/>
            <w:tcBorders>
              <w:bottom w:val="single" w:color="auto" w:sz="4" w:space="0"/>
            </w:tcBorders>
            <w:noWrap w:val="0"/>
            <w:vAlign w:val="center"/>
          </w:tcPr>
          <w:p w14:paraId="347E6C06">
            <w:pPr>
              <w:jc w:val="center"/>
              <w:rPr>
                <w:rFonts w:hint="eastAsia" w:eastAsia="宋体"/>
                <w:lang w:eastAsia="zh-CN"/>
              </w:rPr>
            </w:pPr>
            <w:r>
              <w:rPr>
                <w:rFonts w:hint="eastAsia"/>
                <w:lang w:eastAsia="zh-CN"/>
              </w:rPr>
              <w:t>待本人填写</w:t>
            </w:r>
          </w:p>
        </w:tc>
        <w:tc>
          <w:tcPr>
            <w:tcW w:w="719" w:type="dxa"/>
            <w:tcBorders>
              <w:bottom w:val="single" w:color="auto" w:sz="4" w:space="0"/>
            </w:tcBorders>
            <w:noWrap w:val="0"/>
            <w:vAlign w:val="center"/>
          </w:tcPr>
          <w:p w14:paraId="131645F7">
            <w:pPr>
              <w:jc w:val="center"/>
              <w:rPr>
                <w:rFonts w:hint="eastAsia" w:eastAsia="宋体"/>
                <w:lang w:eastAsia="zh-CN"/>
              </w:rPr>
            </w:pPr>
            <w:r>
              <w:rPr>
                <w:rFonts w:hint="eastAsia"/>
                <w:lang w:eastAsia="zh-CN"/>
              </w:rPr>
              <w:t>大二</w:t>
            </w:r>
          </w:p>
        </w:tc>
        <w:tc>
          <w:tcPr>
            <w:tcW w:w="2883" w:type="dxa"/>
            <w:gridSpan w:val="2"/>
            <w:tcBorders>
              <w:top w:val="nil"/>
              <w:bottom w:val="single" w:color="auto" w:sz="4" w:space="0"/>
            </w:tcBorders>
            <w:noWrap w:val="0"/>
            <w:vAlign w:val="center"/>
          </w:tcPr>
          <w:p w14:paraId="2B912EDD">
            <w:pPr>
              <w:jc w:val="center"/>
              <w:rPr>
                <w:rFonts w:hint="eastAsia" w:eastAsia="宋体"/>
                <w:lang w:eastAsia="zh-CN"/>
              </w:rPr>
            </w:pPr>
            <w:r>
              <w:rPr>
                <w:rFonts w:hint="eastAsia"/>
                <w:lang w:eastAsia="zh-CN"/>
              </w:rPr>
              <w:t>信息工程学院 通信专业</w:t>
            </w:r>
          </w:p>
        </w:tc>
        <w:tc>
          <w:tcPr>
            <w:tcW w:w="1447" w:type="dxa"/>
            <w:gridSpan w:val="2"/>
            <w:tcBorders>
              <w:bottom w:val="single" w:color="auto" w:sz="4" w:space="0"/>
            </w:tcBorders>
            <w:noWrap w:val="0"/>
            <w:vAlign w:val="center"/>
          </w:tcPr>
          <w:p w14:paraId="6DD137EF">
            <w:pPr>
              <w:jc w:val="center"/>
              <w:rPr>
                <w:rFonts w:hint="eastAsia" w:eastAsia="宋体"/>
                <w:lang w:eastAsia="zh-CN"/>
              </w:rPr>
            </w:pPr>
            <w:r>
              <w:rPr>
                <w:rFonts w:hint="eastAsia"/>
                <w:lang w:eastAsia="zh-CN"/>
              </w:rPr>
              <w:t>待填写</w:t>
            </w:r>
          </w:p>
        </w:tc>
        <w:tc>
          <w:tcPr>
            <w:tcW w:w="2689" w:type="dxa"/>
            <w:tcBorders>
              <w:bottom w:val="single" w:color="auto" w:sz="4" w:space="0"/>
            </w:tcBorders>
            <w:noWrap w:val="0"/>
            <w:vAlign w:val="center"/>
          </w:tcPr>
          <w:p w14:paraId="7474847F">
            <w:pPr>
              <w:jc w:val="center"/>
              <w:rPr>
                <w:rFonts w:hint="eastAsia" w:eastAsia="宋体"/>
                <w:lang w:eastAsia="zh-CN"/>
              </w:rPr>
            </w:pPr>
            <w:r>
              <w:rPr>
                <w:rFonts w:hint="eastAsia"/>
                <w:lang w:eastAsia="zh-CN"/>
              </w:rPr>
              <w:t>待填写</w:t>
            </w:r>
          </w:p>
        </w:tc>
      </w:tr>
      <w:tr w14:paraId="0C9A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56" w:hRule="atLeast"/>
          <w:jc w:val="center"/>
        </w:trPr>
        <w:tc>
          <w:tcPr>
            <w:tcW w:w="826" w:type="dxa"/>
            <w:gridSpan w:val="2"/>
            <w:noWrap w:val="0"/>
            <w:vAlign w:val="center"/>
          </w:tcPr>
          <w:p w14:paraId="56FDF462">
            <w:pPr>
              <w:jc w:val="center"/>
              <w:rPr>
                <w:rFonts w:hint="eastAsia" w:ascii="黑体" w:hAnsi="黑体" w:eastAsia="黑体"/>
              </w:rPr>
            </w:pPr>
            <w:r>
              <w:rPr>
                <w:rFonts w:hint="eastAsia" w:ascii="黑体" w:hAnsi="黑体" w:eastAsia="黑体"/>
              </w:rPr>
              <w:t>参与</w:t>
            </w:r>
            <w:r>
              <w:rPr>
                <w:rFonts w:hint="eastAsia" w:ascii="黑体" w:hAnsi="黑体" w:eastAsia="黑体"/>
                <w:lang w:val="en-US" w:eastAsia="zh-CN"/>
              </w:rPr>
              <w:t>创新创业或科研</w:t>
            </w:r>
            <w:r>
              <w:rPr>
                <w:rFonts w:hint="eastAsia" w:ascii="黑体" w:hAnsi="黑体" w:eastAsia="黑体"/>
              </w:rPr>
              <w:t>情况</w:t>
            </w:r>
          </w:p>
        </w:tc>
        <w:tc>
          <w:tcPr>
            <w:tcW w:w="8460" w:type="dxa"/>
            <w:gridSpan w:val="7"/>
            <w:tcBorders>
              <w:bottom w:val="single" w:color="auto" w:sz="4" w:space="0"/>
            </w:tcBorders>
            <w:noWrap w:val="0"/>
            <w:vAlign w:val="top"/>
          </w:tcPr>
          <w:p w14:paraId="26DA820C">
            <w:pPr>
              <w:jc w:val="both"/>
              <w:rPr>
                <w:rFonts w:hint="eastAsia" w:eastAsia="宋体"/>
                <w:lang w:val="en-US" w:eastAsia="zh-CN"/>
              </w:rPr>
            </w:pPr>
            <w:r>
              <w:rPr>
                <w:rFonts w:hint="eastAsia" w:ascii="黑体" w:hAnsi="黑体" w:eastAsia="黑体" w:cs="Times New Roman"/>
                <w:lang w:val="en-US" w:eastAsia="zh-CN"/>
              </w:rPr>
              <w:t>由负责人据实填写专业学习、实践经历及实际成果。</w:t>
            </w:r>
          </w:p>
        </w:tc>
      </w:tr>
      <w:tr w14:paraId="34BDA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restart"/>
            <w:noWrap w:val="0"/>
            <w:textDirection w:val="tbRlV"/>
            <w:vAlign w:val="center"/>
          </w:tcPr>
          <w:p w14:paraId="420013AC">
            <w:pPr>
              <w:ind w:left="113" w:right="113"/>
              <w:jc w:val="center"/>
              <w:rPr>
                <w:rFonts w:hint="eastAsia" w:ascii="黑体" w:hAnsi="黑体" w:eastAsia="黑体"/>
              </w:rPr>
            </w:pPr>
            <w:r>
              <w:rPr>
                <w:rFonts w:hint="eastAsia" w:ascii="黑体" w:hAnsi="黑体" w:eastAsia="黑体"/>
              </w:rPr>
              <w:t>项目组成员</w:t>
            </w:r>
          </w:p>
        </w:tc>
        <w:tc>
          <w:tcPr>
            <w:tcW w:w="1082" w:type="dxa"/>
            <w:gridSpan w:val="2"/>
            <w:tcBorders>
              <w:top w:val="single" w:color="auto" w:sz="4" w:space="0"/>
              <w:bottom w:val="single" w:color="auto" w:sz="4" w:space="0"/>
            </w:tcBorders>
            <w:noWrap w:val="0"/>
            <w:vAlign w:val="center"/>
          </w:tcPr>
          <w:p w14:paraId="56A62C26">
            <w:pPr>
              <w:jc w:val="center"/>
              <w:rPr>
                <w:rFonts w:ascii="黑体" w:hAnsi="黑体" w:eastAsia="黑体"/>
              </w:rPr>
            </w:pPr>
            <w:r>
              <w:rPr>
                <w:rFonts w:hint="eastAsia" w:ascii="黑体" w:hAnsi="黑体" w:eastAsia="黑体"/>
              </w:rPr>
              <w:t>姓名</w:t>
            </w:r>
          </w:p>
        </w:tc>
        <w:tc>
          <w:tcPr>
            <w:tcW w:w="719" w:type="dxa"/>
            <w:tcBorders>
              <w:top w:val="single" w:color="auto" w:sz="4" w:space="0"/>
              <w:bottom w:val="single" w:color="auto" w:sz="4" w:space="0"/>
            </w:tcBorders>
            <w:noWrap w:val="0"/>
            <w:vAlign w:val="center"/>
          </w:tcPr>
          <w:p w14:paraId="5A8EC8B0">
            <w:pPr>
              <w:jc w:val="center"/>
              <w:rPr>
                <w:rFonts w:ascii="黑体" w:hAnsi="黑体" w:eastAsia="黑体"/>
              </w:rPr>
            </w:pPr>
            <w:r>
              <w:rPr>
                <w:rFonts w:hint="eastAsia" w:ascii="黑体" w:hAnsi="黑体" w:eastAsia="黑体"/>
              </w:rPr>
              <w:t>年级</w:t>
            </w:r>
          </w:p>
        </w:tc>
        <w:tc>
          <w:tcPr>
            <w:tcW w:w="2883" w:type="dxa"/>
            <w:gridSpan w:val="2"/>
            <w:tcBorders>
              <w:top w:val="single" w:color="auto" w:sz="4" w:space="0"/>
              <w:bottom w:val="single" w:color="auto" w:sz="4" w:space="0"/>
            </w:tcBorders>
            <w:noWrap w:val="0"/>
            <w:vAlign w:val="center"/>
          </w:tcPr>
          <w:p w14:paraId="3D18CDF0">
            <w:pPr>
              <w:jc w:val="center"/>
              <w:rPr>
                <w:rFonts w:ascii="黑体" w:hAnsi="黑体" w:eastAsia="黑体"/>
              </w:rPr>
            </w:pPr>
            <w:r>
              <w:rPr>
                <w:rFonts w:hint="eastAsia" w:ascii="黑体" w:hAnsi="黑体" w:eastAsia="黑体"/>
              </w:rPr>
              <w:t>所在学院、专业</w:t>
            </w:r>
          </w:p>
        </w:tc>
        <w:tc>
          <w:tcPr>
            <w:tcW w:w="1447" w:type="dxa"/>
            <w:gridSpan w:val="2"/>
            <w:tcBorders>
              <w:top w:val="single" w:color="auto" w:sz="4" w:space="0"/>
              <w:bottom w:val="single" w:color="auto" w:sz="4" w:space="0"/>
            </w:tcBorders>
            <w:noWrap w:val="0"/>
            <w:vAlign w:val="center"/>
          </w:tcPr>
          <w:p w14:paraId="1E853D3C">
            <w:pPr>
              <w:jc w:val="center"/>
              <w:rPr>
                <w:rFonts w:ascii="黑体" w:hAnsi="黑体" w:eastAsia="黑体"/>
              </w:rPr>
            </w:pPr>
            <w:r>
              <w:rPr>
                <w:rFonts w:hint="eastAsia" w:ascii="黑体" w:hAnsi="黑体" w:eastAsia="黑体"/>
              </w:rPr>
              <w:t>联系电话</w:t>
            </w:r>
          </w:p>
        </w:tc>
        <w:tc>
          <w:tcPr>
            <w:tcW w:w="2689" w:type="dxa"/>
            <w:tcBorders>
              <w:top w:val="single" w:color="auto" w:sz="4" w:space="0"/>
              <w:bottom w:val="single" w:color="auto" w:sz="4" w:space="0"/>
            </w:tcBorders>
            <w:noWrap w:val="0"/>
            <w:vAlign w:val="center"/>
          </w:tcPr>
          <w:p w14:paraId="3B359916">
            <w:pPr>
              <w:jc w:val="center"/>
              <w:rPr>
                <w:rFonts w:hint="eastAsia" w:ascii="黑体" w:hAnsi="黑体" w:eastAsia="黑体"/>
              </w:rPr>
            </w:pPr>
            <w:r>
              <w:rPr>
                <w:rFonts w:hint="eastAsia" w:ascii="黑体" w:hAnsi="黑体" w:eastAsia="黑体"/>
              </w:rPr>
              <w:t>项目分工</w:t>
            </w:r>
          </w:p>
        </w:tc>
      </w:tr>
      <w:tr w14:paraId="33D90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6ECEF529">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444590A2">
            <w:pPr>
              <w:jc w:val="center"/>
            </w:pPr>
          </w:p>
        </w:tc>
        <w:tc>
          <w:tcPr>
            <w:tcW w:w="719" w:type="dxa"/>
            <w:tcBorders>
              <w:top w:val="single" w:color="auto" w:sz="4" w:space="0"/>
              <w:bottom w:val="single" w:color="auto" w:sz="4" w:space="0"/>
            </w:tcBorders>
            <w:noWrap w:val="0"/>
            <w:vAlign w:val="center"/>
          </w:tcPr>
          <w:p w14:paraId="179B2025">
            <w:pPr>
              <w:jc w:val="center"/>
              <w:rPr>
                <w:rFonts w:hint="eastAsia"/>
              </w:rPr>
            </w:pPr>
          </w:p>
        </w:tc>
        <w:tc>
          <w:tcPr>
            <w:tcW w:w="2883" w:type="dxa"/>
            <w:gridSpan w:val="2"/>
            <w:tcBorders>
              <w:top w:val="single" w:color="auto" w:sz="4" w:space="0"/>
              <w:bottom w:val="single" w:color="auto" w:sz="4" w:space="0"/>
            </w:tcBorders>
            <w:noWrap w:val="0"/>
            <w:vAlign w:val="center"/>
          </w:tcPr>
          <w:p w14:paraId="1F1F9529">
            <w:pPr>
              <w:jc w:val="center"/>
              <w:rPr>
                <w:rFonts w:hint="eastAsia"/>
              </w:rPr>
            </w:pPr>
          </w:p>
        </w:tc>
        <w:tc>
          <w:tcPr>
            <w:tcW w:w="1447" w:type="dxa"/>
            <w:gridSpan w:val="2"/>
            <w:tcBorders>
              <w:top w:val="single" w:color="auto" w:sz="4" w:space="0"/>
              <w:bottom w:val="single" w:color="auto" w:sz="4" w:space="0"/>
            </w:tcBorders>
            <w:noWrap w:val="0"/>
            <w:vAlign w:val="center"/>
          </w:tcPr>
          <w:p w14:paraId="337DCA93">
            <w:pPr>
              <w:jc w:val="center"/>
              <w:rPr>
                <w:rFonts w:hint="eastAsia"/>
              </w:rPr>
            </w:pPr>
          </w:p>
        </w:tc>
        <w:tc>
          <w:tcPr>
            <w:tcW w:w="2689" w:type="dxa"/>
            <w:tcBorders>
              <w:top w:val="single" w:color="auto" w:sz="4" w:space="0"/>
              <w:bottom w:val="single" w:color="auto" w:sz="4" w:space="0"/>
            </w:tcBorders>
            <w:noWrap w:val="0"/>
            <w:vAlign w:val="center"/>
          </w:tcPr>
          <w:p w14:paraId="557F4F81">
            <w:pPr>
              <w:jc w:val="center"/>
              <w:rPr>
                <w:rFonts w:hint="eastAsia"/>
              </w:rPr>
            </w:pPr>
          </w:p>
        </w:tc>
      </w:tr>
      <w:tr w14:paraId="5EF80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2F580B73">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66755FD3">
            <w:pPr>
              <w:jc w:val="center"/>
            </w:pPr>
          </w:p>
        </w:tc>
        <w:tc>
          <w:tcPr>
            <w:tcW w:w="719" w:type="dxa"/>
            <w:tcBorders>
              <w:top w:val="single" w:color="auto" w:sz="4" w:space="0"/>
              <w:bottom w:val="single" w:color="auto" w:sz="4" w:space="0"/>
            </w:tcBorders>
            <w:noWrap w:val="0"/>
            <w:vAlign w:val="center"/>
          </w:tcPr>
          <w:p w14:paraId="274C8081">
            <w:pPr>
              <w:jc w:val="center"/>
              <w:rPr>
                <w:rFonts w:hint="eastAsia"/>
              </w:rPr>
            </w:pPr>
          </w:p>
        </w:tc>
        <w:tc>
          <w:tcPr>
            <w:tcW w:w="2883" w:type="dxa"/>
            <w:gridSpan w:val="2"/>
            <w:tcBorders>
              <w:top w:val="single" w:color="auto" w:sz="4" w:space="0"/>
              <w:bottom w:val="single" w:color="auto" w:sz="4" w:space="0"/>
            </w:tcBorders>
            <w:noWrap w:val="0"/>
            <w:vAlign w:val="center"/>
          </w:tcPr>
          <w:p w14:paraId="2FF11039">
            <w:pPr>
              <w:jc w:val="center"/>
              <w:rPr>
                <w:rFonts w:hint="eastAsia"/>
              </w:rPr>
            </w:pPr>
          </w:p>
        </w:tc>
        <w:tc>
          <w:tcPr>
            <w:tcW w:w="1447" w:type="dxa"/>
            <w:gridSpan w:val="2"/>
            <w:tcBorders>
              <w:top w:val="single" w:color="auto" w:sz="4" w:space="0"/>
              <w:bottom w:val="single" w:color="auto" w:sz="4" w:space="0"/>
            </w:tcBorders>
            <w:noWrap w:val="0"/>
            <w:vAlign w:val="center"/>
          </w:tcPr>
          <w:p w14:paraId="36D9E0C1">
            <w:pPr>
              <w:jc w:val="center"/>
              <w:rPr>
                <w:rFonts w:hint="eastAsia"/>
              </w:rPr>
            </w:pPr>
          </w:p>
        </w:tc>
        <w:tc>
          <w:tcPr>
            <w:tcW w:w="2689" w:type="dxa"/>
            <w:tcBorders>
              <w:top w:val="single" w:color="auto" w:sz="4" w:space="0"/>
              <w:bottom w:val="single" w:color="auto" w:sz="4" w:space="0"/>
            </w:tcBorders>
            <w:noWrap w:val="0"/>
            <w:vAlign w:val="center"/>
          </w:tcPr>
          <w:p w14:paraId="35AE7F33">
            <w:pPr>
              <w:jc w:val="center"/>
              <w:rPr>
                <w:rFonts w:hint="eastAsia"/>
              </w:rPr>
            </w:pPr>
          </w:p>
        </w:tc>
      </w:tr>
      <w:tr w14:paraId="040E6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7BE166C2">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5A57E226">
            <w:pPr>
              <w:jc w:val="center"/>
            </w:pPr>
          </w:p>
        </w:tc>
        <w:tc>
          <w:tcPr>
            <w:tcW w:w="719" w:type="dxa"/>
            <w:tcBorders>
              <w:top w:val="single" w:color="auto" w:sz="4" w:space="0"/>
              <w:bottom w:val="single" w:color="auto" w:sz="4" w:space="0"/>
            </w:tcBorders>
            <w:noWrap w:val="0"/>
            <w:vAlign w:val="center"/>
          </w:tcPr>
          <w:p w14:paraId="5A6B19E0">
            <w:pPr>
              <w:jc w:val="center"/>
              <w:rPr>
                <w:rFonts w:hint="eastAsia"/>
              </w:rPr>
            </w:pPr>
          </w:p>
        </w:tc>
        <w:tc>
          <w:tcPr>
            <w:tcW w:w="2883" w:type="dxa"/>
            <w:gridSpan w:val="2"/>
            <w:tcBorders>
              <w:top w:val="single" w:color="auto" w:sz="4" w:space="0"/>
              <w:bottom w:val="single" w:color="auto" w:sz="4" w:space="0"/>
            </w:tcBorders>
            <w:noWrap w:val="0"/>
            <w:vAlign w:val="center"/>
          </w:tcPr>
          <w:p w14:paraId="7B92DC79">
            <w:pPr>
              <w:jc w:val="center"/>
              <w:rPr>
                <w:rFonts w:hint="eastAsia"/>
              </w:rPr>
            </w:pPr>
          </w:p>
        </w:tc>
        <w:tc>
          <w:tcPr>
            <w:tcW w:w="1447" w:type="dxa"/>
            <w:gridSpan w:val="2"/>
            <w:tcBorders>
              <w:top w:val="single" w:color="auto" w:sz="4" w:space="0"/>
              <w:bottom w:val="single" w:color="auto" w:sz="4" w:space="0"/>
            </w:tcBorders>
            <w:noWrap w:val="0"/>
            <w:vAlign w:val="center"/>
          </w:tcPr>
          <w:p w14:paraId="5E09EAA5">
            <w:pPr>
              <w:jc w:val="center"/>
              <w:rPr>
                <w:rFonts w:hint="eastAsia"/>
              </w:rPr>
            </w:pPr>
          </w:p>
        </w:tc>
        <w:tc>
          <w:tcPr>
            <w:tcW w:w="2689" w:type="dxa"/>
            <w:tcBorders>
              <w:top w:val="single" w:color="auto" w:sz="4" w:space="0"/>
              <w:bottom w:val="single" w:color="auto" w:sz="4" w:space="0"/>
            </w:tcBorders>
            <w:noWrap w:val="0"/>
            <w:vAlign w:val="center"/>
          </w:tcPr>
          <w:p w14:paraId="75C4F9BF">
            <w:pPr>
              <w:jc w:val="center"/>
              <w:rPr>
                <w:rFonts w:hint="eastAsia"/>
              </w:rPr>
            </w:pPr>
          </w:p>
        </w:tc>
      </w:tr>
      <w:tr w14:paraId="58767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5" w:hRule="atLeast"/>
          <w:jc w:val="center"/>
        </w:trPr>
        <w:tc>
          <w:tcPr>
            <w:tcW w:w="466" w:type="dxa"/>
            <w:vMerge w:val="continue"/>
            <w:noWrap w:val="0"/>
            <w:textDirection w:val="tbRlV"/>
            <w:vAlign w:val="center"/>
          </w:tcPr>
          <w:p w14:paraId="3EDACDB8">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1CC51049">
            <w:pPr>
              <w:jc w:val="center"/>
            </w:pPr>
          </w:p>
        </w:tc>
        <w:tc>
          <w:tcPr>
            <w:tcW w:w="719" w:type="dxa"/>
            <w:tcBorders>
              <w:top w:val="single" w:color="auto" w:sz="4" w:space="0"/>
              <w:bottom w:val="single" w:color="auto" w:sz="4" w:space="0"/>
            </w:tcBorders>
            <w:noWrap w:val="0"/>
            <w:vAlign w:val="center"/>
          </w:tcPr>
          <w:p w14:paraId="40C3E1B0">
            <w:pPr>
              <w:jc w:val="center"/>
              <w:rPr>
                <w:rFonts w:hint="eastAsia"/>
              </w:rPr>
            </w:pPr>
          </w:p>
        </w:tc>
        <w:tc>
          <w:tcPr>
            <w:tcW w:w="2883" w:type="dxa"/>
            <w:gridSpan w:val="2"/>
            <w:tcBorders>
              <w:top w:val="single" w:color="auto" w:sz="4" w:space="0"/>
              <w:bottom w:val="single" w:color="auto" w:sz="4" w:space="0"/>
            </w:tcBorders>
            <w:noWrap w:val="0"/>
            <w:vAlign w:val="center"/>
          </w:tcPr>
          <w:p w14:paraId="220FE8AD">
            <w:pPr>
              <w:jc w:val="center"/>
              <w:rPr>
                <w:rFonts w:hint="eastAsia"/>
              </w:rPr>
            </w:pPr>
          </w:p>
        </w:tc>
        <w:tc>
          <w:tcPr>
            <w:tcW w:w="1447" w:type="dxa"/>
            <w:gridSpan w:val="2"/>
            <w:tcBorders>
              <w:top w:val="single" w:color="auto" w:sz="4" w:space="0"/>
              <w:bottom w:val="single" w:color="auto" w:sz="4" w:space="0"/>
            </w:tcBorders>
            <w:noWrap w:val="0"/>
            <w:vAlign w:val="center"/>
          </w:tcPr>
          <w:p w14:paraId="177D64B5">
            <w:pPr>
              <w:jc w:val="center"/>
              <w:rPr>
                <w:rFonts w:hint="eastAsia"/>
              </w:rPr>
            </w:pPr>
          </w:p>
        </w:tc>
        <w:tc>
          <w:tcPr>
            <w:tcW w:w="2689" w:type="dxa"/>
            <w:tcBorders>
              <w:top w:val="single" w:color="auto" w:sz="4" w:space="0"/>
              <w:bottom w:val="single" w:color="auto" w:sz="4" w:space="0"/>
            </w:tcBorders>
            <w:noWrap w:val="0"/>
            <w:vAlign w:val="center"/>
          </w:tcPr>
          <w:p w14:paraId="5171267D">
            <w:pPr>
              <w:jc w:val="center"/>
              <w:rPr>
                <w:rFonts w:hint="eastAsia"/>
              </w:rPr>
            </w:pPr>
          </w:p>
        </w:tc>
      </w:tr>
      <w:tr w14:paraId="32CB5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0" w:hRule="atLeast"/>
          <w:jc w:val="center"/>
        </w:trPr>
        <w:tc>
          <w:tcPr>
            <w:tcW w:w="466" w:type="dxa"/>
            <w:vMerge w:val="restart"/>
            <w:noWrap w:val="0"/>
            <w:textDirection w:val="tbRlV"/>
            <w:vAlign w:val="center"/>
          </w:tcPr>
          <w:p w14:paraId="0B68F3BD">
            <w:pPr>
              <w:ind w:left="113" w:right="113"/>
              <w:jc w:val="center"/>
              <w:rPr>
                <w:rFonts w:hint="eastAsia" w:ascii="黑体" w:hAnsi="黑体" w:eastAsia="黑体"/>
              </w:rPr>
            </w:pPr>
            <w:r>
              <w:rPr>
                <w:rFonts w:hint="eastAsia" w:ascii="黑体" w:hAnsi="黑体" w:eastAsia="黑体"/>
              </w:rPr>
              <w:t>指导教师</w:t>
            </w:r>
          </w:p>
        </w:tc>
        <w:tc>
          <w:tcPr>
            <w:tcW w:w="1082" w:type="dxa"/>
            <w:gridSpan w:val="2"/>
            <w:tcBorders>
              <w:top w:val="single" w:color="auto" w:sz="4" w:space="0"/>
              <w:bottom w:val="single" w:color="auto" w:sz="4" w:space="0"/>
            </w:tcBorders>
            <w:noWrap w:val="0"/>
            <w:vAlign w:val="center"/>
          </w:tcPr>
          <w:p w14:paraId="18BBF7E6">
            <w:pPr>
              <w:jc w:val="center"/>
              <w:rPr>
                <w:rFonts w:hint="eastAsia" w:ascii="黑体" w:hAnsi="黑体" w:eastAsia="黑体"/>
              </w:rPr>
            </w:pPr>
            <w:r>
              <w:rPr>
                <w:rFonts w:hint="eastAsia" w:ascii="黑体" w:hAnsi="黑体" w:eastAsia="黑体"/>
              </w:rPr>
              <w:t>姓名</w:t>
            </w:r>
          </w:p>
        </w:tc>
        <w:tc>
          <w:tcPr>
            <w:tcW w:w="3602" w:type="dxa"/>
            <w:gridSpan w:val="3"/>
            <w:tcBorders>
              <w:top w:val="single" w:color="auto" w:sz="4" w:space="0"/>
              <w:bottom w:val="single" w:color="auto" w:sz="4" w:space="0"/>
            </w:tcBorders>
            <w:noWrap w:val="0"/>
            <w:vAlign w:val="center"/>
          </w:tcPr>
          <w:p w14:paraId="271EFC26">
            <w:pPr>
              <w:jc w:val="center"/>
              <w:rPr>
                <w:rFonts w:hint="eastAsia"/>
              </w:rPr>
            </w:pPr>
          </w:p>
        </w:tc>
        <w:tc>
          <w:tcPr>
            <w:tcW w:w="1447" w:type="dxa"/>
            <w:gridSpan w:val="2"/>
            <w:tcBorders>
              <w:top w:val="single" w:color="auto" w:sz="4" w:space="0"/>
              <w:bottom w:val="single" w:color="auto" w:sz="4" w:space="0"/>
            </w:tcBorders>
            <w:noWrap w:val="0"/>
            <w:vAlign w:val="center"/>
          </w:tcPr>
          <w:p w14:paraId="7B4ADCB1">
            <w:pPr>
              <w:jc w:val="center"/>
              <w:rPr>
                <w:rFonts w:hint="eastAsia" w:ascii="黑体" w:hAnsi="黑体" w:eastAsia="黑体"/>
              </w:rPr>
            </w:pPr>
            <w:r>
              <w:rPr>
                <w:rFonts w:hint="eastAsia" w:ascii="黑体" w:hAnsi="黑体" w:eastAsia="黑体"/>
              </w:rPr>
              <w:t>职务/职称</w:t>
            </w:r>
          </w:p>
        </w:tc>
        <w:tc>
          <w:tcPr>
            <w:tcW w:w="2689" w:type="dxa"/>
            <w:tcBorders>
              <w:top w:val="single" w:color="auto" w:sz="4" w:space="0"/>
              <w:bottom w:val="single" w:color="auto" w:sz="4" w:space="0"/>
            </w:tcBorders>
            <w:noWrap w:val="0"/>
            <w:vAlign w:val="center"/>
          </w:tcPr>
          <w:p w14:paraId="2E7072EB">
            <w:pPr>
              <w:jc w:val="center"/>
              <w:rPr>
                <w:rFonts w:hint="eastAsia"/>
              </w:rPr>
            </w:pPr>
          </w:p>
        </w:tc>
      </w:tr>
      <w:tr w14:paraId="43045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0" w:hRule="atLeast"/>
          <w:jc w:val="center"/>
        </w:trPr>
        <w:tc>
          <w:tcPr>
            <w:tcW w:w="466" w:type="dxa"/>
            <w:vMerge w:val="continue"/>
            <w:noWrap w:val="0"/>
            <w:textDirection w:val="tbRlV"/>
            <w:vAlign w:val="center"/>
          </w:tcPr>
          <w:p w14:paraId="1AD507A7">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438C153F">
            <w:pPr>
              <w:jc w:val="center"/>
              <w:rPr>
                <w:rFonts w:hint="eastAsia" w:ascii="黑体" w:hAnsi="黑体" w:eastAsia="黑体"/>
              </w:rPr>
            </w:pPr>
            <w:r>
              <w:rPr>
                <w:rFonts w:hint="eastAsia" w:ascii="黑体" w:hAnsi="黑体" w:eastAsia="黑体"/>
              </w:rPr>
              <w:t>所在学院</w:t>
            </w:r>
          </w:p>
        </w:tc>
        <w:tc>
          <w:tcPr>
            <w:tcW w:w="3602" w:type="dxa"/>
            <w:gridSpan w:val="3"/>
            <w:tcBorders>
              <w:top w:val="single" w:color="auto" w:sz="4" w:space="0"/>
              <w:bottom w:val="single" w:color="auto" w:sz="4" w:space="0"/>
            </w:tcBorders>
            <w:noWrap w:val="0"/>
            <w:vAlign w:val="center"/>
          </w:tcPr>
          <w:p w14:paraId="3DCEEA4D">
            <w:pPr>
              <w:jc w:val="center"/>
              <w:rPr>
                <w:rFonts w:hint="eastAsia"/>
              </w:rPr>
            </w:pPr>
          </w:p>
        </w:tc>
        <w:tc>
          <w:tcPr>
            <w:tcW w:w="1447" w:type="dxa"/>
            <w:gridSpan w:val="2"/>
            <w:tcBorders>
              <w:top w:val="single" w:color="auto" w:sz="4" w:space="0"/>
              <w:bottom w:val="single" w:color="auto" w:sz="4" w:space="0"/>
            </w:tcBorders>
            <w:noWrap w:val="0"/>
            <w:vAlign w:val="center"/>
          </w:tcPr>
          <w:p w14:paraId="13623C89">
            <w:pPr>
              <w:jc w:val="center"/>
              <w:rPr>
                <w:rFonts w:hint="eastAsia" w:ascii="黑体" w:hAnsi="黑体" w:eastAsia="黑体"/>
                <w:lang w:val="en-US" w:eastAsia="zh-CN"/>
              </w:rPr>
            </w:pPr>
            <w:r>
              <w:rPr>
                <w:rFonts w:hint="eastAsia" w:ascii="黑体" w:hAnsi="黑体" w:eastAsia="黑体"/>
                <w:lang w:val="en-US" w:eastAsia="zh-CN"/>
              </w:rPr>
              <w:t>学历</w:t>
            </w:r>
          </w:p>
        </w:tc>
        <w:tc>
          <w:tcPr>
            <w:tcW w:w="2689" w:type="dxa"/>
            <w:tcBorders>
              <w:top w:val="single" w:color="auto" w:sz="4" w:space="0"/>
              <w:bottom w:val="single" w:color="auto" w:sz="4" w:space="0"/>
            </w:tcBorders>
            <w:noWrap w:val="0"/>
            <w:vAlign w:val="center"/>
          </w:tcPr>
          <w:p w14:paraId="5B5B982A">
            <w:pPr>
              <w:jc w:val="center"/>
              <w:rPr>
                <w:rFonts w:hint="eastAsia"/>
              </w:rPr>
            </w:pPr>
          </w:p>
        </w:tc>
      </w:tr>
      <w:tr w14:paraId="366CC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8" w:hRule="atLeast"/>
          <w:jc w:val="center"/>
        </w:trPr>
        <w:tc>
          <w:tcPr>
            <w:tcW w:w="466" w:type="dxa"/>
            <w:vMerge w:val="continue"/>
            <w:noWrap w:val="0"/>
            <w:textDirection w:val="tbRlV"/>
            <w:vAlign w:val="center"/>
          </w:tcPr>
          <w:p w14:paraId="76A0AEDA">
            <w:pPr>
              <w:ind w:left="113" w:right="113"/>
              <w:jc w:val="center"/>
              <w:rPr>
                <w:rFonts w:hint="eastAsia"/>
              </w:rPr>
            </w:pPr>
          </w:p>
        </w:tc>
        <w:tc>
          <w:tcPr>
            <w:tcW w:w="1082" w:type="dxa"/>
            <w:gridSpan w:val="2"/>
            <w:tcBorders>
              <w:top w:val="single" w:color="auto" w:sz="4" w:space="0"/>
              <w:bottom w:val="single" w:color="auto" w:sz="4" w:space="0"/>
            </w:tcBorders>
            <w:noWrap w:val="0"/>
            <w:vAlign w:val="center"/>
          </w:tcPr>
          <w:p w14:paraId="149D0226">
            <w:pPr>
              <w:jc w:val="center"/>
              <w:rPr>
                <w:rFonts w:hint="eastAsia" w:ascii="黑体" w:hAnsi="黑体" w:eastAsia="黑体"/>
              </w:rPr>
            </w:pPr>
            <w:r>
              <w:rPr>
                <w:rFonts w:hint="eastAsia" w:ascii="黑体" w:hAnsi="黑体" w:eastAsia="黑体"/>
              </w:rPr>
              <w:t>联系电话</w:t>
            </w:r>
          </w:p>
        </w:tc>
        <w:tc>
          <w:tcPr>
            <w:tcW w:w="3602" w:type="dxa"/>
            <w:gridSpan w:val="3"/>
            <w:tcBorders>
              <w:top w:val="single" w:color="auto" w:sz="4" w:space="0"/>
              <w:bottom w:val="single" w:color="auto" w:sz="4" w:space="0"/>
            </w:tcBorders>
            <w:noWrap w:val="0"/>
            <w:vAlign w:val="center"/>
          </w:tcPr>
          <w:p w14:paraId="2102F769">
            <w:pPr>
              <w:jc w:val="center"/>
              <w:rPr>
                <w:rFonts w:hint="eastAsia"/>
              </w:rPr>
            </w:pPr>
          </w:p>
        </w:tc>
        <w:tc>
          <w:tcPr>
            <w:tcW w:w="1447" w:type="dxa"/>
            <w:gridSpan w:val="2"/>
            <w:tcBorders>
              <w:top w:val="single" w:color="auto" w:sz="4" w:space="0"/>
              <w:bottom w:val="single" w:color="auto" w:sz="4" w:space="0"/>
            </w:tcBorders>
            <w:noWrap w:val="0"/>
            <w:vAlign w:val="center"/>
          </w:tcPr>
          <w:p w14:paraId="77C1E305">
            <w:pPr>
              <w:jc w:val="center"/>
              <w:rPr>
                <w:rFonts w:hint="eastAsia" w:ascii="黑体" w:hAnsi="黑体" w:eastAsia="黑体"/>
              </w:rPr>
            </w:pPr>
            <w:r>
              <w:rPr>
                <w:rFonts w:hint="eastAsia" w:ascii="黑体" w:hAnsi="黑体" w:eastAsia="黑体"/>
              </w:rPr>
              <w:t>E-mail</w:t>
            </w:r>
          </w:p>
        </w:tc>
        <w:tc>
          <w:tcPr>
            <w:tcW w:w="2689" w:type="dxa"/>
            <w:tcBorders>
              <w:top w:val="single" w:color="auto" w:sz="4" w:space="0"/>
              <w:bottom w:val="single" w:color="auto" w:sz="4" w:space="0"/>
            </w:tcBorders>
            <w:noWrap w:val="0"/>
            <w:vAlign w:val="center"/>
          </w:tcPr>
          <w:p w14:paraId="2C57A9CB">
            <w:pPr>
              <w:jc w:val="center"/>
              <w:rPr>
                <w:rFonts w:hint="eastAsia"/>
              </w:rPr>
            </w:pPr>
          </w:p>
        </w:tc>
      </w:tr>
      <w:tr w14:paraId="5EB5C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jc w:val="center"/>
        </w:trPr>
        <w:tc>
          <w:tcPr>
            <w:tcW w:w="1548" w:type="dxa"/>
            <w:gridSpan w:val="3"/>
            <w:noWrap w:val="0"/>
            <w:vAlign w:val="center"/>
          </w:tcPr>
          <w:p w14:paraId="7561C6E8">
            <w:pPr>
              <w:jc w:val="center"/>
              <w:rPr>
                <w:rFonts w:hint="eastAsia" w:ascii="黑体" w:hAnsi="黑体" w:eastAsia="黑体"/>
              </w:rPr>
            </w:pPr>
            <w:r>
              <w:rPr>
                <w:rFonts w:hint="eastAsia" w:ascii="黑体" w:hAnsi="黑体" w:eastAsia="黑体"/>
              </w:rPr>
              <w:t>导师简介</w:t>
            </w:r>
          </w:p>
        </w:tc>
        <w:tc>
          <w:tcPr>
            <w:tcW w:w="7738" w:type="dxa"/>
            <w:gridSpan w:val="6"/>
            <w:tcBorders>
              <w:top w:val="single" w:color="auto" w:sz="4" w:space="0"/>
              <w:bottom w:val="single" w:color="auto" w:sz="4" w:space="0"/>
            </w:tcBorders>
            <w:noWrap w:val="0"/>
            <w:vAlign w:val="top"/>
          </w:tcPr>
          <w:p w14:paraId="363593E1">
            <w:pPr>
              <w:jc w:val="both"/>
              <w:rPr>
                <w:rFonts w:hint="default" w:eastAsia="宋体"/>
                <w:lang w:val="en-US" w:eastAsia="zh-CN"/>
              </w:rPr>
            </w:pPr>
            <w:r>
              <w:rPr>
                <w:rFonts w:hint="eastAsia" w:ascii="黑体" w:hAnsi="黑体" w:eastAsia="黑体" w:cs="Times New Roman"/>
                <w:lang w:val="en-US" w:eastAsia="zh-CN"/>
              </w:rPr>
              <w:t>待指导教师据实填写科研、教学及指导情况。</w:t>
            </w:r>
          </w:p>
        </w:tc>
      </w:tr>
      <w:tr w14:paraId="2D84E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jc w:val="center"/>
        </w:trPr>
        <w:tc>
          <w:tcPr>
            <w:tcW w:w="1548" w:type="dxa"/>
            <w:gridSpan w:val="3"/>
            <w:noWrap w:val="0"/>
            <w:vAlign w:val="center"/>
          </w:tcPr>
          <w:p w14:paraId="49182D58">
            <w:pPr>
              <w:jc w:val="center"/>
              <w:rPr>
                <w:rFonts w:hint="default" w:ascii="黑体" w:hAnsi="黑体" w:eastAsia="黑体"/>
                <w:lang w:val="en-US" w:eastAsia="zh-CN"/>
              </w:rPr>
            </w:pPr>
            <w:r>
              <w:rPr>
                <w:rFonts w:hint="eastAsia" w:ascii="黑体" w:hAnsi="黑体" w:eastAsia="黑体"/>
                <w:lang w:val="en-US" w:eastAsia="zh-CN"/>
              </w:rPr>
              <w:t>指导教师可对本项目的支持情况</w:t>
            </w:r>
          </w:p>
        </w:tc>
        <w:tc>
          <w:tcPr>
            <w:tcW w:w="7738" w:type="dxa"/>
            <w:gridSpan w:val="6"/>
            <w:tcBorders>
              <w:top w:val="single" w:color="auto" w:sz="4" w:space="0"/>
              <w:bottom w:val="single" w:color="auto" w:sz="4" w:space="0"/>
            </w:tcBorders>
            <w:noWrap w:val="0"/>
            <w:vAlign w:val="top"/>
          </w:tcPr>
          <w:p w14:paraId="046EF58F">
            <w:pPr>
              <w:jc w:val="both"/>
              <w:rPr>
                <w:rFonts w:hint="eastAsia" w:eastAsia="宋体"/>
                <w:lang w:eastAsia="zh-CN"/>
              </w:rPr>
            </w:pPr>
            <w:r>
              <w:rPr>
                <w:rFonts w:hint="eastAsia"/>
                <w:lang w:eastAsia="zh-CN"/>
              </w:rPr>
              <w:t>待教师确认可提供的实验空间、参考仪器、开发及研究指导条件。</w:t>
            </w:r>
          </w:p>
        </w:tc>
      </w:tr>
      <w:tr w14:paraId="1F700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26835B1B">
            <w:pPr>
              <w:keepNext/>
              <w:keepLines/>
              <w:spacing w:beforeLines="50" w:after="100" w:line="240" w:lineRule="auto"/>
              <w:jc w:val="both"/>
              <w:rPr>
                <w:rFonts w:hint="default" w:ascii="Times New Roman" w:hAnsi="Times New Roman" w:eastAsia="宋体" w:cs="Times New Roman"/>
                <w:b/>
                <w:sz w:val="21"/>
                <w:szCs w:val="28"/>
                <w:lang w:eastAsia="zh-CN"/>
              </w:rPr>
            </w:pPr>
            <w:r>
              <w:rPr>
                <w:rFonts w:hint="default" w:ascii="Times New Roman" w:hAnsi="Times New Roman" w:eastAsia="宋体" w:cs="Times New Roman"/>
                <w:b/>
                <w:sz w:val="21"/>
                <w:szCs w:val="28"/>
                <w:lang w:eastAsia="zh-CN"/>
              </w:rPr>
              <w:t>一、项目简介（300字左右）</w:t>
            </w:r>
          </w:p>
          <w:p w14:paraId="6AF2DB6E">
            <w:pPr>
              <w:keepNext w:val="0"/>
              <w:keepLines/>
              <w:spacing w:beforeLines="50" w:after="100" w:line="240" w:lineRule="auto"/>
              <w:jc w:val="both"/>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本项目面向南疆滴灌支管巡检，拟研制双压力流量感知节点、LoRa接收端及本地Web组成的早期故障诊断物联网原型系统。针对供压、轮灌负载变化与渐进故障相互混淆的问题，研究等效泄漏、等效受限的可辨识条件，建立测量误差、故障程度、误报与提前量共同参与的评价方法；在统一检测规则下比较周期与事件上报，检验缓存、持久化确认和去重对远端告警的作用。建设双支路清水台架，开展参考标定、独立故障操作、正常干扰对照、跨批次验证及真实无线测试，形成从测量、有限诊断到人工核查、处置复测的可追溯原型、实验数据和研究报告。前期已形成文献、未标定模型、合成对照、参数化装配和离线网站，实物及现场验证在条件落实后开展。</w:t>
            </w:r>
          </w:p>
        </w:tc>
      </w:tr>
      <w:tr w14:paraId="63517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437F8DC5">
            <w:pPr>
              <w:keepNext/>
              <w:keepLines/>
              <w:spacing w:beforeLines="50" w:after="100" w:line="240" w:lineRule="auto"/>
              <w:jc w:val="both"/>
              <w:rPr>
                <w:rFonts w:hint="default" w:ascii="Times New Roman" w:hAnsi="Times New Roman" w:eastAsia="宋体" w:cs="Times New Roman"/>
                <w:b/>
                <w:sz w:val="21"/>
                <w:szCs w:val="28"/>
                <w:lang w:eastAsia="zh-CN"/>
              </w:rPr>
            </w:pPr>
            <w:r>
              <w:rPr>
                <w:rFonts w:hint="default" w:ascii="Times New Roman" w:hAnsi="Times New Roman" w:eastAsia="宋体" w:cs="Times New Roman"/>
                <w:b/>
                <w:sz w:val="21"/>
                <w:szCs w:val="28"/>
                <w:lang w:eastAsia="zh-CN"/>
              </w:rPr>
              <w:t>二、申请理由（包括自身/团队具备的知识条件、特长、兴趣等）</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25A6E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6A498AB2">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eastAsia="zh-CN"/>
                    </w:rPr>
                  </w:pPr>
                  <w:r>
                    <w:rPr>
                      <w:rFonts w:hint="default" w:ascii="Times New Roman" w:hAnsi="Times New Roman" w:eastAsia="宋体" w:cs="Times New Roman"/>
                      <w:b/>
                      <w:sz w:val="21"/>
                      <w:szCs w:val="28"/>
                      <w:vertAlign w:val="baseline"/>
                      <w:lang w:eastAsia="zh-CN"/>
                    </w:rPr>
                    <w:t>1 应用问题与专业结合</w:t>
                  </w:r>
                  <w:r>
                    <w:rPr>
                      <w:rFonts w:hint="default" w:ascii="Times New Roman" w:hAnsi="Times New Roman" w:eastAsia="宋体" w:cs="Times New Roman"/>
                      <w:b w:val="0"/>
                      <w:sz w:val="21"/>
                      <w:szCs w:val="28"/>
                      <w:vertAlign w:val="baseline"/>
                      <w:lang w:eastAsia="zh-CN"/>
                    </w:rPr>
                    <w:br w:type="textWrapping"/>
                  </w:r>
                  <w:r>
                    <w:rPr>
                      <w:rFonts w:hint="default" w:ascii="Times New Roman" w:hAnsi="Times New Roman" w:eastAsia="宋体" w:cs="Times New Roman"/>
                      <w:b w:val="0"/>
                      <w:sz w:val="21"/>
                      <w:szCs w:val="28"/>
                      <w:vertAlign w:val="baseline"/>
                      <w:lang w:eastAsia="zh-CN"/>
                    </w:rPr>
                    <w:t>滴灌支管的流量变化既可能来自正常供压和轮灌操作，也可能来自下游泄漏或局部阻力增长。巡检人员需要知道变化发生在哪个监测区段、有什么测量依据、应先检查什么。项目以这一维护需求组织传感采集、嵌入式诊断、无线协议和管理软件，使通信专业训练对应一个可重复、可检验的系统任务。</w:t>
                  </w:r>
                </w:p>
              </w:tc>
            </w:tr>
          </w:tbl>
          <w:p w14:paraId="33B478D5">
            <w:pPr>
              <w:keepNext/>
              <w:keepLines/>
              <w:spacing w:line="20" w:lineRule="exact"/>
              <w:jc w:val="both"/>
              <w:rPr>
                <w:rFonts w:hint="default" w:ascii="Times New Roman" w:hAnsi="Times New Roman" w:eastAsia="宋体" w:cs="Times New Roman"/>
                <w:b w:val="0"/>
                <w:sz w:val="2"/>
                <w:szCs w:val="28"/>
                <w:lang w:eastAsia="zh-CN"/>
              </w:rPr>
            </w:pPr>
          </w:p>
          <w:p w14:paraId="3BCB74DB">
            <w:pPr>
              <w:keepNext w:val="0"/>
              <w:keepLines/>
              <w:spacing w:beforeLines="50" w:after="100" w:line="240" w:lineRule="auto"/>
              <w:jc w:val="both"/>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负责人为塔里木大学信息工程学院通信专业大二学生，已确认具备焊接能力，拟在导师指导下学习定时采样、脉冲计数、串口通信及实验数据分析。前期模型与软件由辅助工具协助形成，作为可复现的方案基础；申报与实施还需成员能够独立解释、运行和修改核心代码。申报前安排一次模型、接口和事件流程的复现讲解，以实际表现确定开发职责。</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716EF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trPr>
              <w:tc>
                <w:tcPr>
                  <w:tcW w:w="9100" w:type="dxa"/>
                  <w:tcBorders>
                    <w:tl2br w:val="nil"/>
                    <w:tr2bl w:val="nil"/>
                  </w:tcBorders>
                </w:tcPr>
                <w:p w14:paraId="0BFEBFEF">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eastAsia="zh-CN"/>
                    </w:rPr>
                  </w:pPr>
                  <w:r>
                    <w:rPr>
                      <w:rFonts w:hint="default" w:ascii="Times New Roman" w:hAnsi="Times New Roman" w:eastAsia="宋体" w:cs="Times New Roman"/>
                      <w:b/>
                      <w:sz w:val="21"/>
                      <w:szCs w:val="28"/>
                      <w:vertAlign w:val="baseline"/>
                      <w:lang w:eastAsia="zh-CN"/>
                    </w:rPr>
                    <w:t>2 人员分工与实施条件</w:t>
                  </w:r>
                  <w:r>
                    <w:rPr>
                      <w:rFonts w:hint="default" w:ascii="Times New Roman" w:hAnsi="Times New Roman" w:eastAsia="宋体" w:cs="Times New Roman"/>
                      <w:b w:val="0"/>
                      <w:sz w:val="21"/>
                      <w:szCs w:val="28"/>
                      <w:vertAlign w:val="baseline"/>
                      <w:lang w:eastAsia="zh-CN"/>
                    </w:rPr>
                    <w:br w:type="textWrapping"/>
                  </w:r>
                  <w:r>
                    <w:rPr>
                      <w:rFonts w:hint="default" w:ascii="Times New Roman" w:hAnsi="Times New Roman" w:eastAsia="宋体" w:cs="Times New Roman"/>
                      <w:b w:val="0"/>
                      <w:sz w:val="21"/>
                      <w:szCs w:val="28"/>
                      <w:vertAlign w:val="baseline"/>
                      <w:lang w:eastAsia="zh-CN"/>
                    </w:rPr>
                    <w:t>拟设置系统与实验、嵌入式与无线、数据与Web三个岗位，实际成员名单及能力据实补充，团队含负责人不超过5人。系统岗位负责参考测量、操作标签和原型联调；嵌入式岗位负责采集、日志、事件缓存及无线；软件岗位负责接收存储、界面、统计与复现。导师审核问题、实验方案和测量进入条件，具体支持尚待确认。</w:t>
                  </w:r>
                </w:p>
              </w:tc>
            </w:tr>
          </w:tbl>
          <w:p w14:paraId="67D64D5B">
            <w:pPr>
              <w:keepNext/>
              <w:keepLines/>
              <w:spacing w:line="20" w:lineRule="exact"/>
              <w:jc w:val="both"/>
              <w:rPr>
                <w:rFonts w:hint="default" w:ascii="Times New Roman" w:hAnsi="Times New Roman" w:eastAsia="宋体" w:cs="Times New Roman"/>
                <w:b w:val="0"/>
                <w:sz w:val="2"/>
                <w:szCs w:val="28"/>
                <w:lang w:eastAsia="zh-CN"/>
              </w:rPr>
            </w:pPr>
          </w:p>
          <w:p w14:paraId="7FCF28EF">
            <w:pPr>
              <w:keepNext w:val="0"/>
              <w:keepLines/>
              <w:spacing w:beforeLines="50" w:after="100" w:line="240" w:lineRule="auto"/>
              <w:jc w:val="both"/>
              <w:rPr>
                <w:rFonts w:hint="default" w:ascii="Times New Roman" w:hAnsi="Times New Roman" w:eastAsia="宋体" w:cs="Times New Roman"/>
                <w:sz w:val="21"/>
                <w:szCs w:val="28"/>
                <w:lang w:eastAsia="zh-CN"/>
              </w:rPr>
            </w:pPr>
            <w:r>
              <w:rPr>
                <w:rFonts w:hint="default" w:ascii="Times New Roman" w:hAnsi="Times New Roman" w:eastAsia="宋体" w:cs="Times New Roman"/>
                <w:sz w:val="21"/>
                <w:szCs w:val="28"/>
                <w:lang w:eastAsia="zh-CN"/>
              </w:rPr>
              <w:t>启动经费约2000元，按已有电脑、借用可调连续水源和参考仪器估算。场地、参考压力表、称量或容积计时设备、整机电流测量和田间许可目前未落实。先联系水路实验条件和合格压力器件报价，基础验证依托清水台架；现场调查与部署另以许可和经费为条件。项目的农业意义是辅助水力异常排查，节水、增产效益需独立农学证据。</w:t>
            </w:r>
          </w:p>
        </w:tc>
      </w:tr>
      <w:tr w14:paraId="1DE6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00F2FFF8">
            <w:pPr>
              <w:keepNext/>
              <w:keepLines/>
              <w:spacing w:beforeLines="50" w:after="100" w:line="240" w:lineRule="auto"/>
              <w:jc w:val="both"/>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三、项目方案（项目内容、项目目标、技术路线、实验方案、要解决的主要问题）</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3202B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trPr>
              <w:tc>
                <w:tcPr>
                  <w:tcW w:w="9100" w:type="dxa"/>
                  <w:tcBorders>
                    <w:tl2br w:val="nil"/>
                    <w:tr2bl w:val="nil"/>
                  </w:tcBorders>
                </w:tcPr>
                <w:p w14:paraId="667733F6">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1 总体目标与系统结构</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拟完成一个P0/P1/Q感知诊断节点、一个LoRa接收端、双支路清水台架和现有电脑上的本地Web。系统回答两个问题：低成本双压力流量测量在何种工况和误差条件下可区分等效泄漏与等效受限；在相同本地判据及确认要求下，减少上报是否仍能维持远端告警及时性。原型承担完整的测量、有限诊断、传输、人工核查和独立评价，论文从其中证据充分的问题提炼贡献。</w:t>
                  </w:r>
                </w:p>
              </w:tc>
            </w:tr>
          </w:tbl>
          <w:p w14:paraId="58B600D2">
            <w:pPr>
              <w:keepNext/>
              <w:keepLines/>
              <w:spacing w:line="20" w:lineRule="exact"/>
              <w:jc w:val="both"/>
              <w:rPr>
                <w:rFonts w:hint="default" w:ascii="Times New Roman" w:hAnsi="Times New Roman" w:eastAsia="宋体" w:cs="Times New Roman"/>
                <w:b w:val="0"/>
                <w:sz w:val="2"/>
                <w:szCs w:val="28"/>
                <w:lang w:val="en-US" w:eastAsia="zh-CN"/>
              </w:rPr>
            </w:pPr>
          </w:p>
          <w:p w14:paraId="5D4AA368">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图1明确设备、软件及评价职责。节点保存采集记录和待确认事件，LoRa模块承担无线与串口桥接；接收持久化与去重由PC服务完成，数据库提交后才发送匹配ACK。Web记录已查看、处置和复测，独立操作标签及参考测量用于评价，三者分别留痕。</w:t>
            </w:r>
          </w:p>
          <w:p w14:paraId="02D7E298">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6" o:spt="75" alt="图1 系统职责与独立评价关系 拟实施方案" type="#_x0000_t75" style="height:282.9pt;width:410pt;" filled="f" o:preferrelative="t" stroked="f" coordsize="21600,21600">
                  <v:path/>
                  <v:fill on="f" focussize="0,0"/>
                  <v:stroke on="f"/>
                  <v:imagedata r:id="rId6" o:title="system_responsibilities"/>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图1 系统职责与独立评价关系 拟实施方案</w:t>
            </w:r>
          </w:p>
          <w:p w14:paraId="260CF57C">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位置范围限定为所监测支管及两压力点包围区段。双支路提供共同供水和正常切换条件，只有A布设一个感知节点。自动阀控、云端、多节点和太阳能不是基础交付；它们需要新增设备、资源和独立验证。系统图中的联调链路是实施目标，当前离线Web没有连接节点或PC接收服务。</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269689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trPr>
              <w:tc>
                <w:tcPr>
                  <w:tcW w:w="9100" w:type="dxa"/>
                  <w:tcBorders>
                    <w:tl2br w:val="nil"/>
                    <w:tr2bl w:val="nil"/>
                  </w:tcBorders>
                </w:tcPr>
                <w:p w14:paraId="25C2E42C">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2 水路与三维实验平台</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sz w:val="21"/>
                      <w:szCs w:val="28"/>
                      <w:vertAlign w:val="baseline"/>
                      <w:lang w:val="en-US" w:eastAsia="zh-CN"/>
                    </w:rPr>
                    <w:t>2.1 测点与独立故障标签</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监测水路依次为P0侧向取压、受限元件R、P1侧向取压、Q，随后分为正常A负载与泄漏旁路。Q记录两者总流量，两个压力点包围受限区段。B支路同源供水，仅制造正常共同负载扰动，不增加第二监测节点。图2规定测点、分流及故障位置，与模型和实验标签保持一致。</w:t>
                  </w:r>
                </w:p>
              </w:tc>
            </w:tr>
          </w:tbl>
          <w:p w14:paraId="224407B6">
            <w:pPr>
              <w:keepNext/>
              <w:keepLines/>
              <w:spacing w:line="20" w:lineRule="exact"/>
              <w:jc w:val="both"/>
              <w:rPr>
                <w:rFonts w:hint="default" w:ascii="Times New Roman" w:hAnsi="Times New Roman" w:eastAsia="宋体" w:cs="Times New Roman"/>
                <w:b w:val="0"/>
                <w:sz w:val="2"/>
                <w:szCs w:val="28"/>
                <w:lang w:val="en-US" w:eastAsia="zh-CN"/>
              </w:rPr>
            </w:pPr>
          </w:p>
          <w:p w14:paraId="30C40AD1">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7" o:spt="75" alt="图2 双支路清水台架与故障注入位置 原理关系示意" type="#_x0000_t75" style="height:266.5pt;width:410pt;" filled="f" o:preferrelative="t" stroked="f" coordsize="21600,21600">
                  <v:path/>
                  <v:fill on="f" focussize="0,0"/>
                  <v:stroke on="f"/>
                  <v:imagedata r:id="rId7" o:title="water_layout"/>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图2 双支路清水台架与故障注入位置 原理关系示意</w:t>
            </w:r>
          </w:p>
          <w:p w14:paraId="1A31A6B9">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逐步打开旁路形成等效泄漏，用独立收集与计时确定泄漏流量；调节R形成等效受限，记录阀操作并用参考压力流量核对程度。受限实验评价集中阻力变化的水力响应，不据此解释泥沙、化学或生物堵塞机理。操作标签与参考记录单独保存，不能由检测曲线反推故障真值。</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25D94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1DC2429E">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2.2 装配布局与计量条件</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图3来自同一参数化实体场景，安排侧向取压、活接、支架、采集盒、回水与独立收集。900×520mm底板、140mm管中心高度是暂定布局参数，不是定制平台采购要求；器件包络、螺纹、安装长度及流量计前后直管要求需按实际选型冻结。STEP和GLB用于核查布局与检修关系，模型未制造。</w:t>
                  </w:r>
                </w:p>
              </w:tc>
            </w:tr>
          </w:tbl>
          <w:p w14:paraId="35488867">
            <w:pPr>
              <w:keepNext/>
              <w:keepLines/>
              <w:spacing w:line="20" w:lineRule="exact"/>
              <w:jc w:val="both"/>
              <w:rPr>
                <w:rFonts w:hint="default" w:ascii="Times New Roman" w:hAnsi="Times New Roman" w:eastAsia="宋体" w:cs="Times New Roman"/>
                <w:b w:val="0"/>
                <w:sz w:val="2"/>
                <w:szCs w:val="28"/>
                <w:lang w:val="en-US" w:eastAsia="zh-CN"/>
              </w:rPr>
            </w:pPr>
          </w:p>
          <w:p w14:paraId="15936A96">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8" o:spt="75" alt="图3 台架装配及独立收集布局 未制造概念模型" type="#_x0000_t75" style="height:369.8pt;width:410pt;" filled="f" o:preferrelative="t" stroked="f" coordsize="21600,21600">
                  <v:path/>
                  <v:fill on="f" focussize="0,0"/>
                  <v:stroke on="f"/>
                  <v:imagedata r:id="rId8" o:title="collection_overview"/>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图3 台架装配及独立收集布局 未制造概念模型</w:t>
            </w:r>
          </w:p>
          <w:p w14:paraId="4116D459">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当前24组模型网格最大泄漏1.055L/min，30秒取样并乘1.25余量需要659.4mL；候选空腔几何容量678.6mL。杯口与出口保持20mm自由出流间隙，收集不应淹没出口或形成背压。几何容量尚未扣除防溅和安全液位，实际有效容量不足时缩短取样或更换容器。长时连续实验另设排水与分次取样，不能用小杯承接8小时泄漏。</w:t>
            </w:r>
          </w:p>
          <w:p w14:paraId="3A3464D1">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前序已检查相关部件局部实体交集和20个离散取出位置，结果仅支持概念布局；全装配干涉、连续取出、密封耐压、防水及人体操作仍待验证。水路装配先检查固定、排气与漏水，再做稳定性和参考计量，合格后进入故障实验。</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760EF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0E2CCD5E">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3 节点采集与测量建模</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sz w:val="21"/>
                      <w:szCs w:val="28"/>
                      <w:vertAlign w:val="baseline"/>
                      <w:lang w:val="en-US" w:eastAsia="zh-CN"/>
                    </w:rPr>
                    <w:t>3.1 候选硬件与接口</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节点采用STM32F103C8T6开发板候选，按64KB Flash、20KB SRAM规划；双压力采用MPM489系列或满足同等条件的器件，询价条件明确为表压0—200kPa、两线制4—20mA、A1或供方书面确认的±0.25%FS等级。型号系列不代表已获得所需规格。ADS1115通过I²C采集压力，SEN0549通过定时器计数，microSD经SPI保存记录，E220-400T22D通过UART连接。接收端为另一只E220及3.3V逻辑USB-TTL接电脑，不增加第二主控。</w:t>
                  </w:r>
                </w:p>
              </w:tc>
            </w:tr>
          </w:tbl>
          <w:p w14:paraId="6B07FFDB">
            <w:pPr>
              <w:keepNext/>
              <w:keepLines/>
              <w:spacing w:line="20" w:lineRule="exact"/>
              <w:jc w:val="both"/>
              <w:rPr>
                <w:rFonts w:hint="default" w:ascii="Times New Roman" w:hAnsi="Times New Roman" w:eastAsia="宋体" w:cs="Times New Roman"/>
                <w:b w:val="0"/>
                <w:sz w:val="2"/>
                <w:szCs w:val="28"/>
                <w:lang w:val="en-US" w:eastAsia="zh-CN"/>
              </w:rPr>
            </w:pPr>
          </w:p>
          <w:p w14:paraId="31199AFC">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图4把压力回路与流量电平放在同一采集论证中。24V压力回路经150Ω电阻得到0.6—3.0V，正常20mA时耗散0.06W，候选电阻0.1%、不低于0.25W。ADS1115为3.3V供电、±4.096V增益档，PGA不扩大引脚允许电压；22mA故障电流已使采样达到3.3V，限流、钳位、断电注入和共地必须另行定值与验证。该图是功能原理，不是可直接投板的制造图。</w:t>
            </w:r>
          </w:p>
          <w:p w14:paraId="3008F19D">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29" o:spt="75" alt="图4 双压力与流量采集接口 功能设计 保护定值待验证" type="#_x0000_t75" style="height:381.3pt;width:410pt;" filled="f" o:preferrelative="t" stroked="f" coordsize="21600,21600">
                  <v:path/>
                  <v:fill on="f" focussize="0,0"/>
                  <v:stroke on="f"/>
                  <v:imagedata r:id="rId9" o:title="measurement_interfaces"/>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图4 双压力与流量采集接口 功能设计 保护定值待验证</w:t>
            </w:r>
          </w:p>
          <w:p w14:paraId="616B7266">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SEN0549候选为5V供电、0.3—5L/min、540脉冲/L，脉冲经3.3V供电SN74LVC1G17转换至MCU输入。LoRa供电拟5V，UART逻辑仍为3.3V；两类电压不能混用。3.3V和5V电源各按不低于1A的设计预留核对，但这不是实测最大电流保证，需检验SD写入与发射同时发生的瞬态。前序17个候选引脚没有重复占用，编译后的Flash/RAM、实板引脚、模块固件与整机供电尚待检查。</w:t>
            </w:r>
          </w:p>
          <w:p w14:paraId="019F25A4">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采集初版每1秒记录，压力分时转换与流量10秒滚动脉冲计数保留各自时间。128SPS设定下两次名义转换共15.625ms、中点错位约7.813ms，不含总线和时钟误差。计数一个脉冲在10秒窗对应0.01111L/min，1秒窗对应0.11111L/min；记录原始计数、窗口和时间，评价分辨率与延迟取舍。现有高斯回放没有实现离散脉冲计数，不可写成完整采集固件验证。</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3D652D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4490CD2F">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3.2 参考标定与误差进入条件</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先用独立参考压力表完成零点及工作范围内不少于5点的升降压标定，每点至少3次独立稳定读取，检验两压力通道在共同压力下的差值。流量用容积或称量计时在至少5个工作点校核，并检查取样时长、重复性和计数。保存参考仪器信息、原始值、拟合参数、残差、温度及时间，标定批次与后续验证分开。</w:t>
                  </w:r>
                </w:p>
              </w:tc>
            </w:tr>
          </w:tbl>
          <w:p w14:paraId="1EED152F">
            <w:pPr>
              <w:keepNext/>
              <w:keepLines/>
              <w:spacing w:line="20" w:lineRule="exact"/>
              <w:jc w:val="both"/>
              <w:rPr>
                <w:rFonts w:hint="default" w:ascii="Times New Roman" w:hAnsi="Times New Roman" w:eastAsia="宋体" w:cs="Times New Roman"/>
                <w:b w:val="0"/>
                <w:sz w:val="2"/>
                <w:szCs w:val="28"/>
                <w:lang w:val="en-US" w:eastAsia="zh-CN"/>
              </w:rPr>
            </w:pPr>
          </w:p>
          <w:p w14:paraId="44ED8935">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0.25%FS、200kPa条件下单压力标称界限为±0.5kPa，两路最不利差压界限1kPa，尚未包含调理、ADC、温漂与参考误差。随机相关性影响差压方差，偏差不会被均值消除；据实估计误差及协方差，不把ADC码宽当整机准确度。进入辨识实验前，要求目标变化相对扩展不确定度能够分离，初步以变化约为不确定度两倍作为保守预实验审查线，具体口径由导师冻结。</w:t>
            </w:r>
          </w:p>
          <w:p w14:paraId="7BA71168">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若不满足，优先改量程、布点或可检程度，再重新标定；不得仅增加滤波次数兑现微小故障检出目标。流量公开±1%规格的基准尚待书面核对，暂同时分析按读数与按量程上限的误差假设。</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6564EA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6F454308">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3.3 等效模型与适用条件</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采用P0−P1=R·Q²、Q=(Cₙ+Cₗ)√P1的集中参数模型，用共同供水阻力连接A/B。R增大表示监测区段受限，Cₗ增大表示泄漏，但未知正常负载Cₙ增加也可形成相同观测。P单位kPa、Q单位L/min，R单位kPa/(L/min)²，C单位(L/min)/√kPa。模型用于布点、量程及辨识反例，不替代分布出流管网或CFD标定[2,3,12]。</w:t>
                  </w:r>
                </w:p>
              </w:tc>
            </w:tr>
          </w:tbl>
          <w:p w14:paraId="2B1CF11C">
            <w:pPr>
              <w:keepNext/>
              <w:keepLines/>
              <w:spacing w:line="20" w:lineRule="exact"/>
              <w:jc w:val="both"/>
              <w:rPr>
                <w:rFonts w:hint="default" w:ascii="Times New Roman" w:hAnsi="Times New Roman" w:eastAsia="宋体" w:cs="Times New Roman"/>
                <w:b w:val="0"/>
                <w:sz w:val="2"/>
                <w:szCs w:val="28"/>
                <w:lang w:val="en-US" w:eastAsia="zh-CN"/>
              </w:rPr>
            </w:pPr>
          </w:p>
          <w:p w14:paraId="324A4CFF">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当前设计为健康C=0.28、R=0.8，泄漏总C渐增至0.37，受限R渐增至8。三档供压与B开关等24组网格中A流量1.85—4.34L/min，模型最大供水总流量约7.95L/min。水源必须在同一连续压力—流量工作点满足需求，不能拼接商品最大流量和截止压力。网格覆盖是枚举计算，不是完整工作空间保证。</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442AE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59275DD9">
                  <w:pPr>
                    <w:keepNext w:val="0"/>
                    <w:keepLines/>
                    <w:pageBreakBefore w:val="0"/>
                    <w:spacing w:beforeLines="50" w:after="100" w:line="240" w:lineRule="auto"/>
                    <w:jc w:val="both"/>
                    <w:rPr>
                      <w:rFonts w:hint="default" w:ascii="Times New Roman" w:hAnsi="Times New Roman" w:eastAsia="宋体" w:cs="Times New Roman"/>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对288个静态有界误差组合分别检查健康与故障区间分离以及固定阈值触发余量。部分工况存在区间可分而现有阈值仍不能触发的情况，因此误差论证和在线检测结果分开报告。健康负载压力补偿或指数失配时先检验实测关系，修订经验曲线和适用范围；现有平方律结论不直接推广到所有滴灌负载。</w:t>
                  </w:r>
                </w:p>
              </w:tc>
            </w:tr>
          </w:tbl>
          <w:p w14:paraId="290B306D">
            <w:pPr>
              <w:keepNext w:val="0"/>
              <w:keepLines/>
              <w:spacing w:line="20" w:lineRule="exact"/>
              <w:jc w:val="both"/>
              <w:rPr>
                <w:rFonts w:hint="default" w:ascii="Times New Roman" w:hAnsi="Times New Roman" w:eastAsia="宋体" w:cs="Times New Roman"/>
                <w:sz w:val="2"/>
                <w:szCs w:val="28"/>
                <w:lang w:val="en-US" w:eastAsia="zh-CN"/>
              </w:rPr>
            </w:pP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5E0D4A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1F6F96D1">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4 渐进故障诊断与早期评价</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sz w:val="21"/>
                      <w:szCs w:val="28"/>
                      <w:vertAlign w:val="baseline"/>
                      <w:lang w:val="en-US" w:eastAsia="zh-CN"/>
                    </w:rPr>
                    <w:t>4.1 特征与有条件的模式输出</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利用K=Q/√P1描述下游等效负载，R̂=(P0−P1)/Q²描述监测区段阻力。拟实施流程见图5：首先检查量程、缺测及参考有效性，再确认运行工况可比，计算特征和误差区间，最后进行持续确认。工况未知或切换等待期间继续记录原始数据，暂缓单一原因判断，并统计该时间内的故障遗漏。</w:t>
                  </w:r>
                </w:p>
              </w:tc>
            </w:tr>
          </w:tbl>
          <w:p w14:paraId="2D54B956">
            <w:pPr>
              <w:keepNext/>
              <w:keepLines/>
              <w:spacing w:line="20" w:lineRule="exact"/>
              <w:jc w:val="both"/>
              <w:rPr>
                <w:rFonts w:hint="default" w:ascii="Times New Roman" w:hAnsi="Times New Roman" w:eastAsia="宋体" w:cs="Times New Roman"/>
                <w:b w:val="0"/>
                <w:sz w:val="2"/>
                <w:szCs w:val="28"/>
                <w:lang w:val="en-US" w:eastAsia="zh-CN"/>
              </w:rPr>
            </w:pPr>
          </w:p>
          <w:p w14:paraId="705C1748">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0" o:spt="75" alt="图5 质量与工况辅助诊断流程 拟实施 门控尚未实现" type="#_x0000_t75" style="height:348.5pt;width:410pt;" filled="f" o:preferrelative="t" stroked="f" coordsize="21600,21600">
                  <v:path/>
                  <v:fill on="f" focussize="0,0"/>
                  <v:stroke on="f"/>
                  <v:imagedata r:id="rId10" o:title="diagnosis_proposal"/>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图5 质量与工况辅助诊断流程 拟实施 门控尚未实现</w:t>
            </w:r>
          </w:p>
          <w:p w14:paraId="021CE279">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输出为等效泄漏候选、等效受限候选、异常待检查或数据无效，附原始观测、特征偏离、阀态、质量与参照版本。K增加而R̂近似稳定时提示检查泄漏及正常负载变化；R̂增加时同时核查受限及压力偏置。两个特征同时变化或证据不足时不强制归因。真实原因仍由独立操作、参考测量和现场检查确认。</w:t>
            </w:r>
          </w:p>
          <w:p w14:paraId="78A5C937">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当前合成规则仅实现10样本因果均值、K相对参照增加6%、R̂绝对增加0.6及连续5次确认，未实现图5的操作门控、区间分类或自动参照迁移。实施阶段先完成基线复现，再加入可比性门控并作消融，不能把拟研究部分算入现有成果。</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5EB6FD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7D425DDB">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4.2 独立参照与评价目标</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实测拟以参考流量相对同供压、同B状态健康值的偏离定义5%、10%、15%程度，并分别核对泄漏收集量及受限操作。15%仅为当前演示失效参照，实际范围由预实验和导师在验证前冻结；它不等于泄漏占比、产量损失或农业失效标准。故障操作起点、独立参照、本地首次持续正确提示及远端首次持久化分别记录。</w:t>
                  </w:r>
                </w:p>
              </w:tc>
            </w:tr>
          </w:tbl>
          <w:p w14:paraId="3AA0CE11">
            <w:pPr>
              <w:keepNext/>
              <w:keepLines/>
              <w:spacing w:line="20" w:lineRule="exact"/>
              <w:jc w:val="both"/>
              <w:rPr>
                <w:rFonts w:hint="default" w:ascii="Times New Roman" w:hAnsi="Times New Roman" w:eastAsia="宋体" w:cs="Times New Roman"/>
                <w:b w:val="0"/>
                <w:sz w:val="2"/>
                <w:szCs w:val="28"/>
                <w:lang w:val="en-US" w:eastAsia="zh-CN"/>
              </w:rPr>
            </w:pP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18507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7C5CD0AF">
                  <w:pPr>
                    <w:keepNext w:val="0"/>
                    <w:keepLines/>
                    <w:pageBreakBefore w:val="0"/>
                    <w:spacing w:beforeLines="50" w:after="100" w:line="240" w:lineRule="auto"/>
                    <w:jc w:val="both"/>
                    <w:rPr>
                      <w:rFonts w:hint="default" w:ascii="Times New Roman" w:hAnsi="Times New Roman" w:eastAsia="宋体" w:cs="Times New Roman"/>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有效早期要求故障前无确认误报、故障后首次确认模式正确且早于独立参照。报告每个独立试次的漏检、先错后对、迟检及未检出，不只平均成功提前量。拟定挑战目标是在通过测量进入审查的适用范围内，10%及15%故障组首次持续候选正确比例达到90%，正常运行确认误报不高于1次/小时，并评价到达15%参照前的有效早期比例；5%作为测量与辨识边界挑战，不预先承诺全部检出。以上均为研究目标而非已有性能，预实验后由导师核定并随任务书冻结；正式验证不回调阈值，未达标时保留结果、误差原因与任务调整记录。</w:t>
                  </w:r>
                </w:p>
              </w:tc>
            </w:tr>
          </w:tbl>
          <w:p w14:paraId="3BC06BA4">
            <w:pPr>
              <w:keepNext w:val="0"/>
              <w:keepLines/>
              <w:spacing w:line="20" w:lineRule="exact"/>
              <w:jc w:val="both"/>
              <w:rPr>
                <w:rFonts w:hint="default" w:ascii="Times New Roman" w:hAnsi="Times New Roman" w:eastAsia="宋体" w:cs="Times New Roman"/>
                <w:sz w:val="2"/>
                <w:szCs w:val="28"/>
                <w:lang w:val="en-US" w:eastAsia="zh-CN"/>
              </w:rPr>
            </w:pP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2662A2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1EEADA73">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5 LoRa可靠告警与接收服务</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节点把事件写入本地日志和待确认队列后发送，候选身份包含device、boot/session和seq，保存发生时刻、质量及测量摘要。现有主机协议候选采用44B事件、24B ACK及CRC校验与COBS串口定界。PC服务检查帧和身份，SQLite提交成功后发送匹配ACK；重复同内容事件只重发ACK，身份相同而内容不同则拒绝覆盖。图6分别展示正常确认和ACK丢失路径。</w:t>
                  </w:r>
                </w:p>
              </w:tc>
            </w:tr>
          </w:tbl>
          <w:p w14:paraId="1A3B77F8">
            <w:pPr>
              <w:keepNext/>
              <w:keepLines/>
              <w:spacing w:line="20" w:lineRule="exact"/>
              <w:jc w:val="both"/>
              <w:rPr>
                <w:rFonts w:hint="default" w:ascii="Times New Roman" w:hAnsi="Times New Roman" w:eastAsia="宋体" w:cs="Times New Roman"/>
                <w:b w:val="0"/>
                <w:sz w:val="2"/>
                <w:szCs w:val="28"/>
                <w:lang w:val="en-US" w:eastAsia="zh-CN"/>
              </w:rPr>
            </w:pPr>
          </w:p>
          <w:p w14:paraId="551E4692">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已完成字节编码和主机事务的独立检查，节点microSD恢复日志、boot身份分配及真实串口尚待实现。AUX含义随模块固件和配置变化，缓冲空闲不一定表示空中发送完成，更不等于远端ACK；实施前读取固件和参数并测实际时序。M0/M1、天线、UART、射频设置、载荷与重试参数保存在配置版本中。</w:t>
            </w:r>
          </w:p>
          <w:p w14:paraId="2C8EEE9B">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比较快周期、慢周期、原始事件和滤波限频事件四策略，共用本地检测记录、载荷、确认、实际链路与时间基准。分别记录本地提示延迟、远端持久化延迟、P50/P95、期限内送达比例、未送达、重试和重复；帧数、字节及无线占用与整机能量分开。历史FIFO反例中首事件丢ACK使后续事件等待61秒，现有方案不承诺20秒送达或必然送达。拟比较限重试与队列调度，超期、拒绝入队和无法恢复的缺口显式记录，不静默丢弃。</w:t>
            </w:r>
          </w:p>
          <w:p w14:paraId="0A43C7CD">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1" o:spt="75" alt="图6 持久化确认与丢ACK重试关系 候选协议 非真实射频" type="#_x0000_t75" style="height:381.3pt;width:410pt;" filled="f" o:preferrelative="t" stroked="f" coordsize="21600,21600">
                  <v:path/>
                  <v:fill on="f" focussize="0,0"/>
                  <v:stroke on="f"/>
                  <v:imagedata r:id="rId11" o:title="durable_event_sequence"/>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图6 持久化确认与丢ACK重试关系 候选协议 非真实射频</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7D332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7C4BAE0C">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6 本地Web与维护复测</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运行网站提供总览、支管监测、异常事件、设备链路、历史记录和设置。当前已实现合成回放、质量状态、连续候选去重、快照冻结、查看处置、复测依据、本地保存和CSV/JSON导出。图7为当前主站原生局部截图；截图里的读数和候选来自合成数据，真实LoRa未接入。</w:t>
                  </w:r>
                </w:p>
              </w:tc>
            </w:tr>
          </w:tbl>
          <w:p w14:paraId="3B002E98">
            <w:pPr>
              <w:keepNext/>
              <w:keepLines/>
              <w:spacing w:line="20" w:lineRule="exact"/>
              <w:jc w:val="both"/>
              <w:rPr>
                <w:rFonts w:hint="default" w:ascii="Times New Roman" w:hAnsi="Times New Roman" w:eastAsia="宋体" w:cs="Times New Roman"/>
                <w:b w:val="0"/>
                <w:sz w:val="2"/>
                <w:szCs w:val="28"/>
                <w:lang w:val="en-US" w:eastAsia="zh-CN"/>
              </w:rPr>
            </w:pPr>
          </w:p>
          <w:p w14:paraId="64B35493">
            <w:pPr>
              <w:keepNext w:val="0"/>
              <w:keepLines/>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2" o:spt="75" alt="图7 当前离线Web诊断卡片 原生截图 合成观测 未接实物" type="#_x0000_t75" style="height:461.05pt;width:380pt;" filled="f" o:preferrelative="t" stroked="f" coordsize="21600,21600">
                  <v:path/>
                  <v:fill on="f" focussize="0,0"/>
                  <v:stroke on="f"/>
                  <v:imagedata r:id="rId12" o:title="website_diagnosis_panel"/>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图7 当前离线Web诊断卡片 原生截图 合成观测 未接实物</w:t>
            </w:r>
          </w:p>
          <w:p w14:paraId="3D53D53B">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实施阶段由Python串口服务写入SQLite，Web读取真实记录，并关联试次、事件、配置与健康参照。断连显示无当前有效判断，不能拿旧值显示正常。人工已查看、处置及同工况复测分别留痕；数据无效、工况不可比或异常仍在时不归档。无线ACK只表示接收提交，人工归档只记录维护结论，不能互相代替。</w:t>
            </w:r>
          </w:p>
          <w:p w14:paraId="5C74EEB8">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联调先有线采集与原始日志，再接无线及PC服务，最后接网站。验收以同一事件的采集、判定、发送、持久化、显示与人工记录为链，至少完成两类故障的处置复测和一次误报核查，检查日志能否重建全过程。当前localStorage演示与已检查的主机SQLite是独立软件，尚未贯通。</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12CFA0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46633BB8">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7 四工作包与分层实验</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表1把完整系统任务对应到交付与进入条件。系统集成是结项必做，测量边界和诊断比较形成主论文候选；真实告警调度取舍作为备选研究问题。每个工作包保留程序、配置、原始记录和失败清单，不以界面截图替代性能评价。</w:t>
                  </w:r>
                </w:p>
              </w:tc>
            </w:tr>
          </w:tbl>
          <w:p w14:paraId="2F14671B">
            <w:pPr>
              <w:keepNext/>
              <w:keepLines/>
              <w:spacing w:line="20" w:lineRule="exact"/>
              <w:jc w:val="both"/>
              <w:rPr>
                <w:rFonts w:hint="default" w:ascii="Times New Roman" w:hAnsi="Times New Roman" w:eastAsia="宋体" w:cs="Times New Roman"/>
                <w:b w:val="0"/>
                <w:sz w:val="2"/>
                <w:szCs w:val="28"/>
                <w:lang w:val="en-US" w:eastAsia="zh-CN"/>
              </w:rPr>
            </w:pP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52A20F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070" w:type="dxa"/>
                  <w:tcBorders>
                    <w:tl2br w:val="nil"/>
                    <w:tr2bl w:val="nil"/>
                  </w:tcBorders>
                </w:tcPr>
                <w:p w14:paraId="7033D719">
                  <w:pPr>
                    <w:keepNext w:val="0"/>
                    <w:keepLines/>
                    <w:spacing w:beforeLines="50" w:after="140" w:line="240" w:lineRule="auto"/>
                    <w:jc w:val="both"/>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表1 四工作包与验证交付</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60" w:type="dxa"/>
                      <w:left w:w="100" w:type="dxa"/>
                      <w:bottom w:w="60" w:type="dxa"/>
                      <w:right w:w="100" w:type="dxa"/>
                    </w:tblCellMar>
                  </w:tblPr>
                  <w:tblGrid>
                    <w:gridCol w:w="1100"/>
                    <w:gridCol w:w="2100"/>
                    <w:gridCol w:w="3100"/>
                    <w:gridCol w:w="2200"/>
                  </w:tblGrid>
                  <w:tr w14:paraId="156A873C">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blHeader/>
                    </w:trPr>
                    <w:tc>
                      <w:tcPr>
                        <w:tcW w:w="1100" w:type="dxa"/>
                        <w:tcBorders>
                          <w:tl2br w:val="nil"/>
                          <w:tr2bl w:val="nil"/>
                        </w:tcBorders>
                        <w:shd w:val="clear" w:color="auto" w:fill="EDEDED"/>
                        <w:vAlign w:val="center"/>
                      </w:tcPr>
                      <w:p w14:paraId="095CEF79">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工作包</w:t>
                        </w:r>
                      </w:p>
                    </w:tc>
                    <w:tc>
                      <w:tcPr>
                        <w:tcW w:w="2100" w:type="dxa"/>
                        <w:tcBorders>
                          <w:tl2br w:val="nil"/>
                          <w:tr2bl w:val="nil"/>
                        </w:tcBorders>
                        <w:shd w:val="clear" w:color="auto" w:fill="EDEDED"/>
                        <w:vAlign w:val="center"/>
                      </w:tcPr>
                      <w:p w14:paraId="3A297CB6">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必交付</w:t>
                        </w:r>
                      </w:p>
                    </w:tc>
                    <w:tc>
                      <w:tcPr>
                        <w:tcW w:w="3100" w:type="dxa"/>
                        <w:tcBorders>
                          <w:tl2br w:val="nil"/>
                          <w:tr2bl w:val="nil"/>
                        </w:tcBorders>
                        <w:shd w:val="clear" w:color="auto" w:fill="EDEDED"/>
                        <w:vAlign w:val="center"/>
                      </w:tcPr>
                      <w:p w14:paraId="5C21B11A">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评价及进入条件</w:t>
                        </w:r>
                      </w:p>
                    </w:tc>
                    <w:tc>
                      <w:tcPr>
                        <w:tcW w:w="2200" w:type="dxa"/>
                        <w:tcBorders>
                          <w:tl2br w:val="nil"/>
                          <w:tr2bl w:val="nil"/>
                        </w:tcBorders>
                        <w:shd w:val="clear" w:color="auto" w:fill="EDEDED"/>
                        <w:vAlign w:val="center"/>
                      </w:tcPr>
                      <w:p w14:paraId="766B477A">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证据与资源</w:t>
                        </w:r>
                      </w:p>
                    </w:tc>
                  </w:tr>
                  <w:tr w14:paraId="50B9EB59">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100" w:type="dxa"/>
                        <w:tcBorders>
                          <w:tl2br w:val="nil"/>
                          <w:tr2bl w:val="nil"/>
                        </w:tcBorders>
                        <w:shd w:val="clear" w:color="auto" w:fill="FFFFFF"/>
                        <w:vAlign w:val="center"/>
                      </w:tcPr>
                      <w:p w14:paraId="14BE761C">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WP1 测量建模</w:t>
                        </w:r>
                      </w:p>
                    </w:tc>
                    <w:tc>
                      <w:tcPr>
                        <w:tcW w:w="2100" w:type="dxa"/>
                        <w:tcBorders>
                          <w:tl2br w:val="nil"/>
                          <w:tr2bl w:val="nil"/>
                        </w:tcBorders>
                        <w:shd w:val="clear" w:color="auto" w:fill="FFFFFF"/>
                        <w:vAlign w:val="center"/>
                      </w:tcPr>
                      <w:p w14:paraId="52592A4C">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台架、节点、有线日志与标定参数</w:t>
                        </w:r>
                      </w:p>
                    </w:tc>
                    <w:tc>
                      <w:tcPr>
                        <w:tcW w:w="3100" w:type="dxa"/>
                        <w:tcBorders>
                          <w:tl2br w:val="nil"/>
                          <w:tr2bl w:val="nil"/>
                        </w:tcBorders>
                        <w:shd w:val="clear" w:color="auto" w:fill="FFFFFF"/>
                        <w:vAlign w:val="center"/>
                      </w:tcPr>
                      <w:p w14:paraId="42FC6FD2">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多点误差、重复性、共同压力差值；目标变化可分后进入WP2</w:t>
                        </w:r>
                      </w:p>
                    </w:tc>
                    <w:tc>
                      <w:tcPr>
                        <w:tcW w:w="2200" w:type="dxa"/>
                        <w:tcBorders>
                          <w:tl2br w:val="nil"/>
                          <w:tr2bl w:val="nil"/>
                        </w:tcBorders>
                        <w:shd w:val="clear" w:color="auto" w:fill="FFFFFF"/>
                        <w:vAlign w:val="center"/>
                      </w:tcPr>
                      <w:p w14:paraId="69AA4485">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原始参考记录；水源、压力表、计量工具</w:t>
                        </w:r>
                      </w:p>
                    </w:tc>
                  </w:tr>
                  <w:tr w14:paraId="46301629">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100" w:type="dxa"/>
                        <w:tcBorders>
                          <w:tl2br w:val="nil"/>
                          <w:tr2bl w:val="nil"/>
                        </w:tcBorders>
                        <w:shd w:val="clear" w:color="auto" w:fill="FFFFFF"/>
                        <w:vAlign w:val="center"/>
                      </w:tcPr>
                      <w:p w14:paraId="38EC8326">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WP2 诊断边界</w:t>
                        </w:r>
                      </w:p>
                    </w:tc>
                    <w:tc>
                      <w:tcPr>
                        <w:tcW w:w="2100" w:type="dxa"/>
                        <w:tcBorders>
                          <w:tl2br w:val="nil"/>
                          <w:tr2bl w:val="nil"/>
                        </w:tcBorders>
                        <w:shd w:val="clear" w:color="auto" w:fill="FFFFFF"/>
                        <w:vAlign w:val="center"/>
                      </w:tcPr>
                      <w:p w14:paraId="10F6A13C">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冻结规则、正常干扰及故障验证</w:t>
                        </w:r>
                      </w:p>
                    </w:tc>
                    <w:tc>
                      <w:tcPr>
                        <w:tcW w:w="3100" w:type="dxa"/>
                        <w:tcBorders>
                          <w:tl2br w:val="nil"/>
                          <w:tr2bl w:val="nil"/>
                        </w:tcBorders>
                        <w:shd w:val="clear" w:color="auto" w:fill="FFFFFF"/>
                        <w:vAlign w:val="center"/>
                      </w:tcPr>
                      <w:p w14:paraId="5C2207D5">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试次级误报/漏检、模式、程度、有效提前量；未知负载另报</w:t>
                        </w:r>
                      </w:p>
                    </w:tc>
                    <w:tc>
                      <w:tcPr>
                        <w:tcW w:w="2200" w:type="dxa"/>
                        <w:tcBorders>
                          <w:tl2br w:val="nil"/>
                          <w:tr2bl w:val="nil"/>
                        </w:tcBorders>
                        <w:shd w:val="clear" w:color="auto" w:fill="FFFFFF"/>
                        <w:vAlign w:val="center"/>
                      </w:tcPr>
                      <w:p w14:paraId="29F7CDEB">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独立操作标签、留出批次与强基线</w:t>
                        </w:r>
                      </w:p>
                    </w:tc>
                  </w:tr>
                  <w:tr w14:paraId="45DE6FE3">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100" w:type="dxa"/>
                        <w:tcBorders>
                          <w:tl2br w:val="nil"/>
                          <w:tr2bl w:val="nil"/>
                        </w:tcBorders>
                        <w:shd w:val="clear" w:color="auto" w:fill="FFFFFF"/>
                        <w:vAlign w:val="center"/>
                      </w:tcPr>
                      <w:p w14:paraId="24439AC2">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WP3 可靠告警</w:t>
                        </w:r>
                      </w:p>
                    </w:tc>
                    <w:tc>
                      <w:tcPr>
                        <w:tcW w:w="2100" w:type="dxa"/>
                        <w:tcBorders>
                          <w:tl2br w:val="nil"/>
                          <w:tr2bl w:val="nil"/>
                        </w:tcBorders>
                        <w:shd w:val="clear" w:color="auto" w:fill="FFFFFF"/>
                        <w:vAlign w:val="center"/>
                      </w:tcPr>
                      <w:p w14:paraId="132A93FD">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节点缓存、接收提交后ACK与去重</w:t>
                        </w:r>
                      </w:p>
                    </w:tc>
                    <w:tc>
                      <w:tcPr>
                        <w:tcW w:w="3100" w:type="dxa"/>
                        <w:tcBorders>
                          <w:tl2br w:val="nil"/>
                          <w:tr2bl w:val="nil"/>
                        </w:tcBorders>
                        <w:shd w:val="clear" w:color="auto" w:fill="FFFFFF"/>
                        <w:vAlign w:val="center"/>
                      </w:tcPr>
                      <w:p w14:paraId="65FD112D">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远端延迟、未送达、重复、溢出、恢复及真实通信取舍</w:t>
                        </w:r>
                      </w:p>
                    </w:tc>
                    <w:tc>
                      <w:tcPr>
                        <w:tcW w:w="2200" w:type="dxa"/>
                        <w:tcBorders>
                          <w:tl2br w:val="nil"/>
                          <w:tr2bl w:val="nil"/>
                        </w:tcBorders>
                        <w:shd w:val="clear" w:color="auto" w:fill="FFFFFF"/>
                        <w:vAlign w:val="center"/>
                      </w:tcPr>
                      <w:p w14:paraId="173F4DE5">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发收日志、固件配置；电流测量借用</w:t>
                        </w:r>
                      </w:p>
                    </w:tc>
                  </w:tr>
                  <w:tr w14:paraId="3BF7572A">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100" w:type="dxa"/>
                        <w:tcBorders>
                          <w:tl2br w:val="nil"/>
                          <w:tr2bl w:val="nil"/>
                        </w:tcBorders>
                        <w:shd w:val="clear" w:color="auto" w:fill="FFFFFF"/>
                        <w:vAlign w:val="center"/>
                      </w:tcPr>
                      <w:p w14:paraId="22455282">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WP4 系统集成</w:t>
                        </w:r>
                      </w:p>
                    </w:tc>
                    <w:tc>
                      <w:tcPr>
                        <w:tcW w:w="2100" w:type="dxa"/>
                        <w:tcBorders>
                          <w:tl2br w:val="nil"/>
                          <w:tr2bl w:val="nil"/>
                        </w:tcBorders>
                        <w:shd w:val="clear" w:color="auto" w:fill="FFFFFF"/>
                        <w:vAlign w:val="center"/>
                      </w:tcPr>
                      <w:p w14:paraId="0B3C7F69">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六模块Web、真实接入与维护记录</w:t>
                        </w:r>
                      </w:p>
                    </w:tc>
                    <w:tc>
                      <w:tcPr>
                        <w:tcW w:w="3100" w:type="dxa"/>
                        <w:tcBorders>
                          <w:tl2br w:val="nil"/>
                          <w:tr2bl w:val="nil"/>
                        </w:tcBorders>
                        <w:shd w:val="clear" w:color="auto" w:fill="FFFFFF"/>
                        <w:vAlign w:val="center"/>
                      </w:tcPr>
                      <w:p w14:paraId="6A49036D">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同事件链可追溯；8小时记录、至少3次重启、两类故障复测</w:t>
                        </w:r>
                      </w:p>
                    </w:tc>
                    <w:tc>
                      <w:tcPr>
                        <w:tcW w:w="2200" w:type="dxa"/>
                        <w:tcBorders>
                          <w:tl2br w:val="nil"/>
                          <w:tr2bl w:val="nil"/>
                        </w:tcBorders>
                        <w:shd w:val="clear" w:color="auto" w:fill="FFFFFF"/>
                        <w:vAlign w:val="center"/>
                      </w:tcPr>
                      <w:p w14:paraId="4817E2C2">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串口/SQLite、原型照片、前后数据与结题材料</w:t>
                        </w:r>
                      </w:p>
                    </w:tc>
                  </w:tr>
                </w:tbl>
                <w:p w14:paraId="1A47855E">
                  <w:pPr>
                    <w:keepNext w:val="0"/>
                    <w:keepLines/>
                    <w:spacing w:line="20" w:lineRule="exact"/>
                    <w:jc w:val="both"/>
                    <w:rPr>
                      <w:rFonts w:hint="default" w:ascii="Times New Roman" w:hAnsi="Times New Roman" w:cs="Times New Roman"/>
                      <w:sz w:val="2"/>
                      <w:szCs w:val="28"/>
                      <w:vertAlign w:val="baseline"/>
                      <w:lang w:val="en-US" w:eastAsia="zh-CN"/>
                    </w:rPr>
                  </w:pPr>
                </w:p>
              </w:tc>
            </w:tr>
          </w:tbl>
          <w:p w14:paraId="5B28CE20">
            <w:pPr>
              <w:keepNext w:val="0"/>
              <w:keepLines/>
              <w:spacing w:line="20" w:lineRule="exact"/>
              <w:jc w:val="both"/>
              <w:rPr>
                <w:rFonts w:hint="default" w:ascii="Times New Roman" w:hAnsi="Times New Roman" w:eastAsia="宋体" w:cs="Times New Roman"/>
                <w:sz w:val="2"/>
                <w:szCs w:val="28"/>
                <w:lang w:val="en-US" w:eastAsia="zh-CN"/>
              </w:rPr>
            </w:pPr>
          </w:p>
          <w:p w14:paraId="6E58F5EF">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表2为计划规模，不是已经完成的实验。预实验调参与正式验证分开，以独立操作而非相邻采样点计重复。每试次保存日期、操作者、供压、阀态、原始观测、独立标签、缺失及配置；按整日、压力档或负载档留出。不能先观察测试结果再选择有利试次或修改阈值。</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506F8B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070" w:type="dxa"/>
                  <w:tcBorders>
                    <w:tl2br w:val="nil"/>
                    <w:tr2bl w:val="nil"/>
                  </w:tcBorders>
                </w:tcPr>
                <w:p w14:paraId="1D0C3E1A">
                  <w:pPr>
                    <w:keepNext w:val="0"/>
                    <w:keepLines/>
                    <w:spacing w:beforeLines="50" w:after="140" w:line="240" w:lineRule="auto"/>
                    <w:jc w:val="both"/>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表2 独立实验与对照安排</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60" w:type="dxa"/>
                      <w:left w:w="100" w:type="dxa"/>
                      <w:bottom w:w="60" w:type="dxa"/>
                      <w:right w:w="100" w:type="dxa"/>
                    </w:tblCellMar>
                  </w:tblPr>
                  <w:tblGrid>
                    <w:gridCol w:w="1700"/>
                    <w:gridCol w:w="2800"/>
                    <w:gridCol w:w="4000"/>
                  </w:tblGrid>
                  <w:tr w14:paraId="4C0CFBA8">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blHeader/>
                    </w:trPr>
                    <w:tc>
                      <w:tcPr>
                        <w:tcW w:w="1700" w:type="dxa"/>
                        <w:tcBorders>
                          <w:tl2br w:val="nil"/>
                          <w:tr2bl w:val="nil"/>
                        </w:tcBorders>
                        <w:shd w:val="clear" w:color="auto" w:fill="EDEDED"/>
                        <w:vAlign w:val="center"/>
                      </w:tcPr>
                      <w:p w14:paraId="33EE75C8">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层次</w:t>
                        </w:r>
                      </w:p>
                    </w:tc>
                    <w:tc>
                      <w:tcPr>
                        <w:tcW w:w="2800" w:type="dxa"/>
                        <w:tcBorders>
                          <w:tl2br w:val="nil"/>
                          <w:tr2bl w:val="nil"/>
                        </w:tcBorders>
                        <w:shd w:val="clear" w:color="auto" w:fill="EDEDED"/>
                        <w:vAlign w:val="center"/>
                      </w:tcPr>
                      <w:p w14:paraId="6E677274">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计划规模</w:t>
                        </w:r>
                      </w:p>
                    </w:tc>
                    <w:tc>
                      <w:tcPr>
                        <w:tcW w:w="4000" w:type="dxa"/>
                        <w:tcBorders>
                          <w:tl2br w:val="nil"/>
                          <w:tr2bl w:val="nil"/>
                        </w:tcBorders>
                        <w:shd w:val="clear" w:color="auto" w:fill="EDEDED"/>
                        <w:vAlign w:val="center"/>
                      </w:tcPr>
                      <w:p w14:paraId="30F1E683">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对照与判定</w:t>
                        </w:r>
                      </w:p>
                    </w:tc>
                  </w:tr>
                  <w:tr w14:paraId="44DE29F6">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433372DA">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标定及健康关系</w:t>
                        </w:r>
                      </w:p>
                    </w:tc>
                    <w:tc>
                      <w:tcPr>
                        <w:tcW w:w="2800" w:type="dxa"/>
                        <w:tcBorders>
                          <w:tl2br w:val="nil"/>
                          <w:tr2bl w:val="nil"/>
                        </w:tcBorders>
                        <w:shd w:val="clear" w:color="auto" w:fill="FFFFFF"/>
                        <w:vAlign w:val="center"/>
                      </w:tcPr>
                      <w:p w14:paraId="04B07EB6">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压力/流量各至少5点、每点至少3次；不同B状态健康小试</w:t>
                        </w:r>
                      </w:p>
                    </w:tc>
                    <w:tc>
                      <w:tcPr>
                        <w:tcW w:w="4000" w:type="dxa"/>
                        <w:tcBorders>
                          <w:tl2br w:val="nil"/>
                          <w:tr2bl w:val="nil"/>
                        </w:tcBorders>
                        <w:shd w:val="clear" w:color="auto" w:fill="FFFFFF"/>
                        <w:vAlign w:val="center"/>
                      </w:tcPr>
                      <w:p w14:paraId="17138356">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独立参考、升降压与共同压力差值；确定可用范围</w:t>
                        </w:r>
                      </w:p>
                    </w:tc>
                  </w:tr>
                  <w:tr w14:paraId="384C17CA">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5BF51EAE">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主要故障</w:t>
                        </w:r>
                      </w:p>
                    </w:tc>
                    <w:tc>
                      <w:tcPr>
                        <w:tcW w:w="2800" w:type="dxa"/>
                        <w:tcBorders>
                          <w:tl2br w:val="nil"/>
                          <w:tr2bl w:val="nil"/>
                        </w:tcBorders>
                        <w:shd w:val="clear" w:color="auto" w:fill="FFFFFF"/>
                        <w:vAlign w:val="center"/>
                      </w:tcPr>
                      <w:p w14:paraId="6B51ACB3">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2类型×3供压×3程度×至少3独立操作，共54次</w:t>
                        </w:r>
                      </w:p>
                    </w:tc>
                    <w:tc>
                      <w:tcPr>
                        <w:tcW w:w="4000" w:type="dxa"/>
                        <w:tcBorders>
                          <w:tl2br w:val="nil"/>
                          <w:tr2bl w:val="nil"/>
                        </w:tcBorders>
                        <w:shd w:val="clear" w:color="auto" w:fill="FFFFFF"/>
                        <w:vAlign w:val="center"/>
                      </w:tcPr>
                      <w:p w14:paraId="5CF26763">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80/120/160kPa、5/10/15%暂定；不足可分先调整测量</w:t>
                        </w:r>
                      </w:p>
                    </w:tc>
                  </w:tr>
                  <w:tr w14:paraId="51DE1D8A">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6561D727">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正常干扰</w:t>
                        </w:r>
                      </w:p>
                    </w:tc>
                    <w:tc>
                      <w:tcPr>
                        <w:tcW w:w="2800" w:type="dxa"/>
                        <w:tcBorders>
                          <w:tl2br w:val="nil"/>
                          <w:tr2bl w:val="nil"/>
                        </w:tcBorders>
                        <w:shd w:val="clear" w:color="auto" w:fill="FFFFFF"/>
                        <w:vAlign w:val="center"/>
                      </w:tcPr>
                      <w:p w14:paraId="27EDA76E">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3供压×2个B状态×3独立操作，共18次，每次至少20分钟</w:t>
                        </w:r>
                      </w:p>
                    </w:tc>
                    <w:tc>
                      <w:tcPr>
                        <w:tcW w:w="4000" w:type="dxa"/>
                        <w:tcBorders>
                          <w:tl2br w:val="nil"/>
                          <w:tr2bl w:val="nil"/>
                        </w:tcBorders>
                        <w:shd w:val="clear" w:color="auto" w:fill="FFFFFF"/>
                        <w:vAlign w:val="center"/>
                      </w:tcPr>
                      <w:p w14:paraId="13958EC6">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正常时长与误报次数同时报；供压变化、漂移另作挑战</w:t>
                        </w:r>
                      </w:p>
                    </w:tc>
                  </w:tr>
                  <w:tr w14:paraId="6CBC8527">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35FB6B98">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切换期间故障</w:t>
                        </w:r>
                      </w:p>
                    </w:tc>
                    <w:tc>
                      <w:tcPr>
                        <w:tcW w:w="2800" w:type="dxa"/>
                        <w:tcBorders>
                          <w:tl2br w:val="nil"/>
                          <w:tr2bl w:val="nil"/>
                        </w:tcBorders>
                        <w:shd w:val="clear" w:color="auto" w:fill="FFFFFF"/>
                        <w:vAlign w:val="center"/>
                      </w:tcPr>
                      <w:p w14:paraId="4EE2B4DF">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2类型×3供压×2种切换方向，共12次</w:t>
                        </w:r>
                      </w:p>
                    </w:tc>
                    <w:tc>
                      <w:tcPr>
                        <w:tcW w:w="4000" w:type="dxa"/>
                        <w:tcBorders>
                          <w:tl2br w:val="nil"/>
                          <w:tr2bl w:val="nil"/>
                        </w:tcBorders>
                        <w:shd w:val="clear" w:color="auto" w:fill="FFFFFF"/>
                        <w:vAlign w:val="center"/>
                      </w:tcPr>
                      <w:p w14:paraId="65BAF234">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记录暂缓时间、期间故障和恢复判断，不删等待段</w:t>
                        </w:r>
                      </w:p>
                    </w:tc>
                  </w:tr>
                  <w:tr w14:paraId="715942A6">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20F21D2C">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真实无线对照</w:t>
                        </w:r>
                      </w:p>
                    </w:tc>
                    <w:tc>
                      <w:tcPr>
                        <w:tcW w:w="2800" w:type="dxa"/>
                        <w:tcBorders>
                          <w:tl2br w:val="nil"/>
                          <w:tr2bl w:val="nil"/>
                        </w:tcBorders>
                        <w:shd w:val="clear" w:color="auto" w:fill="FFFFFF"/>
                        <w:vAlign w:val="center"/>
                      </w:tcPr>
                      <w:p w14:paraId="4B0E3D69">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4策略×3链路条件×至少3独立批次，共36次重放</w:t>
                        </w:r>
                      </w:p>
                    </w:tc>
                    <w:tc>
                      <w:tcPr>
                        <w:tcW w:w="4000" w:type="dxa"/>
                        <w:tcBorders>
                          <w:tl2br w:val="nil"/>
                          <w:tr2bl w:val="nil"/>
                        </w:tcBorders>
                        <w:shd w:val="clear" w:color="auto" w:fill="FFFFFF"/>
                        <w:vAlign w:val="center"/>
                      </w:tcPr>
                      <w:p w14:paraId="61766C73">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同本地轨迹及确认规则；随机顺序或分块，保留超期/未送达</w:t>
                        </w:r>
                      </w:p>
                    </w:tc>
                  </w:tr>
                  <w:tr w14:paraId="1B6CC2C8">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700" w:type="dxa"/>
                        <w:tcBorders>
                          <w:tl2br w:val="nil"/>
                          <w:tr2bl w:val="nil"/>
                        </w:tcBorders>
                        <w:shd w:val="clear" w:color="auto" w:fill="FFFFFF"/>
                        <w:vAlign w:val="center"/>
                      </w:tcPr>
                      <w:p w14:paraId="1FD9A92A">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连续及恢复</w:t>
                        </w:r>
                      </w:p>
                    </w:tc>
                    <w:tc>
                      <w:tcPr>
                        <w:tcW w:w="2800" w:type="dxa"/>
                        <w:tcBorders>
                          <w:tl2br w:val="nil"/>
                          <w:tr2bl w:val="nil"/>
                        </w:tcBorders>
                        <w:shd w:val="clear" w:color="auto" w:fill="FFFFFF"/>
                        <w:vAlign w:val="center"/>
                      </w:tcPr>
                      <w:p w14:paraId="5391FA78">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至少一次8小时台架记录、至少3次重启；维护前后配对</w:t>
                        </w:r>
                      </w:p>
                    </w:tc>
                    <w:tc>
                      <w:tcPr>
                        <w:tcW w:w="4000" w:type="dxa"/>
                        <w:tcBorders>
                          <w:tl2br w:val="nil"/>
                          <w:tr2bl w:val="nil"/>
                        </w:tcBorders>
                        <w:shd w:val="clear" w:color="auto" w:fill="FFFFFF"/>
                        <w:vAlign w:val="center"/>
                      </w:tcPr>
                      <w:p w14:paraId="5CD9E721">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原始日志、停机缺失、缓存恢复和参考复测；不是寿命保证</w:t>
                        </w:r>
                      </w:p>
                    </w:tc>
                  </w:tr>
                </w:tbl>
                <w:p w14:paraId="3860A6CF">
                  <w:pPr>
                    <w:keepNext w:val="0"/>
                    <w:keepLines/>
                    <w:spacing w:line="20" w:lineRule="exact"/>
                    <w:jc w:val="both"/>
                    <w:rPr>
                      <w:rFonts w:hint="default" w:ascii="Times New Roman" w:hAnsi="Times New Roman" w:cs="Times New Roman"/>
                      <w:sz w:val="2"/>
                      <w:szCs w:val="28"/>
                      <w:vertAlign w:val="baseline"/>
                      <w:lang w:val="en-US" w:eastAsia="zh-CN"/>
                    </w:rPr>
                  </w:pPr>
                </w:p>
              </w:tc>
            </w:tr>
          </w:tbl>
          <w:p w14:paraId="23DCAA03">
            <w:pPr>
              <w:keepNext w:val="0"/>
              <w:keepLines/>
              <w:spacing w:line="20" w:lineRule="exact"/>
              <w:jc w:val="both"/>
              <w:rPr>
                <w:rFonts w:hint="default" w:ascii="Times New Roman" w:hAnsi="Times New Roman" w:eastAsia="宋体" w:cs="Times New Roman"/>
                <w:sz w:val="2"/>
                <w:szCs w:val="28"/>
                <w:lang w:val="en-US" w:eastAsia="zh-CN"/>
              </w:rPr>
            </w:pPr>
          </w:p>
          <w:p w14:paraId="1C73A37B">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固定Q阈值、同信息多变量阈值及拟实施K/R门控方法在相同训练/验证划分下比较；按预设正常误报约束选择阈值，再在独立集评价。消融分别去掉P0或工况信息，说明收益来自测点还是已知操作，而非把新方法更多信息的优势写成算法优越性。统计以独立试次及批次为单位，报告样本数和不确定性；54次基础网格并不自动满足高等级论文所需样本量，关键边界另补独立批次。</w:t>
            </w:r>
          </w:p>
          <w:p w14:paraId="3D72FDC0">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链路设置至少覆盖无遮挡稳定、遮挡衰减及受控阻断/ACK丢失，实际位置、配置和缺失日志完整保存。整机电流设备未借到时，仅报告通信指标并记录能量未验证；帧数不换算节电百分比。取得现场许可后，可调查轮灌、安装和遮挡并采集正常数据；没有独立田间故障标签时不报告田间故障准确率。</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621DF1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374DC8D4">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8 实施风险与后续研究</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测量不足时先调整量程与可检程度；报价超额或水源无法借用时先重编经费和任务；未知负载与泄漏同形时保留异常待检查，不用复杂模型宣称消除信息不足；掉电日志或无线恢复失败时保留缺口并返工。立项级别不能由系统名称或页面数量决定，实施资源与研究证据分别落实。</w:t>
                  </w:r>
                </w:p>
              </w:tc>
            </w:tr>
          </w:tbl>
          <w:p w14:paraId="518C753F">
            <w:pPr>
              <w:keepNext/>
              <w:keepLines/>
              <w:spacing w:line="20" w:lineRule="exact"/>
              <w:jc w:val="both"/>
              <w:rPr>
                <w:rFonts w:hint="default" w:ascii="Times New Roman" w:hAnsi="Times New Roman" w:eastAsia="宋体" w:cs="Times New Roman"/>
                <w:b w:val="0"/>
                <w:sz w:val="2"/>
                <w:szCs w:val="28"/>
                <w:lang w:val="en-US" w:eastAsia="zh-CN"/>
              </w:rPr>
            </w:pPr>
          </w:p>
          <w:p w14:paraId="251348C3">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基础结项后优先延伸跨工况迁移：同台架增加负载档和独立日期，比较冻结参照、少量健康重标定及实测经验模型，以整档留出研究测量误差与适应成本[2,12,13]。第二方向是在新增真实节点、公共供压参照和同步日志后研究多支管共同扰动、局部异常及事件竞争[10,13]。第三方向依赖长期维护配对记录，检验参照漂移、复测稳定性和人工核查工作量[12,16]。扩展具有具体数据与资源进入条件，不挤占单区段基础验证。</w:t>
            </w:r>
          </w:p>
        </w:tc>
      </w:tr>
      <w:tr w14:paraId="3790B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3E768148">
            <w:pPr>
              <w:keepNext/>
              <w:keepLines/>
              <w:pageBreakBefore w:val="0"/>
              <w:spacing w:beforeLines="50" w:after="100" w:line="240" w:lineRule="auto"/>
              <w:jc w:val="both"/>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四、国、内外研究现状和发展动态</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1F50CA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790C1E18">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1 南疆应用需求与研究对象</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李慧琴等结合南疆棉花“滴水出苗”提出压力均匀、铺管及用水管理建议[1]，说明运行压力是区域滴灌管理中需要关注的条件。Sun等研究南疆集体滴灌棉花生产约束，涉及灌水深度和土壤条件[17]。这些工作支持选择南疆滴灌巡检场景，但不直接证明本原型能够节水或增产。本期以支管水力故障的可观测变化为对象，实际轮灌方式与安装条件仍需现场核对。</w:t>
                  </w:r>
                </w:p>
              </w:tc>
            </w:tr>
          </w:tbl>
          <w:p w14:paraId="31D988E3">
            <w:pPr>
              <w:keepNext/>
              <w:keepLines/>
              <w:spacing w:line="20" w:lineRule="exact"/>
              <w:jc w:val="both"/>
              <w:rPr>
                <w:rFonts w:hint="default" w:ascii="Times New Roman" w:hAnsi="Times New Roman" w:eastAsia="宋体" w:cs="Times New Roman"/>
                <w:b w:val="0"/>
                <w:sz w:val="2"/>
                <w:szCs w:val="28"/>
                <w:lang w:val="en-US" w:eastAsia="zh-CN"/>
              </w:rPr>
            </w:pP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2DEC3E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589B5BF1">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2 滴灌水力模型与测量依据</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丁法龙等从变质量流动分析沿程压力，并以测压、测流试验验证模型[2]；王亚林等结合灌水试验与CFD研究不同滴头镶嵌方式对毛管水力特性的影响[3]。已有研究表明，实际滴灌压损需要考虑分布出流、结构与安装。本项目集中平方律模型仅用于监测区段的初步设计，不替代上述分布模型。实施时先检验健康压力—流量关系及残差，再冻结特征和阈值；拟通过布点、同步误差与差压不确定度的联合评价确定低成本测量的适用条件。</w:t>
                  </w:r>
                </w:p>
              </w:tc>
            </w:tr>
          </w:tbl>
          <w:p w14:paraId="145FE75F">
            <w:pPr>
              <w:keepNext/>
              <w:keepLines/>
              <w:spacing w:line="20" w:lineRule="exact"/>
              <w:jc w:val="both"/>
              <w:rPr>
                <w:rFonts w:hint="default" w:ascii="Times New Roman" w:hAnsi="Times New Roman" w:eastAsia="宋体" w:cs="Times New Roman"/>
                <w:b w:val="0"/>
                <w:sz w:val="2"/>
                <w:szCs w:val="28"/>
                <w:lang w:val="en-US" w:eastAsia="zh-CN"/>
              </w:rPr>
            </w:pP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4B88E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52D275BA">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3 堵塞机理与早期监测边界</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喻黎明等研究含沙水下额定流量、毛管位置与滴头堵塞的关系[4]；王惠等开展不同肥料及浓度的堵塞试验[5]；张唯一等研究近壁面水力剪切力与碳酸钙污垢的作用[6]。三类工作说明堵塞演化受水质、材料和水力条件影响。Petit等综述进一步指出，压力流量监测属于间接方法，未必反映滴头堵塞的最初阶段[12]。因此本项目用清水节流阀验证等效受限的水力响应，不把阀门操作写成泥沙、化学或生物堵塞试验；“早期”以独立测量确认的故障程度和预设失效参照评价，不宣称识别单滴头微观堵塞起点。</w:t>
                  </w:r>
                </w:p>
              </w:tc>
            </w:tr>
          </w:tbl>
          <w:p w14:paraId="7E8AEC7C">
            <w:pPr>
              <w:keepNext/>
              <w:keepLines/>
              <w:spacing w:line="20" w:lineRule="exact"/>
              <w:jc w:val="both"/>
              <w:rPr>
                <w:rFonts w:hint="default" w:ascii="Times New Roman" w:hAnsi="Times New Roman" w:eastAsia="宋体" w:cs="Times New Roman"/>
                <w:b w:val="0"/>
                <w:sz w:val="2"/>
                <w:szCs w:val="28"/>
                <w:lang w:val="en-US" w:eastAsia="zh-CN"/>
              </w:rPr>
            </w:pP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2D20D4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trPr>
              <w:tc>
                <w:tcPr>
                  <w:tcW w:w="9100" w:type="dxa"/>
                  <w:tcBorders>
                    <w:tl2br w:val="nil"/>
                    <w:tr2bl w:val="nil"/>
                  </w:tcBorders>
                </w:tcPr>
                <w:p w14:paraId="1A102F7E">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4 多工况诊断与可控验证</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付建民等通过液相管道试验与模拟研究压力、流量对小孔泄漏速率的影响[7]；龚骏等研究多工况下泄漏与正常调节的区分[8]；马大中等将物理异常与信息传输异常纳入管网诊断[9]。这些输油或液相管道研究提供了耦合分析与异常分层的思路，参数、传感条件和识别率不能直接移植到滴灌。HydroNeuro研究阀态建模、嵌入式异常感知与扰动鲁棒性[13]，Loukatos等利用可控阀、压力流量及LoRa构建灌溉模拟平台[14]，也说明状态辅助和可控台架已有基础。本项目拟以同信息强基线、独立操作标签和跨批次留出验证研究渐进故障的辨识边界，保留未知负载、漂移及切换期间的失败实例。</w:t>
                  </w:r>
                </w:p>
              </w:tc>
            </w:tr>
          </w:tbl>
          <w:p w14:paraId="5CB9149E">
            <w:pPr>
              <w:keepNext/>
              <w:keepLines/>
              <w:spacing w:line="20" w:lineRule="exact"/>
              <w:jc w:val="both"/>
              <w:rPr>
                <w:rFonts w:hint="default" w:ascii="Times New Roman" w:hAnsi="Times New Roman" w:eastAsia="宋体" w:cs="Times New Roman"/>
                <w:b w:val="0"/>
                <w:sz w:val="2"/>
                <w:szCs w:val="28"/>
                <w:lang w:val="en-US" w:eastAsia="zh-CN"/>
              </w:rPr>
            </w:pP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211E72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182438C5">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5 农业物联网与通信评价</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孟祥等完成基于LoRa的农田智能灌溉系统设计[10]；刘天翔等构建设施番茄称量反馈灌溉系统[11]，为传感、通信和软件组织提供国内系统研究实例。本项目将系统交付细化为测量节点、接收存储、有限诊断、事件证据与管理确认，不能仅以使用LoRa或增加页面作为创新。Lozoya等以田间对照评价事件通信与功耗[15]，Orihuela等开展农业事件通信的长期评估[16]。本项目拟在检测器、载荷和确认机制相同条件下比较周期与事件策略，将本地检测延迟、远端送达延迟和整机能量分别测量，不以发送帧数推算真实续航。</w:t>
                  </w:r>
                </w:p>
              </w:tc>
            </w:tr>
          </w:tbl>
          <w:p w14:paraId="741978B5">
            <w:pPr>
              <w:keepNext/>
              <w:keepLines/>
              <w:spacing w:line="20" w:lineRule="exact"/>
              <w:jc w:val="both"/>
              <w:rPr>
                <w:rFonts w:hint="default" w:ascii="Times New Roman" w:hAnsi="Times New Roman" w:eastAsia="宋体" w:cs="Times New Roman"/>
                <w:b w:val="0"/>
                <w:sz w:val="2"/>
                <w:szCs w:val="28"/>
                <w:lang w:val="en-US" w:eastAsia="zh-CN"/>
              </w:rPr>
            </w:pP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04F80B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trPr>
              <w:tc>
                <w:tcPr>
                  <w:tcW w:w="9100" w:type="dxa"/>
                  <w:tcBorders>
                    <w:tl2br w:val="nil"/>
                    <w:tr2bl w:val="nil"/>
                  </w:tcBorders>
                </w:tcPr>
                <w:p w14:paraId="3EE8DEF0">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6 本项目拟研究的增量</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上述中文研究构成场景、水力、堵塞、诊断和系统集成的主要依据，英文研究补充间接监测边界、可控平台及通信评价。拟研究的增量集中于两个问题：低成本双压力流量与操作信息在何种故障程度和误差条件下能够改善巡检提示；在统一检测与确认机制下，减少通信是否仍能维持远端及时告警。通过可重复台架、强对照与分层评价形成结论，是否具有可发表贡献以进一步全文研读和独立实测为准。</w:t>
                  </w:r>
                </w:p>
              </w:tc>
            </w:tr>
          </w:tbl>
          <w:p w14:paraId="7BC3F633">
            <w:pPr>
              <w:keepNext/>
              <w:keepLines/>
              <w:spacing w:line="20" w:lineRule="exact"/>
              <w:jc w:val="both"/>
              <w:rPr>
                <w:rFonts w:hint="default" w:ascii="Times New Roman" w:hAnsi="Times New Roman" w:eastAsia="宋体" w:cs="Times New Roman"/>
                <w:b w:val="0"/>
                <w:sz w:val="2"/>
                <w:szCs w:val="28"/>
                <w:lang w:val="en-US" w:eastAsia="zh-CN"/>
              </w:rPr>
            </w:pPr>
          </w:p>
          <w:p w14:paraId="2F83CE1E">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参考文献</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1EAEC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4F361455">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 李慧琴, 王潭刚, 孔宪辉. 新疆南疆棉花“滴水出苗”技术问题及建议[J]. 中国棉花, 2022, 49(6): 36-38. DOI:10.11963/cc20220080.</w:t>
                  </w:r>
                </w:p>
              </w:tc>
            </w:tr>
            <w:tr w14:paraId="2090C3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4D6DDCC1">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[2] 丁法龙, 茅泽育, 王文娥, 等. 滴灌管主流道沿程压力分布模型及验证[J]. 农业工程学报, 2019, 35(3): 117-124. DOI:10.11975/j.issn.1002-6819.2019.03.015.</w:t>
                  </w:r>
                </w:p>
              </w:tc>
            </w:tr>
            <w:tr w14:paraId="0596A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1F1D99E5">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[3] 王亚林, 李京芳, 鄢锐, 等. 圆柱式滴头内镶及外包对滴灌毛管水力特性影响的模拟研究[J]. 华南农业大学学报, 2021, 42(4): 106-112. DOI:10.7671/j.issn.1001-411X.202009004.</w:t>
                  </w:r>
                </w:p>
              </w:tc>
            </w:tr>
            <w:tr w14:paraId="0EE73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4051CCB1">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[4] 喻黎明, 曹丽, 李娜, 等. 额定流量与毛管位置对纽扣式滴头堵塞的影响及机理分析[J]. 农业工程学报, 2023, 39(20): 123-131. DOI:10.11975/j.issn.1002-6819.202307109.</w:t>
                  </w:r>
                </w:p>
              </w:tc>
            </w:tr>
            <w:tr w14:paraId="7695D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15370021">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[5] 王惠, 凌刚, 查晴, 等. 肥料种类与浓度对灌水器堵塞特征的影响及防堵策略[J]. 农业工程学报, 2023, 39(5): 53-60. DOI:10.11975/j.issn.1002-6819.202212095.</w:t>
                  </w:r>
                </w:p>
              </w:tc>
            </w:tr>
            <w:tr w14:paraId="6BF21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6553CCB2">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[6] 张唯一, 肖洋, 马长健, 等. 水流近壁面水力剪切力对滴灌系统碳酸钙污垢的影响[J]. 农业工程学报, 2023, 39(7): 137-144. DOI:10.11975/j.issn.1002-6819.202208008.</w:t>
                  </w:r>
                </w:p>
              </w:tc>
            </w:tr>
            <w:tr w14:paraId="336737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36A6BCB3">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[7] 付建民, 赵振洋, 陈国明, 等. 液相管道流量与压力对小孔泄漏速率的影响[J]. 石油学报, 2016, 37(2): 257-265. DOI:10.7623/syxb201602013.</w:t>
                  </w:r>
                </w:p>
              </w:tc>
            </w:tr>
            <w:tr w14:paraId="3A499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37A9739E">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[8] 龚骏, 税爱社, 包建明, 等. 多工况下基于RBF神经网络的管道泄漏检测[J]. 油气储运, 2015, 34(7): 759-763. DOI:10.6047/j.issn.1000-8241.2015.07.017.</w:t>
                  </w:r>
                </w:p>
              </w:tc>
            </w:tr>
            <w:tr w14:paraId="67391F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037C1666">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[9] 马大中, 胡旭光, 孙秋野, 等. 基于数据特征融合的管网信息物理异常诊断方法[J]. 自动化学报, 2019, 45(1): 163-173. DOI:10.16383/j.aas.2018.c180383.</w:t>
                  </w:r>
                </w:p>
              </w:tc>
            </w:tr>
            <w:tr w14:paraId="1A8C26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60653F95">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[10] 孟祥, 赵莹, 徐卓威, 等. 基于LoRa技术的农田智能灌溉系统设计[J]. 中国农机化学报, 2023, 44(9): 161-168. DOI:10.13733/j.jcam.issn.2095-5553.2023.09.023.</w:t>
                  </w:r>
                </w:p>
              </w:tc>
            </w:tr>
            <w:tr w14:paraId="10CEE1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7ABCA564">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[11] 刘天翔, 郭文忠, 韩晓蓓, 等. 基于称量反馈的设施番茄灌溉系统的构建与应用[J]. 农业工程学报, 2024, 40(13): 85-96. DOI:10.11975/j.issn.1002-6819.202401146.</w:t>
                  </w:r>
                </w:p>
              </w:tc>
            </w:tr>
            <w:tr w14:paraId="75666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345ACBB7">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[12] Petit J, García S M, Molle B, et al. Methods for drip irrigation clogging detection, analysis and understanding: State of the art and perspectives[J]. Agricultural Water Management, 2022, 272: 107873. DOI:10.1016/j.agwat.2022.107873.</w:t>
                  </w:r>
                </w:p>
              </w:tc>
            </w:tr>
            <w:tr w14:paraId="14E3E3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7A409406">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[13] Somaali N, Hayouni M, Sboui L, et al. HydroNeuro: A Data-Efficient IoT Sensing and Edge-AI Framework for Real-Time Hydraulic Anomaly Detection[J]. Sensors, 2026, 26(10): 3010. DOI:10.3390/s26103010.</w:t>
                  </w:r>
                </w:p>
              </w:tc>
            </w:tr>
            <w:tr w14:paraId="43D8D8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1FBAE440">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[14] Loukatos D, Fragkos A, Londra P, et al. A Simple Platform for Emulating Irrigation Scenarios and Its Applicability for Big Data Collection Toward Water Preservation via In Situ Experiments[J]. Land, 2026, 15(3): 464. DOI:10.3390/land15030464.</w:t>
                  </w:r>
                </w:p>
              </w:tc>
            </w:tr>
            <w:tr w14:paraId="10C8B9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6D802EA0">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[15] Lozoya C, Favela-Contreras A, Aguilar-Gonzalez A, et al. Energy-Efficient Wireless Communication Strategy for Precision Agriculture Irrigation Control[J]. Sensors, 2021, 21(16): 5541. DOI:10.3390/s21165541.</w:t>
                  </w:r>
                </w:p>
              </w:tc>
            </w:tr>
            <w:tr w14:paraId="76AF35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18F3FC1C">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[16] Orihuela L, Bareiro J, Reales F, et al. Long-term assessment of event-based communication for irrigation control in a bell pepper farm[J]. IFAC-PapersOnLine, 2025, 59(23): 44-49. DOI:10.1016/j.ifacol.2025.11.761.</w:t>
                  </w:r>
                </w:p>
              </w:tc>
            </w:tr>
            <w:tr w14:paraId="0BD153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8500" w:type="dxa"/>
                  <w:tcBorders>
                    <w:tl2br w:val="nil"/>
                    <w:tr2bl w:val="nil"/>
                  </w:tcBorders>
                </w:tcPr>
                <w:p w14:paraId="6518A4B2">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[17] Sun Z, Wang Z, Li J. Identification and Evaluation of the Main Constraints on Cotton Production Within a Collective Drip Irrigation System in Southern Xinjiang, China[J]. Agronomy, 2025, 15(4): 760. DOI:10.3390/agronomy15040760.</w:t>
                  </w:r>
                </w:p>
              </w:tc>
            </w:tr>
          </w:tbl>
          <w:p w14:paraId="4F467591">
            <w:pPr>
              <w:keepNext w:val="0"/>
              <w:keepLines/>
              <w:spacing w:line="20" w:lineRule="exact"/>
              <w:jc w:val="both"/>
              <w:rPr>
                <w:rFonts w:hint="default" w:ascii="Times New Roman" w:hAnsi="Times New Roman" w:eastAsia="宋体" w:cs="Times New Roman"/>
                <w:sz w:val="2"/>
                <w:szCs w:val="28"/>
                <w:lang w:val="en-US" w:eastAsia="zh-CN"/>
              </w:rPr>
            </w:pPr>
          </w:p>
          <w:p w14:paraId="4A199DAD">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制度参考：塔里木大学大学生创新创业训练计划实施细则，校教发〔2025〕1号，2025-01-02，https://jwc.taru.edu.cn/info/1035/3872.htm。本批要求以正式通知为准。</w:t>
            </w:r>
          </w:p>
        </w:tc>
      </w:tr>
      <w:tr w14:paraId="4C133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129F4CE7">
            <w:pPr>
              <w:keepNext/>
              <w:keepLines/>
              <w:spacing w:beforeLines="50" w:line="20" w:lineRule="exact"/>
              <w:jc w:val="both"/>
              <w:rPr>
                <w:rFonts w:hint="default" w:ascii="Times New Roman" w:hAnsi="Times New Roman" w:eastAsia="宋体" w:cs="Times New Roman"/>
                <w:b/>
                <w:sz w:val="2"/>
                <w:szCs w:val="28"/>
                <w:lang w:val="en-US" w:eastAsia="zh-CN"/>
              </w:rPr>
            </w:pP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2F914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1A1EEC22">
                  <w:pPr>
                    <w:keepNext w:val="0"/>
                    <w:keepLines/>
                    <w:pageBreakBefore w:val="0"/>
                    <w:spacing w:beforeLines="50" w:after="140" w:line="240" w:lineRule="auto"/>
                    <w:jc w:val="both"/>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五、项目的特色与创新点</w:t>
                  </w:r>
                </w:p>
                <w:p w14:paraId="0B7ED1E9">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1 面向支管巡检的完整证据链</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项目将双压力流量采集、有限诊断、无线持久化确认与人工复测组织成原型系统，独立参考与操作标签贯穿验证。特色是让维护线索及其依据可追溯，而非仅展示阈值报警。清水台架、同源装配、原始日志和六模块管理共同支撑工程训练，南疆实际部署条件另经调查校核。</w:t>
                  </w:r>
                </w:p>
              </w:tc>
            </w:tr>
          </w:tbl>
          <w:p w14:paraId="7D030E4B">
            <w:pPr>
              <w:keepNext/>
              <w:keepLines/>
              <w:spacing w:line="20" w:lineRule="exact"/>
              <w:jc w:val="both"/>
              <w:rPr>
                <w:rFonts w:hint="default" w:ascii="Times New Roman" w:hAnsi="Times New Roman" w:eastAsia="宋体" w:cs="Times New Roman"/>
                <w:b w:val="0"/>
                <w:sz w:val="2"/>
                <w:szCs w:val="28"/>
                <w:lang w:val="en-US" w:eastAsia="zh-CN"/>
              </w:rPr>
            </w:pP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55D2C1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1F156306">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2 测量误差与运行信息约束下的辨识研究</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拟研究故障程度、差压不确定度和工况信息如何影响早期候选，把误报、漏检、模式与有效提前量同时报告。用同信息强基线和测点/门控消融检验增量，未知负载、漂移及模型失配纳入失败边界。创新方向是可验证的条件与方法取舍；双压力本身、使用LoRa或增加网页都不作为首创声明。</w:t>
                  </w:r>
                </w:p>
              </w:tc>
            </w:tr>
          </w:tbl>
          <w:p w14:paraId="47E2C1CE">
            <w:pPr>
              <w:keepNext/>
              <w:keepLines/>
              <w:spacing w:line="20" w:lineRule="exact"/>
              <w:jc w:val="both"/>
              <w:rPr>
                <w:rFonts w:hint="default" w:ascii="Times New Roman" w:hAnsi="Times New Roman" w:eastAsia="宋体" w:cs="Times New Roman"/>
                <w:b w:val="0"/>
                <w:sz w:val="2"/>
                <w:szCs w:val="28"/>
                <w:lang w:val="en-US" w:eastAsia="zh-CN"/>
              </w:rPr>
            </w:pP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0E9F2F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281CD3C4">
                  <w:pPr>
                    <w:keepNext w:val="0"/>
                    <w:keepLines/>
                    <w:pageBreakBefore w:val="0"/>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3 统一检测规则下的可靠告警取舍</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拟把本地提示与远端持久化分开测量，在同检测、载荷和确认要求下比较周期、事件及队列调度，分析阻断、丢ACK和事件拥塞下的及时性。当前已有独立主机事务与模型回放基础，真实节点、射频和整机验证是后续任务，尚未证明节能比例或算法优越性。</w:t>
                  </w:r>
                </w:p>
              </w:tc>
            </w:tr>
          </w:tbl>
          <w:p w14:paraId="2785DB56">
            <w:pPr>
              <w:keepNext/>
              <w:keepLines/>
              <w:spacing w:line="20" w:lineRule="exact"/>
              <w:jc w:val="both"/>
              <w:rPr>
                <w:rFonts w:hint="default" w:ascii="Times New Roman" w:hAnsi="Times New Roman" w:eastAsia="宋体" w:cs="Times New Roman"/>
                <w:b w:val="0"/>
                <w:sz w:val="2"/>
                <w:szCs w:val="28"/>
                <w:lang w:val="en-US" w:eastAsia="zh-CN"/>
              </w:rPr>
            </w:pPr>
          </w:p>
        </w:tc>
      </w:tr>
      <w:tr w14:paraId="3960D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219C30AF">
            <w:pPr>
              <w:keepNext/>
              <w:keepLines/>
              <w:spacing w:beforeLines="50" w:after="100" w:line="240" w:lineRule="auto"/>
              <w:jc w:val="both"/>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六、项目预期成果</w:t>
            </w:r>
          </w:p>
          <w:p w14:paraId="3749D336">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基础结项交付1套可演示原型：一个P0/P1/Q节点、一个LoRa接收端、双支路清水台架和本地Web，实现从参考标定、候选提示到接收存储、人工核查、处置复测及导出。交付可复现程序、硬件连接与使用说明、过程记录、调研与研究/结题报告，按获批任务书检查。</w:t>
            </w:r>
          </w:p>
          <w:p w14:paraId="0CCB9BA4">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独立原始数据包，包含标定、计划54次主要故障、正常干扰、切换期间故障、真实无线及连续恢复记录。数据量为拟定基础规模，实测前冻结实验协议；每项结果同时保存对照、失败、缺失和版本。若某性能目标未达到，报告原因、适用边界和修订记录，不以合成数据补足实测指标。</w:t>
            </w:r>
          </w:p>
          <w:p w14:paraId="339274BE">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形成1篇以实际证据为基础的研究论文稿，优先提炼跨工况辨识与低成本测量边界，备选可靠告警取舍。贡献、样本与对照充分后经导师审核投稿；结项、论文稿、投稿、录用、发表与收录分别登记。论文级别和录用不作为已有成绩，专利与软著依实际成果判断，不列为必须凑出的数量。</w:t>
            </w:r>
          </w:p>
        </w:tc>
      </w:tr>
      <w:tr w14:paraId="3C66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51AA79F0">
            <w:pPr>
              <w:keepNext/>
              <w:keepLines/>
              <w:spacing w:beforeLines="50" w:after="100" w:line="240" w:lineRule="auto"/>
              <w:jc w:val="both"/>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七、项目年度目标和工作内容（按年度写）</w:t>
            </w:r>
          </w:p>
          <w:p w14:paraId="18555C1B">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2027年完成测量、独立诊断实验、真实通信和软件集成，形成研究稿与阶段报告；2028年1—2月完成任务对照、补验证及结项归档。表3同时给出申报前的进入条件，实施周期以本批获批任务书核定。</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11436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070" w:type="dxa"/>
                  <w:tcBorders>
                    <w:tl2br w:val="nil"/>
                    <w:tr2bl w:val="nil"/>
                  </w:tcBorders>
                </w:tcPr>
                <w:p w14:paraId="5264A305">
                  <w:pPr>
                    <w:keepNext w:val="0"/>
                    <w:keepLines/>
                    <w:spacing w:beforeLines="50" w:after="140" w:line="240" w:lineRule="auto"/>
                    <w:jc w:val="both"/>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表3 三阶段与实施里程碑</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60" w:type="dxa"/>
                      <w:left w:w="100" w:type="dxa"/>
                      <w:bottom w:w="60" w:type="dxa"/>
                      <w:right w:w="100" w:type="dxa"/>
                    </w:tblCellMar>
                  </w:tblPr>
                  <w:tblGrid>
                    <w:gridCol w:w="1800"/>
                    <w:gridCol w:w="3000"/>
                    <w:gridCol w:w="3700"/>
                  </w:tblGrid>
                  <w:tr w14:paraId="14238AB6">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PrEx>
                    <w:trPr>
                      <w:cantSplit/>
                      <w:tblHeader/>
                    </w:trPr>
                    <w:tc>
                      <w:tcPr>
                        <w:tcW w:w="1800" w:type="dxa"/>
                        <w:tcBorders>
                          <w:tl2br w:val="nil"/>
                          <w:tr2bl w:val="nil"/>
                        </w:tcBorders>
                        <w:shd w:val="clear" w:color="auto" w:fill="EDEDED"/>
                        <w:vAlign w:val="center"/>
                      </w:tcPr>
                      <w:p w14:paraId="07B1CDA2">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时段</w:t>
                        </w:r>
                      </w:p>
                    </w:tc>
                    <w:tc>
                      <w:tcPr>
                        <w:tcW w:w="3000" w:type="dxa"/>
                        <w:tcBorders>
                          <w:tl2br w:val="nil"/>
                          <w:tr2bl w:val="nil"/>
                        </w:tcBorders>
                        <w:shd w:val="clear" w:color="auto" w:fill="EDEDED"/>
                        <w:vAlign w:val="center"/>
                      </w:tcPr>
                      <w:p w14:paraId="034ABF6F">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工作与交付</w:t>
                        </w:r>
                      </w:p>
                    </w:tc>
                    <w:tc>
                      <w:tcPr>
                        <w:tcW w:w="3700" w:type="dxa"/>
                        <w:tcBorders>
                          <w:tl2br w:val="nil"/>
                          <w:tr2bl w:val="nil"/>
                        </w:tcBorders>
                        <w:shd w:val="clear" w:color="auto" w:fill="EDEDED"/>
                        <w:vAlign w:val="center"/>
                      </w:tcPr>
                      <w:p w14:paraId="5D6684A4">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进入或验收条件</w:t>
                        </w:r>
                      </w:p>
                    </w:tc>
                  </w:tr>
                  <w:tr w14:paraId="2C0B0A6A">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800" w:type="dxa"/>
                        <w:tcBorders>
                          <w:tl2br w:val="nil"/>
                          <w:tr2bl w:val="nil"/>
                        </w:tcBorders>
                        <w:shd w:val="clear" w:color="auto" w:fill="FFFFFF"/>
                        <w:vAlign w:val="center"/>
                      </w:tcPr>
                      <w:p w14:paraId="40735FDC">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当前申报</w:t>
                        </w:r>
                      </w:p>
                    </w:tc>
                    <w:tc>
                      <w:tcPr>
                        <w:tcW w:w="3000" w:type="dxa"/>
                        <w:tcBorders>
                          <w:tl2br w:val="nil"/>
                          <w:tr2bl w:val="nil"/>
                        </w:tcBorders>
                        <w:shd w:val="clear" w:color="auto" w:fill="FFFFFF"/>
                        <w:vAlign w:val="center"/>
                      </w:tcPr>
                      <w:p w14:paraId="318FDC8C">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九节模板、支撑模型/软件、分项验收；正文稳定后同步PPT</w:t>
                        </w:r>
                      </w:p>
                    </w:tc>
                    <w:tc>
                      <w:tcPr>
                        <w:tcW w:w="3700" w:type="dxa"/>
                        <w:tcBorders>
                          <w:tl2br w:val="nil"/>
                          <w:tr2bl w:val="nil"/>
                        </w:tcBorders>
                        <w:shd w:val="clear" w:color="auto" w:fill="FFFFFF"/>
                        <w:vAlign w:val="center"/>
                      </w:tcPr>
                      <w:p w14:paraId="45BFE35B">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每项已有有证据，行政字段真实；导师核定问题、资源和任务</w:t>
                        </w:r>
                      </w:p>
                    </w:tc>
                  </w:tr>
                  <w:tr w14:paraId="1E4F5737">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800" w:type="dxa"/>
                        <w:tcBorders>
                          <w:tl2br w:val="nil"/>
                          <w:tr2bl w:val="nil"/>
                        </w:tcBorders>
                        <w:shd w:val="clear" w:color="auto" w:fill="FFFFFF"/>
                        <w:vAlign w:val="center"/>
                      </w:tcPr>
                      <w:p w14:paraId="1BD557E4">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2026年11月至2027年2月</w:t>
                        </w:r>
                      </w:p>
                    </w:tc>
                    <w:tc>
                      <w:tcPr>
                        <w:tcW w:w="3000" w:type="dxa"/>
                        <w:tcBorders>
                          <w:tl2br w:val="nil"/>
                          <w:tr2bl w:val="nil"/>
                        </w:tcBorders>
                        <w:shd w:val="clear" w:color="auto" w:fill="FFFFFF"/>
                        <w:vAlign w:val="center"/>
                      </w:tcPr>
                      <w:p w14:paraId="7A0D5FAC">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C/采集/串口训练、团队分工、询价与借用</w:t>
                        </w:r>
                      </w:p>
                    </w:tc>
                    <w:tc>
                      <w:tcPr>
                        <w:tcW w:w="3700" w:type="dxa"/>
                        <w:tcBorders>
                          <w:tl2br w:val="nil"/>
                          <w:tr2bl w:val="nil"/>
                        </w:tcBorders>
                        <w:shd w:val="clear" w:color="auto" w:fill="FFFFFF"/>
                        <w:vAlign w:val="center"/>
                      </w:tcPr>
                      <w:p w14:paraId="50F0C2A4">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成员能复现修改核心程序；测量设备与水源可取得</w:t>
                        </w:r>
                      </w:p>
                    </w:tc>
                  </w:tr>
                  <w:tr w14:paraId="753E68FA">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800" w:type="dxa"/>
                        <w:tcBorders>
                          <w:tl2br w:val="nil"/>
                          <w:tr2bl w:val="nil"/>
                        </w:tcBorders>
                        <w:shd w:val="clear" w:color="auto" w:fill="FFFFFF"/>
                        <w:vAlign w:val="center"/>
                      </w:tcPr>
                      <w:p w14:paraId="1D3E3A23">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2027年3—4月</w:t>
                        </w:r>
                      </w:p>
                    </w:tc>
                    <w:tc>
                      <w:tcPr>
                        <w:tcW w:w="3000" w:type="dxa"/>
                        <w:tcBorders>
                          <w:tl2br w:val="nil"/>
                          <w:tr2bl w:val="nil"/>
                        </w:tcBorders>
                        <w:shd w:val="clear" w:color="auto" w:fill="FFFFFF"/>
                        <w:vAlign w:val="center"/>
                      </w:tcPr>
                      <w:p w14:paraId="3E83F904">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台架、参考标定、健康关系与有线日志</w:t>
                        </w:r>
                      </w:p>
                    </w:tc>
                    <w:tc>
                      <w:tcPr>
                        <w:tcW w:w="3700" w:type="dxa"/>
                        <w:tcBorders>
                          <w:tl2br w:val="nil"/>
                          <w:tr2bl w:val="nil"/>
                        </w:tcBorders>
                        <w:shd w:val="clear" w:color="auto" w:fill="FFFFFF"/>
                        <w:vAlign w:val="center"/>
                      </w:tcPr>
                      <w:p w14:paraId="06BED9C6">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目标变化可测且可重复，固定BOM和参照，未通过先返工</w:t>
                        </w:r>
                      </w:p>
                    </w:tc>
                  </w:tr>
                  <w:tr w14:paraId="0130F43A">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800" w:type="dxa"/>
                        <w:tcBorders>
                          <w:tl2br w:val="nil"/>
                          <w:tr2bl w:val="nil"/>
                        </w:tcBorders>
                        <w:shd w:val="clear" w:color="auto" w:fill="FFFFFF"/>
                        <w:vAlign w:val="center"/>
                      </w:tcPr>
                      <w:p w14:paraId="3AF43002">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2027年5—6月</w:t>
                        </w:r>
                      </w:p>
                    </w:tc>
                    <w:tc>
                      <w:tcPr>
                        <w:tcW w:w="3000" w:type="dxa"/>
                        <w:tcBorders>
                          <w:tl2br w:val="nil"/>
                          <w:tr2bl w:val="nil"/>
                        </w:tcBorders>
                        <w:shd w:val="clear" w:color="auto" w:fill="FFFFFF"/>
                        <w:vAlign w:val="center"/>
                      </w:tcPr>
                      <w:p w14:paraId="44A74D06">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故障/正常/切换独立操作、基线与门控</w:t>
                        </w:r>
                      </w:p>
                    </w:tc>
                    <w:tc>
                      <w:tcPr>
                        <w:tcW w:w="3700" w:type="dxa"/>
                        <w:tcBorders>
                          <w:tl2br w:val="nil"/>
                          <w:tr2bl w:val="nil"/>
                        </w:tcBorders>
                        <w:shd w:val="clear" w:color="auto" w:fill="FFFFFF"/>
                        <w:vAlign w:val="center"/>
                      </w:tcPr>
                      <w:p w14:paraId="317D0815">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冻结方法；独立标签、时长及试次级结果完整</w:t>
                        </w:r>
                      </w:p>
                    </w:tc>
                  </w:tr>
                  <w:tr w14:paraId="592967D3">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800" w:type="dxa"/>
                        <w:tcBorders>
                          <w:tl2br w:val="nil"/>
                          <w:tr2bl w:val="nil"/>
                        </w:tcBorders>
                        <w:shd w:val="clear" w:color="auto" w:fill="FFFFFF"/>
                        <w:vAlign w:val="center"/>
                      </w:tcPr>
                      <w:p w14:paraId="25D93589">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2027年7—8月</w:t>
                        </w:r>
                      </w:p>
                    </w:tc>
                    <w:tc>
                      <w:tcPr>
                        <w:tcW w:w="3000" w:type="dxa"/>
                        <w:tcBorders>
                          <w:tl2br w:val="nil"/>
                          <w:tr2bl w:val="nil"/>
                        </w:tcBorders>
                        <w:shd w:val="clear" w:color="auto" w:fill="FFFFFF"/>
                        <w:vAlign w:val="center"/>
                      </w:tcPr>
                      <w:p w14:paraId="56572FB7">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LoRa发收、接收服务与Web，连续/恢复及复测</w:t>
                        </w:r>
                      </w:p>
                    </w:tc>
                    <w:tc>
                      <w:tcPr>
                        <w:tcW w:w="3700" w:type="dxa"/>
                        <w:tcBorders>
                          <w:tl2br w:val="nil"/>
                          <w:tr2bl w:val="nil"/>
                        </w:tcBorders>
                        <w:shd w:val="clear" w:color="auto" w:fill="FFFFFF"/>
                        <w:vAlign w:val="center"/>
                      </w:tcPr>
                      <w:p w14:paraId="55562C62">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同事件可追溯，缺失与超期可见，不靠页面数值验收</w:t>
                        </w:r>
                      </w:p>
                    </w:tc>
                  </w:tr>
                  <w:tr w14:paraId="26FA8B52">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800" w:type="dxa"/>
                        <w:tcBorders>
                          <w:tl2br w:val="nil"/>
                          <w:tr2bl w:val="nil"/>
                        </w:tcBorders>
                        <w:shd w:val="clear" w:color="auto" w:fill="FFFFFF"/>
                        <w:vAlign w:val="center"/>
                      </w:tcPr>
                      <w:p w14:paraId="5B69E12F">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2027年9—10月</w:t>
                        </w:r>
                      </w:p>
                    </w:tc>
                    <w:tc>
                      <w:tcPr>
                        <w:tcW w:w="3000" w:type="dxa"/>
                        <w:tcBorders>
                          <w:tl2br w:val="nil"/>
                          <w:tr2bl w:val="nil"/>
                        </w:tcBorders>
                        <w:shd w:val="clear" w:color="auto" w:fill="FFFFFF"/>
                        <w:vAlign w:val="center"/>
                      </w:tcPr>
                      <w:p w14:paraId="03808B6F">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留出批次、消融、关键边界补试验，论文初稿</w:t>
                        </w:r>
                      </w:p>
                    </w:tc>
                    <w:tc>
                      <w:tcPr>
                        <w:tcW w:w="3700" w:type="dxa"/>
                        <w:tcBorders>
                          <w:tl2br w:val="nil"/>
                          <w:tr2bl w:val="nil"/>
                        </w:tcBorders>
                        <w:shd w:val="clear" w:color="auto" w:fill="FFFFFF"/>
                        <w:vAlign w:val="center"/>
                      </w:tcPr>
                      <w:p w14:paraId="54FA1037">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数据与方法冻结，导师检查贡献及统计充分性</w:t>
                        </w:r>
                      </w:p>
                    </w:tc>
                  </w:tr>
                  <w:tr w14:paraId="395D78BF">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800" w:type="dxa"/>
                        <w:tcBorders>
                          <w:tl2br w:val="nil"/>
                          <w:tr2bl w:val="nil"/>
                        </w:tcBorders>
                        <w:shd w:val="clear" w:color="auto" w:fill="FFFFFF"/>
                        <w:vAlign w:val="center"/>
                      </w:tcPr>
                      <w:p w14:paraId="10DEF26C">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2027年11月至2028年2月</w:t>
                        </w:r>
                      </w:p>
                    </w:tc>
                    <w:tc>
                      <w:tcPr>
                        <w:tcW w:w="3000" w:type="dxa"/>
                        <w:tcBorders>
                          <w:tl2br w:val="nil"/>
                          <w:tr2bl w:val="nil"/>
                        </w:tcBorders>
                        <w:shd w:val="clear" w:color="auto" w:fill="FFFFFF"/>
                        <w:vAlign w:val="center"/>
                      </w:tcPr>
                      <w:p w14:paraId="6BAB644D">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补验证、原型修订、研究报告与结项材料</w:t>
                        </w:r>
                      </w:p>
                    </w:tc>
                    <w:tc>
                      <w:tcPr>
                        <w:tcW w:w="3700" w:type="dxa"/>
                        <w:tcBorders>
                          <w:tl2br w:val="nil"/>
                          <w:tr2bl w:val="nil"/>
                        </w:tcBorders>
                        <w:shd w:val="clear" w:color="auto" w:fill="FFFFFF"/>
                        <w:vAlign w:val="center"/>
                      </w:tcPr>
                      <w:p w14:paraId="29F9CC31">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对照获批任务书；论文状态如实记录，审稿不冒充发表</w:t>
                        </w:r>
                      </w:p>
                    </w:tc>
                  </w:tr>
                  <w:tr w14:paraId="4DF35A1E">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1800" w:type="dxa"/>
                        <w:tcBorders>
                          <w:tl2br w:val="nil"/>
                          <w:tr2bl w:val="nil"/>
                        </w:tcBorders>
                        <w:shd w:val="clear" w:color="auto" w:fill="FFFFFF"/>
                        <w:vAlign w:val="center"/>
                      </w:tcPr>
                      <w:p w14:paraId="3FE80F64">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论文深化与发表</w:t>
                        </w:r>
                      </w:p>
                    </w:tc>
                    <w:tc>
                      <w:tcPr>
                        <w:tcW w:w="3000" w:type="dxa"/>
                        <w:tcBorders>
                          <w:tl2br w:val="nil"/>
                          <w:tr2bl w:val="nil"/>
                        </w:tcBorders>
                        <w:shd w:val="clear" w:color="auto" w:fill="FFFFFF"/>
                        <w:vAlign w:val="center"/>
                      </w:tcPr>
                      <w:p w14:paraId="2D2C1436">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在真实数据充分后完成稿件、审查、投稿与修订</w:t>
                        </w:r>
                      </w:p>
                    </w:tc>
                    <w:tc>
                      <w:tcPr>
                        <w:tcW w:w="3700" w:type="dxa"/>
                        <w:tcBorders>
                          <w:tl2br w:val="nil"/>
                          <w:tr2bl w:val="nil"/>
                        </w:tcBorders>
                        <w:shd w:val="clear" w:color="auto" w:fill="FFFFFF"/>
                        <w:vAlign w:val="center"/>
                      </w:tcPr>
                      <w:p w14:paraId="5840D9B0">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第一作者贡献、发表及收录各留证明；未来学院认定另核实</w:t>
                        </w:r>
                      </w:p>
                    </w:tc>
                  </w:tr>
                </w:tbl>
                <w:p w14:paraId="39E46C2F">
                  <w:pPr>
                    <w:keepNext w:val="0"/>
                    <w:keepLines/>
                    <w:spacing w:line="20" w:lineRule="exact"/>
                    <w:jc w:val="both"/>
                    <w:rPr>
                      <w:rFonts w:hint="default" w:ascii="Times New Roman" w:hAnsi="Times New Roman" w:cs="Times New Roman"/>
                      <w:sz w:val="2"/>
                      <w:szCs w:val="28"/>
                      <w:vertAlign w:val="baseline"/>
                      <w:lang w:val="en-US" w:eastAsia="zh-CN"/>
                    </w:rPr>
                  </w:pPr>
                </w:p>
              </w:tc>
            </w:tr>
          </w:tbl>
          <w:p w14:paraId="09632D94">
            <w:pPr>
              <w:keepNext w:val="0"/>
              <w:keepLines/>
              <w:spacing w:line="20" w:lineRule="exact"/>
              <w:jc w:val="both"/>
              <w:rPr>
                <w:rFonts w:hint="default" w:ascii="Times New Roman" w:hAnsi="Times New Roman" w:eastAsia="宋体" w:cs="Times New Roman"/>
                <w:sz w:val="2"/>
                <w:szCs w:val="28"/>
                <w:lang w:val="en-US" w:eastAsia="zh-CN"/>
              </w:rPr>
            </w:pPr>
          </w:p>
          <w:p w14:paraId="0E390078">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具体成员责任在名单确定后落到上述岗位，导师定期检查阶段产物。资源和方法未达到进入条件时调整方案并留记录；论文审稿超过实施期时按真实已完成成果办理项目验收，不把计划进度自动改为发表状态。</w:t>
            </w:r>
          </w:p>
        </w:tc>
      </w:tr>
      <w:tr w14:paraId="3C00C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600525B1">
            <w:pPr>
              <w:keepNext/>
              <w:keepLines/>
              <w:numPr>
                <w:ilvl w:val="0"/>
                <w:numId w:val="0"/>
              </w:numPr>
              <w:spacing w:beforeLines="50" w:after="100" w:line="240" w:lineRule="auto"/>
              <w:jc w:val="both"/>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八、已有基础</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059B2B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14893CD3">
                  <w:pPr>
                    <w:keepNext w:val="0"/>
                    <w:keepLines/>
                    <w:pageBreakBefore w:val="0"/>
                    <w:numPr>
                      <w:ilvl w:val="0"/>
                      <w:numId w:val="0"/>
                    </w:numPr>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1 文献与当前模型证据</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已形成17篇文献及正文对应，其中中文11篇、英文6篇；完成参数化台架、接口条件核对、未标定模型和离线软件。尚无真实硬件、无线、整机功耗、田间效果或已发表成果。当前诊断版本为20261004-A06A07-v1，使用与台架设计一致的C、R参数，历史配置另存，不混用统计。</w:t>
                  </w:r>
                </w:p>
              </w:tc>
            </w:tr>
          </w:tbl>
          <w:p w14:paraId="48E702A3">
            <w:pPr>
              <w:keepNext/>
              <w:keepLines/>
              <w:numPr>
                <w:ilvl w:val="0"/>
                <w:numId w:val="0"/>
              </w:numPr>
              <w:spacing w:line="20" w:lineRule="exact"/>
              <w:jc w:val="both"/>
              <w:rPr>
                <w:rFonts w:hint="default" w:ascii="Times New Roman" w:hAnsi="Times New Roman" w:eastAsia="宋体" w:cs="Times New Roman"/>
                <w:b w:val="0"/>
                <w:sz w:val="2"/>
                <w:szCs w:val="28"/>
                <w:lang w:val="en-US" w:eastAsia="zh-CN"/>
              </w:rPr>
            </w:pPr>
          </w:p>
          <w:p w14:paraId="1578A2CD">
            <w:pPr>
              <w:keepNext w:val="0"/>
              <w:keepLines/>
              <w:numPr>
                <w:ilvl w:val="0"/>
                <w:numId w:val="0"/>
              </w:numPr>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六场景、四压力随机噪声档和20个基础种子形成480个合成试次，两规则形成960条配对结果；20个随机序列跨场景和噪声档复用，不是480个独立实物试验。两压力噪声假定独立，σ=0.3/1/3/10kPa，流量σ=0.02L/min；随机σ不等于厂家有界精度。图8保留固定Q对照与全部有效早期计数。</w:t>
            </w:r>
          </w:p>
          <w:p w14:paraId="25BE708D">
            <w:pPr>
              <w:keepNext w:val="0"/>
              <w:keepLines/>
              <w:numPr>
                <w:ilvl w:val="0"/>
                <w:numId w:val="0"/>
              </w:numPr>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3" o:spt="75" alt="图8 不同压力噪声下的有效早期计数 同源合成统计 非实测" type="#_x0000_t75" style="height:395.3pt;width:410pt;" filled="f" o:preferrelative="t" stroked="f" coordsize="21600,21600">
                  <v:path/>
                  <v:fill on="f" focussize="0,0"/>
                  <v:stroke on="f"/>
                  <v:imagedata r:id="rId13" o:title="noise_outcomes_print"/>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图8 不同压力噪声下的有效早期计数 同源合成统计 非实测</w:t>
            </w:r>
          </w:p>
          <w:p w14:paraId="56FA5D02">
            <w:pPr>
              <w:keepNext w:val="0"/>
              <w:keepLines/>
              <w:numPr>
                <w:ilvl w:val="0"/>
                <w:numId w:val="0"/>
              </w:numPr>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σ=0.3、1、3kPa时两类故障的K/R与固定Q均为20/20有效早期；σ=10kPa时K/R泄漏仅1/20、受限2/20，固定Q两类仍20/20。高噪声K/R泄漏含18次前期误报及1次首次模式错误，受限含18次前期误报，因此当前结果不能证明双压力方法普遍优于固定Q。图中Wilson95%区间只反映假定噪声生成器的组内比例，不能外推实物准确率。</w:t>
            </w:r>
          </w:p>
          <w:p w14:paraId="1059FADC">
            <w:pPr>
              <w:keepNext w:val="0"/>
              <w:keepLines/>
              <w:numPr>
                <w:ilvl w:val="0"/>
                <w:numId w:val="0"/>
              </w:numPr>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种子10300、σ=0.3kPa示例：泄漏402s确认、454s到演示参照，提前52s；受限384s确认、494s到参照，提前110s。单轨迹、种子统计和失败数量分别报告，不以个别成功提前量掩盖误报。独立参照不输入检测规则。</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7C838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0869D409">
                  <w:pPr>
                    <w:keepNext w:val="0"/>
                    <w:keepLines/>
                    <w:pageBreakBefore w:val="0"/>
                    <w:numPr>
                      <w:ilvl w:val="0"/>
                      <w:numId w:val="0"/>
                    </w:numPr>
                    <w:spacing w:beforeLines="50" w:after="100" w:line="240" w:lineRule="auto"/>
                    <w:jc w:val="both"/>
                    <w:rPr>
                      <w:rFonts w:hint="default" w:ascii="Times New Roman" w:hAnsi="Times New Roman" w:eastAsia="宋体" w:cs="Times New Roman"/>
                      <w:sz w:val="21"/>
                      <w:szCs w:val="28"/>
                      <w:vertAlign w:val="baseline"/>
                      <w:lang w:val="en-US" w:eastAsia="zh-CN"/>
                    </w:rPr>
                  </w:pPr>
                  <w:r>
                    <w:rPr>
                      <w:rFonts w:hint="default" w:ascii="Times New Roman" w:hAnsi="Times New Roman" w:eastAsia="宋体" w:cs="Times New Roman"/>
                      <w:b w:val="0"/>
                      <w:sz w:val="21"/>
                      <w:szCs w:val="28"/>
                      <w:vertAlign w:val="baseline"/>
                      <w:lang w:val="en-US" w:eastAsia="zh-CN"/>
                    </w:rPr>
                    <w:t>图9展示必须保留的失败。未知正常负载按与泄漏相同总导流变化生成，与泄漏观测逐值相同；P0偏移会产生受限候选，负载指数失配也可能在正常供压变化时误报。现有压力差分、高斯滤波或增加显示页面不能消除这些条件限制，后续研究需测量标定、状态信息及有条件输出。</w:t>
                  </w:r>
                </w:p>
              </w:tc>
            </w:tr>
          </w:tbl>
          <w:p w14:paraId="74A17BC2">
            <w:pPr>
              <w:keepNext w:val="0"/>
              <w:keepLines/>
              <w:numPr>
                <w:ilvl w:val="0"/>
                <w:numId w:val="0"/>
              </w:numPr>
              <w:spacing w:line="20" w:lineRule="exact"/>
              <w:jc w:val="both"/>
              <w:rPr>
                <w:rFonts w:hint="default" w:ascii="Times New Roman" w:hAnsi="Times New Roman" w:eastAsia="宋体" w:cs="Times New Roman"/>
                <w:sz w:val="2"/>
                <w:szCs w:val="28"/>
                <w:lang w:val="en-US" w:eastAsia="zh-CN"/>
              </w:rPr>
            </w:pPr>
          </w:p>
          <w:p w14:paraId="3043708F">
            <w:pPr>
              <w:keepNext w:val="0"/>
              <w:keepLines/>
              <w:numPr>
                <w:ilvl w:val="0"/>
                <w:numId w:val="0"/>
              </w:numPr>
              <w:spacing w:beforeLines="50" w:after="100" w:line="240" w:lineRule="auto"/>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pict>
                <v:shape id="_x0000_i1034" o:spt="75" alt="图9 未知负载 漂移与模型失配反例 合成证据" type="#_x0000_t75" style="height:395.3pt;width:410pt;" filled="f" o:preferrelative="t" stroked="f" coordsize="21600,21600">
                  <v:path/>
                  <v:fill on="f" focussize="0,0"/>
                  <v:stroke on="f"/>
                  <v:imagedata r:id="rId14" o:title="failure_counterexamples"/>
                  <o:lock v:ext="edit" aspectratio="t"/>
                  <w10:wrap type="none"/>
                  <w10:anchorlock/>
                </v:shape>
              </w:pict>
            </w:r>
            <w:r>
              <w:rPr>
                <w:rFonts w:hint="eastAsia" w:ascii="Times New Roman" w:hAnsi="Times New Roman" w:cs="Times New Roman"/>
                <w:sz w:val="21"/>
                <w:szCs w:val="28"/>
                <w:lang w:val="en-US" w:eastAsia="zh-CN"/>
              </w:rPr>
              <w:br w:type="textWrapping"/>
            </w:r>
            <w:r>
              <w:rPr>
                <w:rFonts w:hint="eastAsia" w:ascii="Times New Roman" w:hAnsi="Times New Roman" w:cs="Times New Roman"/>
                <w:sz w:val="18"/>
                <w:szCs w:val="28"/>
                <w:lang w:val="en-US" w:eastAsia="zh-CN"/>
              </w:rPr>
              <w:t>图9 未知负载 漂移与模型失配反例 合成证据</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76F822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0FAF43F3">
                  <w:pPr>
                    <w:keepNext w:val="0"/>
                    <w:keepLines/>
                    <w:pageBreakBefore w:val="0"/>
                    <w:numPr>
                      <w:ilvl w:val="0"/>
                      <w:numId w:val="0"/>
                    </w:numPr>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2 接口 软件及协议准备</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已核对17个候选引脚、正常采样量程、电平与供电设计预留；三维容量、局部交集和离散取出检查有同源记录。保护定值、器件采购与整体制造未验证。前序完成12组实际主机字节与SQLite事务检查，复现1920行历史通信回放，保留FIFO后续事件等待61秒反例；这些不构成真实节点或射频试验。</w:t>
                  </w:r>
                </w:p>
              </w:tc>
            </w:tr>
          </w:tbl>
          <w:p w14:paraId="70A8975C">
            <w:pPr>
              <w:keepNext/>
              <w:keepLines/>
              <w:numPr>
                <w:ilvl w:val="0"/>
                <w:numId w:val="0"/>
              </w:numPr>
              <w:spacing w:line="20" w:lineRule="exact"/>
              <w:jc w:val="both"/>
              <w:rPr>
                <w:rFonts w:hint="default" w:ascii="Times New Roman" w:hAnsi="Times New Roman" w:eastAsia="宋体" w:cs="Times New Roman"/>
                <w:b w:val="0"/>
                <w:sz w:val="2"/>
                <w:szCs w:val="28"/>
                <w:lang w:val="en-US" w:eastAsia="zh-CN"/>
              </w:rPr>
            </w:pPr>
          </w:p>
          <w:p w14:paraId="04B19B1E">
            <w:pPr>
              <w:keepNext w:val="0"/>
              <w:keepLines/>
              <w:numPr>
                <w:ilvl w:val="0"/>
                <w:numId w:val="0"/>
              </w:numPr>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运行Web已接入当前版本24条冻结带噪观测，K/R̂取模型10样本均值。六页面四宽度、19项软件流程及3个实际导出检查通过，截图来自原生浏览器；事件冻结来源与模型版本，离线/无效禁止恢复归档，人工操作与ACK分开。当前Web没有接入主机SQLite，独立主机检查不能相加称系统端到端完成。</w:t>
            </w:r>
          </w:p>
          <w:p w14:paraId="5D644F6A">
            <w:pPr>
              <w:keepNext w:val="0"/>
              <w:keepLines/>
              <w:numPr>
                <w:ilvl w:val="0"/>
                <w:numId w:val="0"/>
              </w:numPr>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程序、JSON/CSV、参数、图源和验收记录随附件提供。图文审阅标明支撑主张及限制，额外量程、误差、安装、计量与整页截图作为电子附件，不重复堆入正文。</w:t>
            </w:r>
          </w:p>
          <w:tbl>
            <w:tblPr>
              <w:tblStyle w:val="6"/>
              <w:tblW w:w="91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100"/>
            </w:tblGrid>
            <w:tr w14:paraId="06478D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9100" w:type="dxa"/>
                  <w:tcBorders>
                    <w:tl2br w:val="nil"/>
                    <w:tr2bl w:val="nil"/>
                  </w:tcBorders>
                </w:tcPr>
                <w:p w14:paraId="29D9312E">
                  <w:pPr>
                    <w:keepNext w:val="0"/>
                    <w:keepLines/>
                    <w:pageBreakBefore w:val="0"/>
                    <w:numPr>
                      <w:ilvl w:val="0"/>
                      <w:numId w:val="0"/>
                    </w:numPr>
                    <w:spacing w:beforeLines="50" w:after="100" w:line="240" w:lineRule="auto"/>
                    <w:jc w:val="both"/>
                    <w:rPr>
                      <w:rFonts w:hint="default" w:ascii="Times New Roman" w:hAnsi="Times New Roman" w:eastAsia="宋体" w:cs="Times New Roman"/>
                      <w:b w:val="0"/>
                      <w:sz w:val="21"/>
                      <w:szCs w:val="28"/>
                      <w:vertAlign w:val="baseline"/>
                      <w:lang w:val="en-US" w:eastAsia="zh-CN"/>
                    </w:rPr>
                  </w:pPr>
                  <w:r>
                    <w:rPr>
                      <w:rFonts w:hint="default" w:ascii="Times New Roman" w:hAnsi="Times New Roman" w:eastAsia="宋体" w:cs="Times New Roman"/>
                      <w:b/>
                      <w:sz w:val="21"/>
                      <w:szCs w:val="28"/>
                      <w:vertAlign w:val="baseline"/>
                      <w:lang w:val="en-US" w:eastAsia="zh-CN"/>
                    </w:rPr>
                    <w:t>3 尚缺条件及落实顺序</w:t>
                  </w:r>
                  <w:r>
                    <w:rPr>
                      <w:rFonts w:hint="default" w:ascii="Times New Roman" w:hAnsi="Times New Roman" w:eastAsia="宋体" w:cs="Times New Roman"/>
                      <w:b w:val="0"/>
                      <w:sz w:val="21"/>
                      <w:szCs w:val="28"/>
                      <w:vertAlign w:val="baseline"/>
                      <w:lang w:val="en-US" w:eastAsia="zh-CN"/>
                    </w:rPr>
                    <w:br w:type="textWrapping"/>
                  </w:r>
                  <w:r>
                    <w:rPr>
                      <w:rFonts w:hint="default" w:ascii="Times New Roman" w:hAnsi="Times New Roman" w:eastAsia="宋体" w:cs="Times New Roman"/>
                      <w:b w:val="0"/>
                      <w:sz w:val="21"/>
                      <w:szCs w:val="28"/>
                      <w:vertAlign w:val="baseline"/>
                      <w:lang w:val="en-US" w:eastAsia="zh-CN"/>
                    </w:rPr>
                    <w:t>负责人会焊接，启动额度约2000元。先落实开发分工、水源与独立参考，再询价两压力规格，冻结BOM、接口和采集保护。成员、场地、导师支持及实际电脑条件待确认；现场自行联系，未获许可时先完成台架，南疆适应性保留待项。</w:t>
                  </w:r>
                </w:p>
              </w:tc>
            </w:tr>
          </w:tbl>
          <w:p w14:paraId="3FFD6135">
            <w:pPr>
              <w:keepNext/>
              <w:keepLines/>
              <w:numPr>
                <w:ilvl w:val="0"/>
                <w:numId w:val="0"/>
              </w:numPr>
              <w:spacing w:line="20" w:lineRule="exact"/>
              <w:jc w:val="both"/>
              <w:rPr>
                <w:rFonts w:hint="default" w:ascii="Times New Roman" w:hAnsi="Times New Roman" w:eastAsia="宋体" w:cs="Times New Roman"/>
                <w:b w:val="0"/>
                <w:sz w:val="2"/>
                <w:szCs w:val="28"/>
                <w:lang w:val="en-US" w:eastAsia="zh-CN"/>
              </w:rPr>
            </w:pPr>
          </w:p>
          <w:p w14:paraId="51DDC895">
            <w:pPr>
              <w:keepNext w:val="0"/>
              <w:keepLines/>
              <w:numPr>
                <w:ilvl w:val="0"/>
                <w:numId w:val="0"/>
              </w:numPr>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测量不达标时调整可检程度与研究目标；报价或借用不能落实时重编预算和任务书。没有电流设备就不声明整机节能，没有现场故障标签就不计算田间检出率；将未解决条件列入阶段检查，不编写为已有实验室、合作基地或获奖成绩。</w:t>
            </w:r>
          </w:p>
        </w:tc>
      </w:tr>
      <w:tr w14:paraId="3DE12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286" w:type="dxa"/>
            <w:gridSpan w:val="9"/>
            <w:noWrap w:val="0"/>
            <w:vAlign w:val="top"/>
          </w:tcPr>
          <w:p w14:paraId="2B7DEF05">
            <w:pPr>
              <w:keepNext/>
              <w:keepLines/>
              <w:spacing w:beforeLines="50" w:after="100" w:line="240" w:lineRule="auto"/>
              <w:jc w:val="both"/>
              <w:rPr>
                <w:rFonts w:hint="default" w:ascii="Times New Roman" w:hAnsi="Times New Roman" w:eastAsia="宋体" w:cs="Times New Roman"/>
                <w:b/>
                <w:sz w:val="21"/>
                <w:szCs w:val="28"/>
                <w:lang w:val="en-US" w:eastAsia="zh-CN"/>
              </w:rPr>
            </w:pPr>
            <w:r>
              <w:rPr>
                <w:rFonts w:hint="default" w:ascii="Times New Roman" w:hAnsi="Times New Roman" w:eastAsia="宋体" w:cs="Times New Roman"/>
                <w:b/>
                <w:sz w:val="21"/>
                <w:szCs w:val="28"/>
                <w:lang w:val="en-US" w:eastAsia="zh-CN"/>
              </w:rPr>
              <w:t>九、项目经费使用计划</w:t>
            </w:r>
          </w:p>
          <w:p w14:paraId="69F999D2">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表4按2000元启动额度设条件性上限，不是学校资助或整机报价。两压力合计680元为预算帽，每只340元不是询价结果；指定规格报价超过此帽即超出基础预算。其他项上限合计1320元，正式科目及申请额按本批要求、真实询价和导师审核重编。</w:t>
            </w:r>
          </w:p>
          <w:p w14:paraId="234DF8F6">
            <w:pPr>
              <w:keepNext w:val="0"/>
              <w:keepLines/>
              <w:spacing w:beforeLines="50" w:after="100" w:line="240" w:lineRule="auto"/>
              <w:jc w:val="both"/>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t>预算以已有电脑和借用水源、独立压力/流量参考及电流设备为前提，不含新泵站、多节点或论文费。厂家和淘宝入口附选型记录，配图是供应商产品而非样机；现货、规格与借用待确认。扩大资助优先补标定与独立验证。</w:t>
            </w:r>
          </w:p>
          <w:tbl>
            <w:tblPr>
              <w:tblStyle w:val="6"/>
              <w:tblW w:w="8500" w:type="dxa"/>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500"/>
            </w:tblGrid>
            <w:tr w14:paraId="6A53B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trPr>
              <w:tc>
                <w:tcPr>
                  <w:tcW w:w="9070" w:type="dxa"/>
                  <w:tcBorders>
                    <w:tl2br w:val="nil"/>
                    <w:tr2bl w:val="nil"/>
                  </w:tcBorders>
                </w:tcPr>
                <w:p w14:paraId="4FFFC01E">
                  <w:pPr>
                    <w:keepNext w:val="0"/>
                    <w:keepLines/>
                    <w:spacing w:beforeLines="50" w:after="140" w:line="240" w:lineRule="auto"/>
                    <w:jc w:val="both"/>
                    <w:rPr>
                      <w:rFonts w:hint="eastAsia" w:ascii="Times New Roman" w:hAnsi="Times New Roman" w:cs="Times New Roman"/>
                      <w:b/>
                      <w:sz w:val="21"/>
                      <w:szCs w:val="28"/>
                      <w:vertAlign w:val="baseline"/>
                      <w:lang w:val="en-US" w:eastAsia="zh-CN"/>
                    </w:rPr>
                  </w:pPr>
                  <w:r>
                    <w:rPr>
                      <w:rFonts w:hint="eastAsia" w:ascii="Times New Roman" w:hAnsi="Times New Roman" w:cs="Times New Roman"/>
                      <w:b/>
                      <w:sz w:val="21"/>
                      <w:szCs w:val="28"/>
                      <w:vertAlign w:val="baseline"/>
                      <w:lang w:val="en-US" w:eastAsia="zh-CN"/>
                    </w:rPr>
                    <w:t>表4 候选资源与条件预算</w:t>
                  </w:r>
                </w:p>
                <w:tbl>
                  <w:tblPr>
                    <w:tblStyle w:val="6"/>
                    <w:tblW w:w="8500" w:type="dxa"/>
                    <w:tblInd w:w="3" w:type="dxa"/>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Layout w:type="fixed"/>
                    <w:tblCellMar>
                      <w:top w:w="60" w:type="dxa"/>
                      <w:left w:w="100" w:type="dxa"/>
                      <w:bottom w:w="60" w:type="dxa"/>
                      <w:right w:w="100" w:type="dxa"/>
                    </w:tblCellMar>
                  </w:tblPr>
                  <w:tblGrid>
                    <w:gridCol w:w="2200"/>
                    <w:gridCol w:w="1100"/>
                    <w:gridCol w:w="5200"/>
                  </w:tblGrid>
                  <w:tr w14:paraId="64D9FA85">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blHeader/>
                    </w:trPr>
                    <w:tc>
                      <w:tcPr>
                        <w:tcW w:w="2200" w:type="dxa"/>
                        <w:tcBorders>
                          <w:tl2br w:val="nil"/>
                          <w:tr2bl w:val="nil"/>
                        </w:tcBorders>
                        <w:shd w:val="clear" w:color="auto" w:fill="EDEDED"/>
                        <w:vAlign w:val="center"/>
                      </w:tcPr>
                      <w:p w14:paraId="7EFE5F7B">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用途</w:t>
                        </w:r>
                      </w:p>
                    </w:tc>
                    <w:tc>
                      <w:tcPr>
                        <w:tcW w:w="1100" w:type="dxa"/>
                        <w:tcBorders>
                          <w:tl2br w:val="nil"/>
                          <w:tr2bl w:val="nil"/>
                        </w:tcBorders>
                        <w:shd w:val="clear" w:color="auto" w:fill="EDEDED"/>
                        <w:vAlign w:val="center"/>
                      </w:tcPr>
                      <w:p w14:paraId="520E0A41">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上限 元</w:t>
                        </w:r>
                      </w:p>
                    </w:tc>
                    <w:tc>
                      <w:tcPr>
                        <w:tcW w:w="5200" w:type="dxa"/>
                        <w:tcBorders>
                          <w:tl2br w:val="nil"/>
                          <w:tr2bl w:val="nil"/>
                        </w:tcBorders>
                        <w:shd w:val="clear" w:color="auto" w:fill="EDEDED"/>
                        <w:vAlign w:val="center"/>
                      </w:tcPr>
                      <w:p w14:paraId="11AFFB67">
                        <w:pPr>
                          <w:keepNext/>
                          <w:keepLines/>
                          <w:spacing w:beforeLines="50" w:after="40" w:line="240" w:lineRule="auto"/>
                          <w:jc w:val="both"/>
                          <w:rPr>
                            <w:rFonts w:hint="default" w:ascii="Times New Roman" w:hAnsi="Times New Roman" w:eastAsia="宋体" w:cs="Times New Roman"/>
                            <w:b/>
                            <w:sz w:val="19"/>
                            <w:szCs w:val="28"/>
                            <w:vertAlign w:val="baseline"/>
                            <w:lang w:val="en-US" w:eastAsia="zh-CN"/>
                          </w:rPr>
                        </w:pPr>
                        <w:r>
                          <w:rPr>
                            <w:rFonts w:hint="eastAsia" w:ascii="Times New Roman" w:hAnsi="Times New Roman" w:cs="Times New Roman"/>
                            <w:b/>
                            <w:sz w:val="19"/>
                            <w:szCs w:val="28"/>
                            <w:vertAlign w:val="baseline"/>
                            <w:lang w:val="en-US" w:eastAsia="zh-CN"/>
                          </w:rPr>
                          <w:t>配置与价格依据</w:t>
                        </w:r>
                      </w:p>
                    </w:tc>
                  </w:tr>
                  <w:tr w14:paraId="08478FA7">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200" w:type="dxa"/>
                        <w:tcBorders>
                          <w:tl2br w:val="nil"/>
                          <w:tr2bl w:val="nil"/>
                        </w:tcBorders>
                        <w:shd w:val="clear" w:color="auto" w:fill="FFFFFF"/>
                        <w:vAlign w:val="center"/>
                      </w:tcPr>
                      <w:p w14:paraId="4A8495B6">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主控 无线 日志 调试</w:t>
                        </w:r>
                      </w:p>
                    </w:tc>
                    <w:tc>
                      <w:tcPr>
                        <w:tcW w:w="1100" w:type="dxa"/>
                        <w:tcBorders>
                          <w:tl2br w:val="nil"/>
                          <w:tr2bl w:val="nil"/>
                        </w:tcBorders>
                        <w:shd w:val="clear" w:color="auto" w:fill="FFFFFF"/>
                        <w:vAlign w:val="center"/>
                      </w:tcPr>
                      <w:p w14:paraId="5A87062D">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350</w:t>
                        </w:r>
                      </w:p>
                    </w:tc>
                    <w:tc>
                      <w:tcPr>
                        <w:tcW w:w="5200" w:type="dxa"/>
                        <w:tcBorders>
                          <w:tl2br w:val="nil"/>
                          <w:tr2bl w:val="nil"/>
                        </w:tcBorders>
                        <w:shd w:val="clear" w:color="auto" w:fill="FFFFFF"/>
                        <w:vAlign w:val="center"/>
                      </w:tcPr>
                      <w:p w14:paraId="4606D175">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1个MCU、2只E220、天线、SD与USB-TTL，整体待报价</w:t>
                        </w:r>
                      </w:p>
                    </w:tc>
                  </w:tr>
                  <w:tr w14:paraId="08742FB7">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200" w:type="dxa"/>
                        <w:tcBorders>
                          <w:tl2br w:val="nil"/>
                          <w:tr2bl w:val="nil"/>
                        </w:tcBorders>
                        <w:shd w:val="clear" w:color="auto" w:fill="FFFFFF"/>
                        <w:vAlign w:val="center"/>
                      </w:tcPr>
                      <w:p w14:paraId="621E2B1C">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两压力变送器</w:t>
                        </w:r>
                      </w:p>
                    </w:tc>
                    <w:tc>
                      <w:tcPr>
                        <w:tcW w:w="1100" w:type="dxa"/>
                        <w:tcBorders>
                          <w:tl2br w:val="nil"/>
                          <w:tr2bl w:val="nil"/>
                        </w:tcBorders>
                        <w:shd w:val="clear" w:color="auto" w:fill="FFFFFF"/>
                        <w:vAlign w:val="center"/>
                      </w:tcPr>
                      <w:p w14:paraId="4156062B">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680</w:t>
                        </w:r>
                      </w:p>
                    </w:tc>
                    <w:tc>
                      <w:tcPr>
                        <w:tcW w:w="5200" w:type="dxa"/>
                        <w:tcBorders>
                          <w:tl2br w:val="nil"/>
                          <w:tr2bl w:val="nil"/>
                        </w:tcBorders>
                        <w:shd w:val="clear" w:color="auto" w:fill="FFFFFF"/>
                        <w:vAlign w:val="center"/>
                      </w:tcPr>
                      <w:p w14:paraId="7F8E6784">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0—200kPa、A1或书面等效、4—20mA；每只340预算帽，未报价</w:t>
                        </w:r>
                      </w:p>
                    </w:tc>
                  </w:tr>
                  <w:tr w14:paraId="62F0971B">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200" w:type="dxa"/>
                        <w:tcBorders>
                          <w:tl2br w:val="nil"/>
                          <w:tr2bl w:val="nil"/>
                        </w:tcBorders>
                        <w:shd w:val="clear" w:color="auto" w:fill="FFFFFF"/>
                        <w:vAlign w:val="center"/>
                      </w:tcPr>
                      <w:p w14:paraId="0CEF4208">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流量与压力ADC</w:t>
                        </w:r>
                      </w:p>
                    </w:tc>
                    <w:tc>
                      <w:tcPr>
                        <w:tcW w:w="1100" w:type="dxa"/>
                        <w:tcBorders>
                          <w:tl2br w:val="nil"/>
                          <w:tr2bl w:val="nil"/>
                        </w:tcBorders>
                        <w:shd w:val="clear" w:color="auto" w:fill="FFFFFF"/>
                        <w:vAlign w:val="center"/>
                      </w:tcPr>
                      <w:p w14:paraId="0AAD18EE">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200</w:t>
                        </w:r>
                      </w:p>
                    </w:tc>
                    <w:tc>
                      <w:tcPr>
                        <w:tcW w:w="5200" w:type="dxa"/>
                        <w:tcBorders>
                          <w:tl2br w:val="nil"/>
                          <w:tr2bl w:val="nil"/>
                        </w:tcBorders>
                        <w:shd w:val="clear" w:color="auto" w:fill="FFFFFF"/>
                        <w:vAlign w:val="center"/>
                      </w:tcPr>
                      <w:p w14:paraId="2C8D04FE">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SEN0549与ADS1115候选；10月4日官网展示109与79元，非成交价</w:t>
                        </w:r>
                      </w:p>
                    </w:tc>
                  </w:tr>
                  <w:tr w14:paraId="1627383C">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200" w:type="dxa"/>
                        <w:tcBorders>
                          <w:tl2br w:val="nil"/>
                          <w:tr2bl w:val="nil"/>
                        </w:tcBorders>
                        <w:shd w:val="clear" w:color="auto" w:fill="FFFFFF"/>
                        <w:vAlign w:val="center"/>
                      </w:tcPr>
                      <w:p w14:paraId="3CD96002">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模拟调理及电平</w:t>
                        </w:r>
                      </w:p>
                    </w:tc>
                    <w:tc>
                      <w:tcPr>
                        <w:tcW w:w="1100" w:type="dxa"/>
                        <w:tcBorders>
                          <w:tl2br w:val="nil"/>
                          <w:tr2bl w:val="nil"/>
                        </w:tcBorders>
                        <w:shd w:val="clear" w:color="auto" w:fill="FFFFFF"/>
                        <w:vAlign w:val="center"/>
                      </w:tcPr>
                      <w:p w14:paraId="44815873">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80</w:t>
                        </w:r>
                      </w:p>
                    </w:tc>
                    <w:tc>
                      <w:tcPr>
                        <w:tcW w:w="5200" w:type="dxa"/>
                        <w:tcBorders>
                          <w:tl2br w:val="nil"/>
                          <w:tr2bl w:val="nil"/>
                        </w:tcBorders>
                        <w:shd w:val="clear" w:color="auto" w:fill="FFFFFF"/>
                        <w:vAlign w:val="center"/>
                      </w:tcPr>
                      <w:p w14:paraId="4FF19A86">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精密电阻、保护、SN74LVC1G17和连接，保护定值未冻结</w:t>
                        </w:r>
                      </w:p>
                    </w:tc>
                  </w:tr>
                  <w:tr w14:paraId="4000B749">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200" w:type="dxa"/>
                        <w:tcBorders>
                          <w:tl2br w:val="nil"/>
                          <w:tr2bl w:val="nil"/>
                        </w:tcBorders>
                        <w:shd w:val="clear" w:color="auto" w:fill="FFFFFF"/>
                        <w:vAlign w:val="center"/>
                      </w:tcPr>
                      <w:p w14:paraId="549D94D5">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水路及独立收集</w:t>
                        </w:r>
                      </w:p>
                    </w:tc>
                    <w:tc>
                      <w:tcPr>
                        <w:tcW w:w="1100" w:type="dxa"/>
                        <w:tcBorders>
                          <w:tl2br w:val="nil"/>
                          <w:tr2bl w:val="nil"/>
                        </w:tcBorders>
                        <w:shd w:val="clear" w:color="auto" w:fill="FFFFFF"/>
                        <w:vAlign w:val="center"/>
                      </w:tcPr>
                      <w:p w14:paraId="74BC8FB9">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350</w:t>
                        </w:r>
                      </w:p>
                    </w:tc>
                    <w:tc>
                      <w:tcPr>
                        <w:tcW w:w="5200" w:type="dxa"/>
                        <w:tcBorders>
                          <w:tl2br w:val="nil"/>
                          <w:tr2bl w:val="nil"/>
                        </w:tcBorders>
                        <w:shd w:val="clear" w:color="auto" w:fill="FFFFFF"/>
                        <w:vAlign w:val="center"/>
                      </w:tcPr>
                      <w:p w14:paraId="588AF01E">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阀、三通、活接、回水、容器与夹具，不含水源采购</w:t>
                        </w:r>
                      </w:p>
                    </w:tc>
                  </w:tr>
                  <w:tr w14:paraId="0FD3239F">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200" w:type="dxa"/>
                        <w:tcBorders>
                          <w:tl2br w:val="nil"/>
                          <w:tr2bl w:val="nil"/>
                        </w:tcBorders>
                        <w:shd w:val="clear" w:color="auto" w:fill="FFFFFF"/>
                        <w:vAlign w:val="center"/>
                      </w:tcPr>
                      <w:p w14:paraId="7DA2FC30">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供电及安装防护</w:t>
                        </w:r>
                      </w:p>
                    </w:tc>
                    <w:tc>
                      <w:tcPr>
                        <w:tcW w:w="1100" w:type="dxa"/>
                        <w:tcBorders>
                          <w:tl2br w:val="nil"/>
                          <w:tr2bl w:val="nil"/>
                        </w:tcBorders>
                        <w:shd w:val="clear" w:color="auto" w:fill="FFFFFF"/>
                        <w:vAlign w:val="center"/>
                      </w:tcPr>
                      <w:p w14:paraId="6EF97271">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200</w:t>
                        </w:r>
                      </w:p>
                    </w:tc>
                    <w:tc>
                      <w:tcPr>
                        <w:tcW w:w="5200" w:type="dxa"/>
                        <w:tcBorders>
                          <w:tl2br w:val="nil"/>
                          <w:tr2bl w:val="nil"/>
                        </w:tcBorders>
                        <w:shd w:val="clear" w:color="auto" w:fill="FFFFFF"/>
                        <w:vAlign w:val="center"/>
                      </w:tcPr>
                      <w:p w14:paraId="773F4DFC">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24V回路、降压、外壳和安装，实物瞬态待检验</w:t>
                        </w:r>
                      </w:p>
                    </w:tc>
                  </w:tr>
                  <w:tr w14:paraId="19173441">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200" w:type="dxa"/>
                        <w:tcBorders>
                          <w:tl2br w:val="nil"/>
                          <w:tr2bl w:val="nil"/>
                        </w:tcBorders>
                        <w:shd w:val="clear" w:color="auto" w:fill="FFFFFF"/>
                        <w:vAlign w:val="center"/>
                      </w:tcPr>
                      <w:p w14:paraId="303537FA">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记录耗材</w:t>
                        </w:r>
                      </w:p>
                    </w:tc>
                    <w:tc>
                      <w:tcPr>
                        <w:tcW w:w="1100" w:type="dxa"/>
                        <w:tcBorders>
                          <w:tl2br w:val="nil"/>
                          <w:tr2bl w:val="nil"/>
                        </w:tcBorders>
                        <w:shd w:val="clear" w:color="auto" w:fill="FFFFFF"/>
                        <w:vAlign w:val="center"/>
                      </w:tcPr>
                      <w:p w14:paraId="060CC88B">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60</w:t>
                        </w:r>
                      </w:p>
                    </w:tc>
                    <w:tc>
                      <w:tcPr>
                        <w:tcW w:w="5200" w:type="dxa"/>
                        <w:tcBorders>
                          <w:tl2br w:val="nil"/>
                          <w:tr2bl w:val="nil"/>
                        </w:tcBorders>
                        <w:shd w:val="clear" w:color="auto" w:fill="FFFFFF"/>
                        <w:vAlign w:val="center"/>
                      </w:tcPr>
                      <w:p w14:paraId="09B77618">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实验记录与必要消耗，按允许科目报销</w:t>
                        </w:r>
                      </w:p>
                    </w:tc>
                  </w:tr>
                  <w:tr w14:paraId="4D55BF5D">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200" w:type="dxa"/>
                        <w:tcBorders>
                          <w:tl2br w:val="nil"/>
                          <w:tr2bl w:val="nil"/>
                        </w:tcBorders>
                        <w:shd w:val="clear" w:color="auto" w:fill="FFFFFF"/>
                        <w:vAlign w:val="center"/>
                      </w:tcPr>
                      <w:p w14:paraId="363BC390">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返工预留</w:t>
                        </w:r>
                      </w:p>
                    </w:tc>
                    <w:tc>
                      <w:tcPr>
                        <w:tcW w:w="1100" w:type="dxa"/>
                        <w:tcBorders>
                          <w:tl2br w:val="nil"/>
                          <w:tr2bl w:val="nil"/>
                        </w:tcBorders>
                        <w:shd w:val="clear" w:color="auto" w:fill="FFFFFF"/>
                        <w:vAlign w:val="center"/>
                      </w:tcPr>
                      <w:p w14:paraId="38F6FA49">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80</w:t>
                        </w:r>
                      </w:p>
                    </w:tc>
                    <w:tc>
                      <w:tcPr>
                        <w:tcW w:w="5200" w:type="dxa"/>
                        <w:tcBorders>
                          <w:tl2br w:val="nil"/>
                          <w:tr2bl w:val="nil"/>
                        </w:tcBorders>
                        <w:shd w:val="clear" w:color="auto" w:fill="FFFFFF"/>
                        <w:vAlign w:val="center"/>
                      </w:tcPr>
                      <w:p w14:paraId="14830AF0">
                        <w:pPr>
                          <w:keepNext/>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按询价及学校规定调剂，不作已发生支出</w:t>
                        </w:r>
                      </w:p>
                    </w:tc>
                  </w:tr>
                  <w:tr w14:paraId="6F3F88BA">
                    <w:tblPrEx>
                      <w:tblBorders>
                        <w:top w:val="single" w:color="D9D9D9" w:sz="2" w:space="0"/>
                        <w:left w:val="single" w:color="D9D9D9" w:sz="2" w:space="0"/>
                        <w:bottom w:val="single" w:color="D9D9D9" w:sz="2" w:space="0"/>
                        <w:right w:val="single" w:color="D9D9D9" w:sz="2" w:space="0"/>
                        <w:insideH w:val="single" w:color="D9D9D9" w:sz="2" w:space="0"/>
                        <w:insideV w:val="single" w:color="D9D9D9" w:sz="2" w:space="0"/>
                      </w:tblBorders>
                      <w:tblCellMar>
                        <w:top w:w="60" w:type="dxa"/>
                        <w:left w:w="100" w:type="dxa"/>
                        <w:bottom w:w="60" w:type="dxa"/>
                        <w:right w:w="100" w:type="dxa"/>
                      </w:tblCellMar>
                    </w:tblPrEx>
                    <w:trPr>
                      <w:cantSplit/>
                    </w:trPr>
                    <w:tc>
                      <w:tcPr>
                        <w:tcW w:w="2200" w:type="dxa"/>
                        <w:tcBorders>
                          <w:tl2br w:val="nil"/>
                          <w:tr2bl w:val="nil"/>
                        </w:tcBorders>
                        <w:shd w:val="clear" w:color="auto" w:fill="FFFFFF"/>
                        <w:vAlign w:val="center"/>
                      </w:tcPr>
                      <w:p w14:paraId="3089F3F2">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合计</w:t>
                        </w:r>
                      </w:p>
                    </w:tc>
                    <w:tc>
                      <w:tcPr>
                        <w:tcW w:w="1100" w:type="dxa"/>
                        <w:tcBorders>
                          <w:tl2br w:val="nil"/>
                          <w:tr2bl w:val="nil"/>
                        </w:tcBorders>
                        <w:shd w:val="clear" w:color="auto" w:fill="FFFFFF"/>
                        <w:vAlign w:val="center"/>
                      </w:tcPr>
                      <w:p w14:paraId="4518DF96">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2000</w:t>
                        </w:r>
                      </w:p>
                    </w:tc>
                    <w:tc>
                      <w:tcPr>
                        <w:tcW w:w="5200" w:type="dxa"/>
                        <w:tcBorders>
                          <w:tl2br w:val="nil"/>
                          <w:tr2bl w:val="nil"/>
                        </w:tcBorders>
                        <w:shd w:val="clear" w:color="auto" w:fill="FFFFFF"/>
                        <w:vAlign w:val="center"/>
                      </w:tcPr>
                      <w:p w14:paraId="46882CEB">
                        <w:pPr>
                          <w:keepNext w:val="0"/>
                          <w:keepLines/>
                          <w:spacing w:beforeLines="50" w:after="40" w:line="240" w:lineRule="auto"/>
                          <w:jc w:val="both"/>
                          <w:rPr>
                            <w:rFonts w:hint="default" w:ascii="Times New Roman" w:hAnsi="Times New Roman" w:eastAsia="宋体" w:cs="Times New Roman"/>
                            <w:b w:val="0"/>
                            <w:sz w:val="19"/>
                            <w:szCs w:val="28"/>
                            <w:vertAlign w:val="baseline"/>
                            <w:lang w:val="en-US" w:eastAsia="zh-CN"/>
                          </w:rPr>
                        </w:pPr>
                        <w:r>
                          <w:rPr>
                            <w:rFonts w:hint="eastAsia" w:ascii="Times New Roman" w:hAnsi="Times New Roman" w:cs="Times New Roman"/>
                            <w:b w:val="0"/>
                            <w:sz w:val="19"/>
                            <w:szCs w:val="28"/>
                            <w:vertAlign w:val="baseline"/>
                            <w:lang w:val="en-US" w:eastAsia="zh-CN"/>
                          </w:rPr>
                          <w:t>其他1320＋双压力680；全部为条件预算</w:t>
                        </w:r>
                      </w:p>
                    </w:tc>
                  </w:tr>
                </w:tbl>
                <w:p w14:paraId="7F2D4E6E">
                  <w:pPr>
                    <w:keepNext w:val="0"/>
                    <w:keepLines/>
                    <w:spacing w:line="20" w:lineRule="exact"/>
                    <w:jc w:val="both"/>
                    <w:rPr>
                      <w:rFonts w:hint="default" w:ascii="Times New Roman" w:hAnsi="Times New Roman" w:cs="Times New Roman"/>
                      <w:sz w:val="2"/>
                      <w:szCs w:val="28"/>
                      <w:vertAlign w:val="baseline"/>
                      <w:lang w:val="en-US" w:eastAsia="zh-CN"/>
                    </w:rPr>
                  </w:pPr>
                </w:p>
              </w:tc>
            </w:tr>
          </w:tbl>
          <w:p w14:paraId="75E1E204">
            <w:pPr>
              <w:keepNext w:val="0"/>
              <w:keepLines/>
              <w:spacing w:line="20" w:lineRule="exact"/>
              <w:jc w:val="both"/>
              <w:rPr>
                <w:rFonts w:hint="default" w:ascii="Times New Roman" w:hAnsi="Times New Roman" w:eastAsia="宋体" w:cs="Times New Roman"/>
                <w:sz w:val="2"/>
                <w:szCs w:val="28"/>
                <w:lang w:val="en-US" w:eastAsia="zh-CN"/>
              </w:rPr>
            </w:pPr>
          </w:p>
        </w:tc>
      </w:tr>
      <w:tr w14:paraId="21D4E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2" w:hRule="atLeast"/>
          <w:jc w:val="center"/>
        </w:trPr>
        <w:tc>
          <w:tcPr>
            <w:tcW w:w="2815" w:type="dxa"/>
            <w:gridSpan w:val="5"/>
            <w:noWrap w:val="0"/>
            <w:vAlign w:val="top"/>
          </w:tcPr>
          <w:p w14:paraId="6C2D5C09">
            <w:pPr>
              <w:keepNext/>
              <w:pageBreakBefore/>
              <w:spacing w:before="156" w:beforeLines="50"/>
              <w:rPr>
                <w:rFonts w:hint="eastAsia" w:eastAsia="宋体"/>
                <w:b/>
                <w:sz w:val="21"/>
                <w:lang w:eastAsia="zh-CN"/>
              </w:rPr>
            </w:pPr>
            <w:r>
              <w:rPr>
                <w:rFonts w:hint="eastAsia" w:eastAsia="宋体"/>
                <w:b/>
                <w:sz w:val="21"/>
                <w:lang w:eastAsia="zh-CN"/>
              </w:rPr>
              <w:t>项目组成员签字：</w:t>
            </w:r>
          </w:p>
        </w:tc>
        <w:tc>
          <w:tcPr>
            <w:tcW w:w="3050" w:type="dxa"/>
            <w:gridSpan w:val="2"/>
            <w:noWrap w:val="0"/>
            <w:vAlign w:val="top"/>
          </w:tcPr>
          <w:p w14:paraId="2D47FA7F">
            <w:pPr>
              <w:keepNext/>
              <w:spacing w:before="156" w:beforeLines="50"/>
              <w:rPr>
                <w:rFonts w:hint="eastAsia"/>
                <w:b/>
              </w:rPr>
            </w:pPr>
          </w:p>
        </w:tc>
        <w:tc>
          <w:tcPr>
            <w:tcW w:w="3421" w:type="dxa"/>
            <w:gridSpan w:val="2"/>
            <w:noWrap w:val="0"/>
            <w:vAlign w:val="top"/>
          </w:tcPr>
          <w:p w14:paraId="6C436491">
            <w:pPr>
              <w:keepNext/>
              <w:spacing w:before="156" w:beforeLines="50"/>
              <w:rPr>
                <w:rFonts w:hint="eastAsia"/>
                <w:b/>
              </w:rPr>
            </w:pPr>
          </w:p>
        </w:tc>
      </w:tr>
      <w:tr w14:paraId="68AB8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2" w:hRule="atLeast"/>
          <w:jc w:val="center"/>
        </w:trPr>
        <w:tc>
          <w:tcPr>
            <w:tcW w:w="2815" w:type="dxa"/>
            <w:gridSpan w:val="5"/>
            <w:noWrap w:val="0"/>
            <w:vAlign w:val="top"/>
          </w:tcPr>
          <w:p w14:paraId="04832430">
            <w:pPr>
              <w:keepNext/>
              <w:spacing w:before="156" w:beforeLines="50"/>
              <w:rPr>
                <w:rFonts w:hint="eastAsia"/>
                <w:b/>
              </w:rPr>
            </w:pPr>
          </w:p>
        </w:tc>
        <w:tc>
          <w:tcPr>
            <w:tcW w:w="3050" w:type="dxa"/>
            <w:gridSpan w:val="2"/>
            <w:noWrap w:val="0"/>
            <w:vAlign w:val="top"/>
          </w:tcPr>
          <w:p w14:paraId="1EEB3A24">
            <w:pPr>
              <w:keepNext/>
              <w:spacing w:before="156" w:beforeLines="50"/>
              <w:rPr>
                <w:rFonts w:hint="eastAsia"/>
                <w:b/>
              </w:rPr>
            </w:pPr>
          </w:p>
        </w:tc>
        <w:tc>
          <w:tcPr>
            <w:tcW w:w="3421" w:type="dxa"/>
            <w:gridSpan w:val="2"/>
            <w:noWrap w:val="0"/>
            <w:vAlign w:val="top"/>
          </w:tcPr>
          <w:p w14:paraId="5944E49A">
            <w:pPr>
              <w:keepNext/>
              <w:spacing w:before="156" w:beforeLines="50"/>
              <w:rPr>
                <w:rFonts w:hint="eastAsia"/>
                <w:b/>
              </w:rPr>
            </w:pPr>
          </w:p>
        </w:tc>
      </w:tr>
      <w:tr w14:paraId="4F0B2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2" w:hRule="atLeast"/>
          <w:jc w:val="center"/>
        </w:trPr>
        <w:tc>
          <w:tcPr>
            <w:tcW w:w="2815" w:type="dxa"/>
            <w:gridSpan w:val="5"/>
            <w:noWrap w:val="0"/>
            <w:vAlign w:val="top"/>
          </w:tcPr>
          <w:p w14:paraId="4EA4148E">
            <w:pPr>
              <w:keepNext w:val="0"/>
              <w:spacing w:before="156" w:beforeLines="50"/>
              <w:rPr>
                <w:rFonts w:hint="eastAsia"/>
                <w:b/>
              </w:rPr>
            </w:pPr>
          </w:p>
        </w:tc>
        <w:tc>
          <w:tcPr>
            <w:tcW w:w="3050" w:type="dxa"/>
            <w:gridSpan w:val="2"/>
            <w:noWrap w:val="0"/>
            <w:vAlign w:val="top"/>
          </w:tcPr>
          <w:p w14:paraId="27D76D89">
            <w:pPr>
              <w:keepNext w:val="0"/>
              <w:spacing w:before="156" w:beforeLines="50"/>
              <w:rPr>
                <w:rFonts w:hint="eastAsia"/>
                <w:b/>
              </w:rPr>
            </w:pPr>
          </w:p>
        </w:tc>
        <w:tc>
          <w:tcPr>
            <w:tcW w:w="3421" w:type="dxa"/>
            <w:gridSpan w:val="2"/>
            <w:noWrap w:val="0"/>
            <w:vAlign w:val="top"/>
          </w:tcPr>
          <w:p w14:paraId="221D84C1">
            <w:pPr>
              <w:keepNext w:val="0"/>
              <w:spacing w:before="156" w:beforeLines="50"/>
              <w:rPr>
                <w:rFonts w:hint="eastAsia"/>
                <w:b/>
              </w:rPr>
            </w:pPr>
          </w:p>
        </w:tc>
      </w:tr>
      <w:tr w14:paraId="72969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70" w:hRule="atLeast"/>
          <w:jc w:val="center"/>
        </w:trPr>
        <w:tc>
          <w:tcPr>
            <w:tcW w:w="9286" w:type="dxa"/>
            <w:gridSpan w:val="9"/>
            <w:noWrap w:val="0"/>
            <w:vAlign w:val="top"/>
          </w:tcPr>
          <w:p w14:paraId="58D69B53">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指导教师意见：</w:t>
            </w:r>
          </w:p>
          <w:p w14:paraId="112BF8FD">
            <w:pPr>
              <w:rPr>
                <w:rFonts w:hint="eastAsia" w:ascii="宋体" w:hAnsi="宋体"/>
              </w:rPr>
            </w:pPr>
          </w:p>
          <w:p w14:paraId="08B96242">
            <w:pPr>
              <w:rPr>
                <w:rFonts w:hint="eastAsia" w:ascii="宋体" w:hAnsi="宋体"/>
              </w:rPr>
            </w:pPr>
          </w:p>
          <w:p w14:paraId="093A0067">
            <w:pPr>
              <w:rPr>
                <w:rFonts w:hint="eastAsia" w:ascii="宋体" w:hAnsi="宋体"/>
              </w:rPr>
            </w:pPr>
          </w:p>
          <w:p w14:paraId="198B5642">
            <w:pPr>
              <w:rPr>
                <w:rFonts w:hint="eastAsia" w:ascii="宋体" w:hAnsi="宋体"/>
              </w:rPr>
            </w:pPr>
          </w:p>
          <w:p w14:paraId="249B92F4">
            <w:pPr>
              <w:rPr>
                <w:rFonts w:hint="eastAsia" w:ascii="宋体" w:hAnsi="宋体"/>
              </w:rPr>
            </w:pPr>
          </w:p>
          <w:p w14:paraId="75F62F35">
            <w:pPr>
              <w:rPr>
                <w:rFonts w:hint="eastAsia" w:ascii="宋体" w:hAnsi="宋体"/>
              </w:rPr>
            </w:pPr>
          </w:p>
          <w:p w14:paraId="3C45525D">
            <w:pPr>
              <w:rPr>
                <w:rFonts w:hint="eastAsia" w:ascii="宋体" w:hAnsi="宋体"/>
              </w:rPr>
            </w:pPr>
          </w:p>
          <w:p w14:paraId="72E7A164">
            <w:pPr>
              <w:rPr>
                <w:rFonts w:hint="eastAsia" w:ascii="宋体" w:hAnsi="宋体"/>
              </w:rPr>
            </w:pPr>
          </w:p>
          <w:p w14:paraId="4761A68F">
            <w:pPr>
              <w:rPr>
                <w:rFonts w:hint="eastAsia" w:ascii="宋体" w:hAnsi="宋体"/>
              </w:rPr>
            </w:pPr>
          </w:p>
          <w:p w14:paraId="68EAD181">
            <w:pPr>
              <w:rPr>
                <w:rFonts w:hint="eastAsia" w:ascii="宋体" w:hAnsi="宋体"/>
                <w:szCs w:val="21"/>
              </w:rPr>
            </w:pPr>
          </w:p>
          <w:p w14:paraId="74B22D82">
            <w:pPr>
              <w:spacing w:before="156" w:beforeLines="50"/>
              <w:rPr>
                <w:rFonts w:hint="eastAsia" w:ascii="黑体" w:hAnsi="黑体" w:eastAsia="黑体" w:cs="Times New Roman"/>
                <w:sz w:val="22"/>
                <w:szCs w:val="28"/>
              </w:rPr>
            </w:pPr>
            <w:r>
              <w:rPr>
                <w:rFonts w:hint="eastAsia" w:ascii="宋体" w:hAnsi="宋体"/>
                <w:szCs w:val="21"/>
              </w:rPr>
              <w:t xml:space="preserve">                                               </w:t>
            </w:r>
            <w:r>
              <w:rPr>
                <w:rFonts w:hint="eastAsia" w:ascii="黑体" w:hAnsi="黑体" w:eastAsia="黑体" w:cs="Times New Roman"/>
                <w:sz w:val="22"/>
                <w:szCs w:val="28"/>
              </w:rPr>
              <w:t xml:space="preserve"> 签    名： </w:t>
            </w:r>
          </w:p>
          <w:p w14:paraId="2FFE24CE">
            <w:pPr>
              <w:spacing w:before="156" w:beforeLines="50"/>
              <w:ind w:firstLine="6600" w:firstLineChars="3000"/>
              <w:rPr>
                <w:rFonts w:hint="eastAsia"/>
                <w:b/>
              </w:rPr>
            </w:pPr>
            <w:r>
              <w:rPr>
                <w:rFonts w:hint="eastAsia" w:ascii="黑体" w:hAnsi="黑体" w:eastAsia="黑体" w:cs="Times New Roman"/>
                <w:sz w:val="22"/>
                <w:szCs w:val="28"/>
              </w:rPr>
              <w:t>年     月     日</w:t>
            </w:r>
          </w:p>
        </w:tc>
      </w:tr>
      <w:tr w14:paraId="2445A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57" w:hRule="atLeast"/>
          <w:jc w:val="center"/>
        </w:trPr>
        <w:tc>
          <w:tcPr>
            <w:tcW w:w="9286" w:type="dxa"/>
            <w:gridSpan w:val="9"/>
            <w:noWrap w:val="0"/>
            <w:vAlign w:val="top"/>
          </w:tcPr>
          <w:p w14:paraId="1EB4B491">
            <w:pPr>
              <w:keepNext/>
              <w:pageBreakBefore/>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学院意见：</w:t>
            </w:r>
          </w:p>
          <w:p w14:paraId="6DCDD44E">
            <w:pPr>
              <w:keepNext/>
              <w:rPr>
                <w:rFonts w:hint="eastAsia" w:ascii="宋体" w:hAnsi="宋体"/>
              </w:rPr>
            </w:pPr>
          </w:p>
          <w:p w14:paraId="7D58A320">
            <w:pPr>
              <w:keepNext/>
              <w:rPr>
                <w:rFonts w:hint="eastAsia" w:ascii="宋体" w:hAnsi="宋体"/>
              </w:rPr>
            </w:pPr>
          </w:p>
          <w:p w14:paraId="453A19F1">
            <w:pPr>
              <w:keepNext/>
              <w:rPr>
                <w:rFonts w:hint="eastAsia" w:ascii="宋体" w:hAnsi="宋体"/>
              </w:rPr>
            </w:pPr>
          </w:p>
          <w:p w14:paraId="7D9223FA">
            <w:pPr>
              <w:keepNext/>
              <w:rPr>
                <w:rFonts w:hint="eastAsia" w:ascii="宋体" w:hAnsi="宋体"/>
              </w:rPr>
            </w:pPr>
          </w:p>
          <w:p w14:paraId="15C3232F">
            <w:pPr>
              <w:keepNext/>
              <w:rPr>
                <w:rFonts w:hint="eastAsia" w:ascii="宋体" w:hAnsi="宋体"/>
              </w:rPr>
            </w:pPr>
          </w:p>
          <w:p w14:paraId="4B8E8DD5">
            <w:pPr>
              <w:keepNext/>
              <w:rPr>
                <w:rFonts w:hint="eastAsia" w:ascii="宋体" w:hAnsi="宋体"/>
              </w:rPr>
            </w:pPr>
          </w:p>
          <w:p w14:paraId="3C529D54">
            <w:pPr>
              <w:keepNext/>
              <w:rPr>
                <w:rFonts w:hint="eastAsia" w:ascii="宋体" w:hAnsi="宋体"/>
              </w:rPr>
            </w:pPr>
          </w:p>
          <w:p w14:paraId="48EB30E2">
            <w:pPr>
              <w:keepNext/>
              <w:rPr>
                <w:rFonts w:hint="eastAsia" w:ascii="宋体" w:hAnsi="宋体"/>
              </w:rPr>
            </w:pPr>
          </w:p>
          <w:p w14:paraId="158FFBD9">
            <w:pPr>
              <w:keepNext/>
              <w:rPr>
                <w:rFonts w:hint="eastAsia" w:ascii="宋体" w:hAnsi="宋体"/>
              </w:rPr>
            </w:pPr>
          </w:p>
          <w:p w14:paraId="2C64010A">
            <w:pPr>
              <w:keepNext/>
              <w:rPr>
                <w:rFonts w:hint="eastAsia" w:ascii="宋体" w:hAnsi="宋体"/>
              </w:rPr>
            </w:pPr>
          </w:p>
          <w:p w14:paraId="38A65103">
            <w:pPr>
              <w:keepNext/>
              <w:spacing w:before="156" w:beforeLines="50"/>
              <w:rPr>
                <w:rFonts w:hint="eastAsia" w:ascii="黑体" w:hAnsi="黑体" w:eastAsia="黑体" w:cs="Times New Roman"/>
                <w:sz w:val="22"/>
                <w:szCs w:val="28"/>
              </w:rPr>
            </w:pPr>
            <w:r>
              <w:rPr>
                <w:rFonts w:hint="eastAsia" w:ascii="宋体" w:hAnsi="宋体"/>
                <w:szCs w:val="21"/>
              </w:rPr>
              <w:t xml:space="preserve">                                                </w:t>
            </w:r>
            <w:r>
              <w:rPr>
                <w:rFonts w:hint="eastAsia" w:ascii="黑体" w:hAnsi="黑体" w:eastAsia="黑体" w:cs="Times New Roman"/>
                <w:sz w:val="22"/>
                <w:szCs w:val="28"/>
              </w:rPr>
              <w:t xml:space="preserve">签名盖章： </w:t>
            </w:r>
          </w:p>
          <w:p w14:paraId="4E240535">
            <w:pPr>
              <w:keepNext/>
              <w:spacing w:before="156" w:beforeLines="50"/>
              <w:ind w:firstLine="6600" w:firstLineChars="3000"/>
              <w:rPr>
                <w:rFonts w:hint="eastAsia"/>
                <w:b/>
              </w:rPr>
            </w:pPr>
            <w:r>
              <w:rPr>
                <w:rFonts w:hint="eastAsia" w:ascii="黑体" w:hAnsi="黑体" w:eastAsia="黑体" w:cs="Times New Roman"/>
                <w:sz w:val="22"/>
                <w:szCs w:val="28"/>
              </w:rPr>
              <w:t>年     月     日</w:t>
            </w:r>
          </w:p>
        </w:tc>
      </w:tr>
      <w:tr w14:paraId="68436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886" w:hRule="atLeast"/>
          <w:jc w:val="center"/>
        </w:trPr>
        <w:tc>
          <w:tcPr>
            <w:tcW w:w="9286" w:type="dxa"/>
            <w:gridSpan w:val="9"/>
            <w:noWrap w:val="0"/>
            <w:vAlign w:val="top"/>
          </w:tcPr>
          <w:p w14:paraId="6E99E887">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学校意见：</w:t>
            </w:r>
          </w:p>
          <w:p w14:paraId="03054E86">
            <w:pPr>
              <w:spacing w:before="156" w:beforeLines="50"/>
              <w:rPr>
                <w:rFonts w:hint="eastAsia" w:ascii="黑体" w:hAnsi="黑体" w:eastAsia="黑体" w:cs="Times New Roman"/>
                <w:sz w:val="22"/>
                <w:szCs w:val="28"/>
              </w:rPr>
            </w:pPr>
          </w:p>
          <w:p w14:paraId="2961B169">
            <w:pPr>
              <w:spacing w:before="156" w:beforeLines="50"/>
              <w:rPr>
                <w:rFonts w:hint="eastAsia" w:ascii="黑体" w:hAnsi="黑体" w:eastAsia="黑体" w:cs="Times New Roman"/>
                <w:sz w:val="22"/>
                <w:szCs w:val="28"/>
              </w:rPr>
            </w:pPr>
          </w:p>
          <w:p w14:paraId="0A8187E8">
            <w:pPr>
              <w:spacing w:before="156" w:beforeLines="50"/>
              <w:rPr>
                <w:rFonts w:hint="eastAsia" w:ascii="黑体" w:hAnsi="黑体" w:eastAsia="黑体" w:cs="Times New Roman"/>
                <w:sz w:val="22"/>
                <w:szCs w:val="28"/>
              </w:rPr>
            </w:pPr>
          </w:p>
          <w:p w14:paraId="37813409">
            <w:pPr>
              <w:spacing w:before="156" w:beforeLines="50"/>
              <w:rPr>
                <w:rFonts w:hint="eastAsia" w:ascii="黑体" w:hAnsi="黑体" w:eastAsia="黑体" w:cs="Times New Roman"/>
                <w:sz w:val="22"/>
                <w:szCs w:val="28"/>
              </w:rPr>
            </w:pPr>
            <w:r>
              <w:rPr>
                <w:rFonts w:hint="eastAsia" w:ascii="黑体" w:hAnsi="黑体" w:eastAsia="黑体" w:cs="Times New Roman"/>
                <w:sz w:val="22"/>
                <w:szCs w:val="28"/>
                <w:lang/>
              </w:rPr>
              <w:pict>
                <v:shape id="_x0000_s1030" o:spid="_x0000_s1030" o:spt="202" type="#_x0000_t202" style="position:absolute;left:0pt;margin-left:123.75pt;margin-top:6.15pt;height:15.6pt;width:18pt;z-index:251659264;mso-width-relative:page;mso-height-relative:page;" coordsize="21600,21600">
                  <v:path/>
                  <v:fill focussize="0,0"/>
                  <v:stroke/>
                  <v:imagedata o:title=""/>
                  <o:lock v:ext="edit"/>
                  <v:textbox>
                    <w:txbxContent>
                      <w:p w14:paraId="161F814F"/>
                    </w:txbxContent>
                  </v:textbox>
                </v:shape>
              </w:pict>
            </w:r>
            <w:r>
              <w:rPr>
                <w:rFonts w:hint="eastAsia" w:ascii="黑体" w:hAnsi="黑体" w:eastAsia="黑体" w:cs="Times New Roman"/>
                <w:sz w:val="22"/>
                <w:szCs w:val="28"/>
                <w:lang/>
              </w:rPr>
              <w:pict>
                <v:shape id="_x0000_s1031" o:spid="_x0000_s1031" o:spt="202" type="#_x0000_t202" style="position:absolute;left:0pt;margin-left:250.6pt;margin-top:5.6pt;height:15.6pt;width:18pt;z-index:251660288;mso-width-relative:page;mso-height-relative:page;" coordsize="21600,21600">
                  <v:path/>
                  <v:fill focussize="0,0"/>
                  <v:stroke/>
                  <v:imagedata o:title=""/>
                  <o:lock v:ext="edit"/>
                  <v:textbox>
                    <w:txbxContent>
                      <w:p w14:paraId="7FB854A8"/>
                    </w:txbxContent>
                  </v:textbox>
                </v:shape>
              </w:pict>
            </w:r>
            <w:r>
              <w:rPr>
                <w:rFonts w:hint="eastAsia" w:ascii="黑体" w:hAnsi="黑体" w:eastAsia="黑体" w:cs="Times New Roman"/>
                <w:sz w:val="22"/>
                <w:szCs w:val="28"/>
              </w:rPr>
              <w:t>同意立项级别：   校级                  国家级</w:t>
            </w:r>
          </w:p>
          <w:p w14:paraId="77A37C44">
            <w:pPr>
              <w:rPr>
                <w:rFonts w:hint="eastAsia"/>
                <w:b/>
              </w:rPr>
            </w:pPr>
          </w:p>
          <w:p w14:paraId="7D73193C">
            <w:pPr>
              <w:spacing w:before="156" w:beforeLines="50"/>
              <w:rPr>
                <w:rFonts w:hint="eastAsia" w:ascii="黑体" w:hAnsi="黑体" w:eastAsia="黑体" w:cs="Times New Roman"/>
                <w:sz w:val="22"/>
                <w:szCs w:val="28"/>
              </w:rPr>
            </w:pPr>
          </w:p>
          <w:p w14:paraId="7C52FC58">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 xml:space="preserve">                                                签名盖章： </w:t>
            </w:r>
          </w:p>
          <w:p w14:paraId="3F2FD130">
            <w:pPr>
              <w:spacing w:before="156" w:beforeLines="50"/>
              <w:ind w:firstLine="6600" w:firstLineChars="3000"/>
              <w:rPr>
                <w:rFonts w:hint="eastAsia"/>
                <w:b/>
              </w:rPr>
            </w:pPr>
            <w:r>
              <w:rPr>
                <w:rFonts w:hint="eastAsia" w:ascii="黑体" w:hAnsi="黑体" w:eastAsia="黑体" w:cs="Times New Roman"/>
                <w:sz w:val="22"/>
                <w:szCs w:val="28"/>
              </w:rPr>
              <w:t>年     月     日</w:t>
            </w:r>
          </w:p>
        </w:tc>
      </w:tr>
    </w:tbl>
    <w:p w14:paraId="1094A115">
      <w:pPr>
        <w:spacing w:line="360" w:lineRule="auto"/>
        <w:rPr>
          <w:rFonts w:hint="eastAsia"/>
        </w:rPr>
      </w:pPr>
    </w:p>
    <w:sectPr>
      <w:footerReference r:id="rId3" w:type="default"/>
      <w:pgSz w:w="11906" w:h="16838"/>
      <w:pgMar w:top="1418" w:right="1418" w:bottom="1418" w:left="1418" w:header="851" w:footer="992" w:gutter="0"/>
      <w:pgBorders>
        <w:top w:val="none" w:sz="0" w:space="0"/>
        <w:left w:val="none" w:sz="0" w:space="0"/>
        <w:bottom w:val="none" w:sz="0" w:space="0"/>
        <w:right w:val="none" w:sz="0" w:space="0"/>
      </w:pgBorders>
      <w:pgNumType w:fmt="numberInDash"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2"/>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2FC5B197-7C90-4778-882F-67C492EE464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00000000000000000"/>
    <w:charset w:val="86"/>
    <w:family w:val="auto"/>
    <w:pitch w:val="default"/>
    <w:sig w:usb0="00000001" w:usb1="08000000" w:usb2="00000000" w:usb3="00000000" w:csb0="00040000" w:csb1="00000000"/>
    <w:embedRegular r:id="rId2" w:fontKey="{652BCFF5-25A9-4EB0-86E4-471836F61964}"/>
  </w:font>
  <w:font w:name="小标宋">
    <w:altName w:val="微软雅黑"/>
    <w:panose1 w:val="03000509000000000000"/>
    <w:charset w:val="86"/>
    <w:family w:val="auto"/>
    <w:pitch w:val="default"/>
    <w:sig w:usb0="00000001" w:usb1="080E0000" w:usb2="00000000" w:usb3="00000000" w:csb0="00040000" w:csb1="00000000"/>
    <w:embedRegular r:id="rId3" w:fontKey="{1F7DEEB3-F85F-4ED4-9DFE-168C27925906}"/>
  </w:font>
  <w:font w:name="楷体_GB2312">
    <w:altName w:val="楷体"/>
    <w:panose1 w:val="02010609030101010101"/>
    <w:charset w:val="86"/>
    <w:family w:val="modern"/>
    <w:pitch w:val="default"/>
    <w:sig w:usb0="00000001" w:usb1="080E0000" w:usb2="00000000" w:usb3="00000000" w:csb0="00040000" w:csb1="00000000"/>
    <w:embedRegular r:id="rId4" w:fontKey="{71CEC928-F102-4C22-A1F2-68118C0E83C5}"/>
  </w:font>
  <w:font w:name="仿宋_GB2312">
    <w:altName w:val="仿宋"/>
    <w:panose1 w:val="02010609030101010101"/>
    <w:charset w:val="86"/>
    <w:family w:val="modern"/>
    <w:pitch w:val="default"/>
    <w:sig w:usb0="00000001" w:usb1="080E0000" w:usb2="00000000" w:usb3="00000000" w:csb0="00040000" w:csb1="00000000"/>
    <w:embedRegular r:id="rId5" w:fontKey="{2ADC77AE-03AF-4F22-ACB8-C8794386AF8D}"/>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09647">
    <w:pPr>
      <w:pStyle w:val="2"/>
    </w:pPr>
    <w:r>
      <w:rPr>
        <w:sz w:val="18"/>
      </w:rPr>
      <w:pict>
        <v:shape id="_x0000_s2049" o:spid="_x0000_s2049" o:spt="202" type="#_x0000_t202" style="position:absolute;left:0pt;margin-top:0pt;height:144pt;width:144pt;mso-position-horizontal:outside;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012BA2B3">
                <w:pPr>
                  <w:pStyle w:val="2"/>
                  <w:rPr>
                    <w:rStyle w:val="8"/>
                    <w:sz w:val="21"/>
                    <w:szCs w:val="21"/>
                  </w:rPr>
                </w:pPr>
                <w:r>
                  <w:rPr>
                    <w:sz w:val="21"/>
                    <w:szCs w:val="21"/>
                  </w:rPr>
                  <w:fldChar w:fldCharType="begin"/>
                </w:r>
                <w:r>
                  <w:rPr>
                    <w:rStyle w:val="8"/>
                    <w:sz w:val="21"/>
                    <w:szCs w:val="21"/>
                  </w:rPr>
                  <w:instrText xml:space="preserve">PAGE  </w:instrText>
                </w:r>
                <w:r>
                  <w:rPr>
                    <w:sz w:val="21"/>
                    <w:szCs w:val="21"/>
                  </w:rPr>
                  <w:fldChar w:fldCharType="separate"/>
                </w:r>
                <w:r>
                  <w:rPr>
                    <w:rStyle w:val="8"/>
                    <w:sz w:val="21"/>
                    <w:szCs w:val="21"/>
                  </w:rPr>
                  <w:t>1</w:t>
                </w:r>
                <w:r>
                  <w:rPr>
                    <w:sz w:val="21"/>
                    <w:szCs w:val="21"/>
                  </w:rPr>
                  <w:fldChar w:fldCharType="end"/>
                </w:r>
              </w:p>
            </w:txbxContent>
          </v:textbox>
        </v:shape>
      </w:pic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embedTrueTypeFonts/>
  <w:saveSubset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OTMzYjIwYzMzODc2NjE0NzQwOTYwODUwNWRkNGVkZmIifQ=="/>
  </w:docVars>
  <w:rsids>
    <w:rsidRoot w:val="00C848A6"/>
    <w:rsid w:val="00007206"/>
    <w:rsid w:val="00094439"/>
    <w:rsid w:val="000B0BBE"/>
    <w:rsid w:val="001321B4"/>
    <w:rsid w:val="001558B9"/>
    <w:rsid w:val="0016391F"/>
    <w:rsid w:val="001A4A23"/>
    <w:rsid w:val="0021063B"/>
    <w:rsid w:val="00227945"/>
    <w:rsid w:val="00227EF5"/>
    <w:rsid w:val="002C5B40"/>
    <w:rsid w:val="00346C40"/>
    <w:rsid w:val="0036480C"/>
    <w:rsid w:val="00366E15"/>
    <w:rsid w:val="00376DDE"/>
    <w:rsid w:val="003B5EBD"/>
    <w:rsid w:val="003D34BA"/>
    <w:rsid w:val="003D4D06"/>
    <w:rsid w:val="004369A3"/>
    <w:rsid w:val="00440A03"/>
    <w:rsid w:val="00466C07"/>
    <w:rsid w:val="004746B0"/>
    <w:rsid w:val="004F22DA"/>
    <w:rsid w:val="00500FB0"/>
    <w:rsid w:val="005168B9"/>
    <w:rsid w:val="00540D59"/>
    <w:rsid w:val="005A367C"/>
    <w:rsid w:val="005A3C70"/>
    <w:rsid w:val="00617FD6"/>
    <w:rsid w:val="0065045A"/>
    <w:rsid w:val="0067113C"/>
    <w:rsid w:val="00673330"/>
    <w:rsid w:val="00695972"/>
    <w:rsid w:val="006B759E"/>
    <w:rsid w:val="006D5FED"/>
    <w:rsid w:val="006F599E"/>
    <w:rsid w:val="00792927"/>
    <w:rsid w:val="00793754"/>
    <w:rsid w:val="007B1B7E"/>
    <w:rsid w:val="00825FB4"/>
    <w:rsid w:val="00875D37"/>
    <w:rsid w:val="00894C41"/>
    <w:rsid w:val="008B5C9F"/>
    <w:rsid w:val="00906023"/>
    <w:rsid w:val="00981B0B"/>
    <w:rsid w:val="009A1991"/>
    <w:rsid w:val="009B2B37"/>
    <w:rsid w:val="009C01DA"/>
    <w:rsid w:val="009C0D1E"/>
    <w:rsid w:val="00A15C74"/>
    <w:rsid w:val="00A4021B"/>
    <w:rsid w:val="00A53F98"/>
    <w:rsid w:val="00A74A96"/>
    <w:rsid w:val="00AA3B49"/>
    <w:rsid w:val="00AC1F0A"/>
    <w:rsid w:val="00B128D9"/>
    <w:rsid w:val="00B56C05"/>
    <w:rsid w:val="00BD7EF6"/>
    <w:rsid w:val="00C25CC3"/>
    <w:rsid w:val="00C314D5"/>
    <w:rsid w:val="00C52A54"/>
    <w:rsid w:val="00C57E77"/>
    <w:rsid w:val="00C848A6"/>
    <w:rsid w:val="00CC794E"/>
    <w:rsid w:val="00CE5CF8"/>
    <w:rsid w:val="00D34D58"/>
    <w:rsid w:val="00D54048"/>
    <w:rsid w:val="00D84D7E"/>
    <w:rsid w:val="00DD0614"/>
    <w:rsid w:val="00DD15E9"/>
    <w:rsid w:val="00E60B11"/>
    <w:rsid w:val="00EB3A75"/>
    <w:rsid w:val="00EC5E67"/>
    <w:rsid w:val="00F12D65"/>
    <w:rsid w:val="00F2648B"/>
    <w:rsid w:val="00F33FF4"/>
    <w:rsid w:val="00F75A7A"/>
    <w:rsid w:val="00FB2D8D"/>
    <w:rsid w:val="00FE3393"/>
    <w:rsid w:val="010E6BD3"/>
    <w:rsid w:val="05C375FE"/>
    <w:rsid w:val="0B0419E3"/>
    <w:rsid w:val="0F8A271E"/>
    <w:rsid w:val="18A40355"/>
    <w:rsid w:val="19F92A7C"/>
    <w:rsid w:val="2B7175E9"/>
    <w:rsid w:val="391E4B76"/>
    <w:rsid w:val="46006614"/>
    <w:rsid w:val="50BC0C37"/>
    <w:rsid w:val="532474A3"/>
    <w:rsid w:val="5C4F0B22"/>
    <w:rsid w:val="5DAE1817"/>
    <w:rsid w:val="5FC33C0F"/>
    <w:rsid w:val="61892ED4"/>
    <w:rsid w:val="62864897"/>
    <w:rsid w:val="63F4655B"/>
    <w:rsid w:val="75C26D4A"/>
    <w:rsid w:val="7A0F27A6"/>
    <w:rsid w:val="7C076AB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jc w:val="both"/>
    </w:pPr>
    <w:rPr>
      <w:rFonts w:eastAsia="宋体"/>
      <w:kern w:val="2"/>
      <w:sz w:val="21"/>
      <w:szCs w:val="24"/>
      <w:lang w:val="en-US" w:eastAsia="zh-CN" w:bidi="ar-SA"/>
    </w:rPr>
  </w:style>
  <w:style w:type="character" w:default="1" w:styleId="7">
    <w:name w:val="Default Paragraph Font"/>
    <w:semiHidden/>
    <w:uiPriority w:val="0"/>
  </w:style>
  <w:style w:type="table" w:default="1" w:styleId="5">
    <w:name w:val="Normal Table"/>
    <w:semiHidden/>
    <w:uiPriority w:val="0"/>
    <w:tblPr>
      <w:tblStyle w:val="5"/>
      <w:tblCellMar>
        <w:top w:w="0" w:type="dxa"/>
        <w:left w:w="108" w:type="dxa"/>
        <w:bottom w:w="0" w:type="dxa"/>
        <w:right w:w="108" w:type="dxa"/>
      </w:tblCellMar>
    </w:tblPr>
  </w:style>
  <w:style w:type="paragraph" w:styleId="2">
    <w:name w:val="footer"/>
    <w:basedOn w:val="1"/>
    <w:uiPriority w:val="0"/>
    <w:pPr>
      <w:tabs>
        <w:tab w:val="center" w:pos="4153"/>
        <w:tab w:val="right" w:pos="8306"/>
      </w:tabs>
      <w:snapToGrid w:val="0"/>
      <w:jc w:val="left"/>
    </w:pPr>
    <w:rPr>
      <w:sz w:val="18"/>
      <w:szCs w:val="18"/>
    </w:rPr>
  </w:style>
  <w:style w:type="paragraph" w:styleId="3">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4">
    <w:name w:val="Normal (Web)"/>
    <w:basedOn w:val="1"/>
    <w:uiPriority w:val="0"/>
    <w:pPr>
      <w:spacing w:before="100" w:beforeAutospacing="1" w:after="100" w:afterAutospacing="1"/>
      <w:ind w:left="0" w:right="0"/>
      <w:jc w:val="left"/>
    </w:pPr>
    <w:rPr>
      <w:kern w:val="0"/>
      <w:sz w:val="24"/>
      <w:lang w:val="en-US" w:eastAsia="zh-CN" w:bidi="ar"/>
    </w:rPr>
  </w:style>
  <w:style w:type="table" w:styleId="6">
    <w:name w:val="Table Grid"/>
    <w:basedOn w:val="5"/>
    <w:uiPriority w:val="0"/>
    <w:pPr>
      <w:widowControl w:val="0"/>
      <w:jc w:val="both"/>
    </w:pPr>
    <w:rPr>
      <w:rFonts w:eastAsia="宋体"/>
    </w:rPr>
    <w:tblPr>
      <w:tblStyle w:val="5"/>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page number"/>
    <w:basedOn w:val="7"/>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textRotate="1"/>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Lenovo</Company>
  <Pages>23</Pages>
  <Words>477</Words>
  <Characters>481</Characters>
  <Lines>7</Lines>
  <Paragraphs>2</Paragraphs>
  <TotalTime>0</TotalTime>
  <ScaleCrop>false</ScaleCrop>
  <LinksUpToDate>false</LinksUpToDate>
  <CharactersWithSpaces>761</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2012-03-22T01:26:00Z</dcterms:created>
  <dc:creator>liangqs</dc:creator>
  <cp:lastModifiedBy>当问春风</cp:lastModifiedBy>
  <cp:lastPrinted>2022-10-26T02:38:36Z</cp:lastPrinted>
  <dcterms:modified xsi:type="dcterms:W3CDTF">2026-10-04T16:20:25Z</dcterms:modified>
  <dc:title>华南理工大学</dc:title>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C23646FDC0DA46E09BD9F9A7F372091B_13</vt:lpwstr>
  </property>
</Properties>
</file>