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0F3D87">
      <w:pPr>
        <w:rPr>
          <w:rFonts w:hint="eastAsia" w:eastAsia="宋体"/>
          <w:lang w:eastAsia="zh-CN"/>
        </w:rPr>
      </w:pPr>
      <w:bookmarkStart w:id="0" w:name="_GoBack"/>
      <w:bookmarkEnd w:id="0"/>
    </w:p>
    <w:p w14:paraId="31D6573C">
      <w:pPr>
        <w:rPr>
          <w:rFonts w:hint="eastAsia" w:eastAsia="宋体"/>
          <w:lang w:eastAsia="zh-CN"/>
        </w:rPr>
      </w:pPr>
    </w:p>
    <w:p w14:paraId="4111BDD1">
      <w:pPr>
        <w:jc w:val="left"/>
        <w:rPr>
          <w:rFonts w:hint="eastAsia" w:eastAsia="宋体"/>
          <w:lang w:eastAsia="zh-CN"/>
        </w:rPr>
      </w:pPr>
      <w:r>
        <w:rPr>
          <w:rFonts w:hint="eastAsia" w:eastAsia="宋体"/>
          <w:lang w:eastAsia="zh-CN"/>
        </w:rPr>
        <w:pict>
          <v:shape id="_x0000_i1025" o:spt="75" alt="塔里木大学VI-基础部分_A4.01标志标准中英文全称横式使用规范与不可入侵范围" type="#_x0000_t75" style="height:61.5pt;width:178pt;" filled="f" o:preferrelative="t" stroked="f" coordsize="21600,21600">
            <v:path/>
            <v:fill on="f" focussize="0,0"/>
            <v:stroke on="f"/>
            <v:imagedata r:id="rId5" o:title="塔里木大学VI-基础部分_A4.01标志标准中英文全称横式使用规范与不可入侵范围"/>
            <o:lock v:ext="edit" aspectratio="t"/>
            <w10:wrap type="none"/>
            <w10:anchorlock/>
          </v:shape>
        </w:pict>
      </w:r>
    </w:p>
    <w:p w14:paraId="0B332732">
      <w:pPr>
        <w:rPr>
          <w:rFonts w:hint="eastAsia"/>
        </w:rPr>
      </w:pPr>
    </w:p>
    <w:p w14:paraId="49297EE6">
      <w:pPr>
        <w:rPr>
          <w:rFonts w:hint="eastAsia"/>
        </w:rPr>
      </w:pPr>
    </w:p>
    <w:p w14:paraId="1CAD9021">
      <w:pPr>
        <w:rPr>
          <w:rFonts w:hint="eastAsia"/>
        </w:rPr>
      </w:pPr>
    </w:p>
    <w:p w14:paraId="68FF1C0F">
      <w:pPr>
        <w:rPr>
          <w:rFonts w:hint="eastAsia"/>
        </w:rPr>
      </w:pPr>
    </w:p>
    <w:p w14:paraId="26F7F5AD">
      <w:pPr>
        <w:jc w:val="center"/>
        <w:rPr>
          <w:rFonts w:hint="eastAsia" w:ascii="方正小标宋简体" w:hAnsi="方正小标宋简体" w:eastAsia="方正小标宋简体" w:cs="方正小标宋简体"/>
          <w:b w:val="0"/>
          <w:bCs/>
          <w:sz w:val="52"/>
          <w:szCs w:val="52"/>
        </w:rPr>
      </w:pPr>
      <w:r>
        <w:rPr>
          <w:rFonts w:hint="eastAsia" w:ascii="方正小标宋简体" w:hAnsi="方正小标宋简体" w:eastAsia="方正小标宋简体" w:cs="方正小标宋简体"/>
          <w:b w:val="0"/>
          <w:bCs/>
          <w:sz w:val="52"/>
          <w:szCs w:val="52"/>
        </w:rPr>
        <w:t>大学生创新训练</w:t>
      </w:r>
      <w:r>
        <w:rPr>
          <w:rFonts w:hint="eastAsia" w:ascii="方正小标宋简体" w:hAnsi="方正小标宋简体" w:eastAsia="方正小标宋简体" w:cs="方正小标宋简体"/>
          <w:b w:val="0"/>
          <w:bCs/>
          <w:sz w:val="52"/>
          <w:szCs w:val="52"/>
          <w:lang w:val="en-US" w:eastAsia="zh-CN"/>
        </w:rPr>
        <w:t>计划</w:t>
      </w:r>
      <w:r>
        <w:rPr>
          <w:rFonts w:hint="eastAsia" w:ascii="方正小标宋简体" w:hAnsi="方正小标宋简体" w:eastAsia="方正小标宋简体" w:cs="方正小标宋简体"/>
          <w:b w:val="0"/>
          <w:bCs/>
          <w:sz w:val="52"/>
          <w:szCs w:val="52"/>
        </w:rPr>
        <w:t>申报书</w:t>
      </w:r>
    </w:p>
    <w:p w14:paraId="23E61D25">
      <w:pPr>
        <w:jc w:val="center"/>
        <w:rPr>
          <w:rFonts w:hint="eastAsia" w:ascii="黑体" w:hAnsi="黑体" w:eastAsia="黑体"/>
          <w:sz w:val="36"/>
          <w:szCs w:val="36"/>
        </w:rPr>
      </w:pPr>
      <w:r>
        <w:rPr>
          <w:rFonts w:hint="eastAsia" w:ascii="方正小标宋简体" w:hAnsi="方正小标宋简体" w:eastAsia="方正小标宋简体" w:cs="方正小标宋简体"/>
          <w:color w:val="000000"/>
          <w:sz w:val="36"/>
          <w:szCs w:val="36"/>
          <w:lang w:eastAsia="zh-CN"/>
        </w:rPr>
        <w:t>（</w:t>
      </w:r>
      <w:r>
        <w:rPr>
          <w:rFonts w:hint="eastAsia" w:ascii="方正小标宋简体" w:hAnsi="方正小标宋简体" w:eastAsia="方正小标宋简体" w:cs="方正小标宋简体"/>
          <w:color w:val="000000"/>
          <w:sz w:val="36"/>
          <w:szCs w:val="36"/>
          <w:lang w:val="en-US" w:eastAsia="zh-CN"/>
        </w:rPr>
        <w:t>创新训练项目</w:t>
      </w:r>
      <w:r>
        <w:rPr>
          <w:rFonts w:hint="eastAsia" w:ascii="方正小标宋简体" w:hAnsi="方正小标宋简体" w:eastAsia="方正小标宋简体" w:cs="方正小标宋简体"/>
          <w:color w:val="000000"/>
          <w:sz w:val="36"/>
          <w:szCs w:val="36"/>
          <w:lang w:eastAsia="zh-CN"/>
        </w:rPr>
        <w:t>）</w:t>
      </w:r>
    </w:p>
    <w:p w14:paraId="5536F268">
      <w:pPr>
        <w:jc w:val="both"/>
        <w:rPr>
          <w:rFonts w:hint="eastAsia" w:ascii="黑体" w:hAnsi="黑体" w:eastAsia="黑体"/>
          <w:sz w:val="36"/>
          <w:szCs w:val="36"/>
        </w:rPr>
      </w:pPr>
    </w:p>
    <w:p w14:paraId="64188524">
      <w:pPr>
        <w:keepNext w:val="0"/>
        <w:keepLines w:val="0"/>
        <w:pageBreakBefore w:val="0"/>
        <w:widowControl w:val="0"/>
        <w:kinsoku/>
        <w:wordWrap/>
        <w:overflowPunct/>
        <w:topLinePunct w:val="0"/>
        <w:autoSpaceDE/>
        <w:autoSpaceDN/>
        <w:bidi w:val="0"/>
        <w:adjustRightInd/>
        <w:snapToGrid/>
        <w:ind w:left="0" w:right="0" w:firstLine="840" w:firstLineChars="400"/>
        <w:jc w:val="center"/>
        <w:textAlignment w:val="auto"/>
        <w:rPr>
          <w:rFonts w:hint="eastAsia" w:ascii="黑体" w:hAnsi="黑体" w:eastAsia="黑体" w:cs="黑体"/>
          <w:b w:val="0"/>
          <w:bCs w:val="0"/>
          <w:sz w:val="21"/>
          <w:szCs w:val="30"/>
          <w:lang w:val="en-US" w:eastAsia="zh-CN"/>
        </w:rPr>
      </w:pPr>
      <w:r>
        <w:rPr>
          <w:rFonts w:hint="eastAsia" w:ascii="黑体" w:hAnsi="黑体" w:eastAsia="黑体" w:cs="黑体"/>
          <w:b w:val="0"/>
          <w:bCs w:val="0"/>
          <w:sz w:val="21"/>
          <w:szCs w:val="30"/>
          <w:lang w:val="en-US" w:eastAsia="zh-CN"/>
        </w:rPr>
        <w:t>项目名称：基于 LoRa 的南疆滴灌支管道早期故障诊断物联网原型系统</w:t>
      </w:r>
    </w:p>
    <w:p w14:paraId="37A585C4">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项目负责人：</w:t>
      </w:r>
      <w:r>
        <w:rPr>
          <w:rFonts w:hint="eastAsia" w:ascii="黑体" w:hAnsi="黑体" w:eastAsia="黑体" w:cs="黑体"/>
          <w:b w:val="0"/>
          <w:bCs w:val="0"/>
          <w:sz w:val="30"/>
          <w:szCs w:val="30"/>
          <w:u w:val="single"/>
          <w:lang w:val="en-US" w:eastAsia="zh-CN"/>
        </w:rPr>
        <w:t xml:space="preserve">                            </w:t>
      </w:r>
    </w:p>
    <w:p w14:paraId="3D42CCA6">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学    号：</w:t>
      </w:r>
      <w:r>
        <w:rPr>
          <w:rFonts w:hint="eastAsia" w:ascii="黑体" w:hAnsi="黑体" w:eastAsia="黑体" w:cs="黑体"/>
          <w:b w:val="0"/>
          <w:bCs w:val="0"/>
          <w:sz w:val="30"/>
          <w:szCs w:val="30"/>
          <w:u w:val="single"/>
          <w:lang w:val="en-US" w:eastAsia="zh-CN"/>
        </w:rPr>
        <w:t xml:space="preserve">                              </w:t>
      </w:r>
    </w:p>
    <w:p w14:paraId="1516C07B">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班    级：</w:t>
      </w:r>
      <w:r>
        <w:rPr>
          <w:rFonts w:hint="eastAsia" w:ascii="黑体" w:hAnsi="黑体" w:eastAsia="黑体" w:cs="黑体"/>
          <w:b w:val="0"/>
          <w:bCs w:val="0"/>
          <w:sz w:val="30"/>
          <w:szCs w:val="30"/>
          <w:u w:val="single"/>
          <w:lang w:val="en-US" w:eastAsia="zh-CN"/>
        </w:rPr>
        <w:t xml:space="preserve">                              </w:t>
      </w:r>
    </w:p>
    <w:p w14:paraId="722BBA9A">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联系电话：</w:t>
      </w:r>
      <w:r>
        <w:rPr>
          <w:rFonts w:hint="eastAsia" w:ascii="黑体" w:hAnsi="黑体" w:eastAsia="黑体" w:cs="黑体"/>
          <w:b w:val="0"/>
          <w:bCs w:val="0"/>
          <w:sz w:val="30"/>
          <w:szCs w:val="30"/>
          <w:u w:val="single"/>
          <w:lang w:val="en-US" w:eastAsia="zh-CN"/>
        </w:rPr>
        <w:t xml:space="preserve">                              </w:t>
      </w:r>
    </w:p>
    <w:p w14:paraId="67BE8443">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所属学院：信息工程学院</w:t>
      </w:r>
    </w:p>
    <w:p w14:paraId="62CC73CE">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指导教师：</w:t>
      </w:r>
      <w:r>
        <w:rPr>
          <w:rFonts w:hint="eastAsia" w:ascii="黑体" w:hAnsi="黑体" w:eastAsia="黑体" w:cs="黑体"/>
          <w:b w:val="0"/>
          <w:bCs w:val="0"/>
          <w:sz w:val="30"/>
          <w:szCs w:val="30"/>
          <w:u w:val="single"/>
          <w:lang w:val="en-US" w:eastAsia="zh-CN"/>
        </w:rPr>
        <w:t xml:space="preserve">                              </w:t>
      </w:r>
    </w:p>
    <w:p w14:paraId="07213916">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default" w:ascii="黑体" w:hAnsi="黑体" w:eastAsia="黑体" w:cs="黑体"/>
          <w:b w:val="0"/>
          <w:bCs w:val="0"/>
          <w:sz w:val="30"/>
          <w:szCs w:val="30"/>
          <w:u w:val="single"/>
          <w:lang w:val="en-US" w:eastAsia="zh-CN"/>
        </w:rPr>
      </w:pPr>
      <w:r>
        <w:rPr>
          <w:rFonts w:hint="eastAsia" w:ascii="黑体" w:hAnsi="黑体" w:eastAsia="黑体" w:cs="黑体"/>
          <w:b w:val="0"/>
          <w:bCs w:val="0"/>
          <w:sz w:val="30"/>
          <w:szCs w:val="30"/>
          <w:u w:val="none"/>
          <w:lang w:val="en-US" w:eastAsia="zh-CN"/>
        </w:rPr>
        <w:t>联系电话：</w:t>
      </w:r>
      <w:r>
        <w:rPr>
          <w:rFonts w:hint="eastAsia" w:ascii="黑体" w:hAnsi="黑体" w:eastAsia="黑体" w:cs="黑体"/>
          <w:b w:val="0"/>
          <w:bCs w:val="0"/>
          <w:sz w:val="30"/>
          <w:szCs w:val="30"/>
          <w:u w:val="single"/>
          <w:lang w:val="en-US" w:eastAsia="zh-CN"/>
        </w:rPr>
        <w:t xml:space="preserve">                              </w:t>
      </w:r>
    </w:p>
    <w:p w14:paraId="6166D4A6">
      <w:pPr>
        <w:spacing w:line="480" w:lineRule="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起止时间：2027年3月至2028年2月</w:t>
      </w:r>
    </w:p>
    <w:p w14:paraId="6EC85A44">
      <w:pPr>
        <w:spacing w:line="480" w:lineRule="auto"/>
        <w:rPr>
          <w:rFonts w:hint="eastAsia" w:ascii="黑体" w:hAnsi="黑体" w:eastAsia="黑体" w:cs="黑体"/>
          <w:b w:val="0"/>
          <w:bCs w:val="0"/>
          <w:sz w:val="30"/>
          <w:szCs w:val="30"/>
          <w:lang w:val="en-US" w:eastAsia="zh-CN"/>
        </w:rPr>
      </w:pPr>
    </w:p>
    <w:p w14:paraId="2EBBDA9A">
      <w:pPr>
        <w:rPr>
          <w:rFonts w:hint="eastAsia" w:ascii="黑体" w:hAnsi="黑体" w:eastAsia="黑体" w:cs="黑体"/>
          <w:sz w:val="36"/>
        </w:rPr>
      </w:pPr>
    </w:p>
    <w:p w14:paraId="1D1068C3">
      <w:pPr>
        <w:rPr>
          <w:rFonts w:hint="eastAsia" w:ascii="黑体" w:hAnsi="黑体" w:eastAsia="黑体" w:cs="黑体"/>
          <w:sz w:val="36"/>
        </w:rPr>
      </w:pPr>
    </w:p>
    <w:p w14:paraId="4AC6F22B">
      <w:pPr>
        <w:keepNext w:val="0"/>
        <w:keepLines w:val="0"/>
        <w:pageBreakBefore w:val="0"/>
        <w:widowControl w:val="0"/>
        <w:kinsoku/>
        <w:wordWrap/>
        <w:overflowPunct/>
        <w:topLinePunct w:val="0"/>
        <w:autoSpaceDE/>
        <w:autoSpaceDN/>
        <w:bidi w:val="0"/>
        <w:adjustRightInd/>
        <w:snapToGrid/>
        <w:jc w:val="center"/>
        <w:textAlignment w:val="auto"/>
        <w:rPr>
          <w:rFonts w:hint="eastAsia" w:ascii="黑体" w:hAnsi="黑体" w:eastAsia="黑体" w:cs="黑体"/>
          <w:b w:val="0"/>
          <w:bCs w:val="0"/>
          <w:sz w:val="28"/>
          <w:szCs w:val="24"/>
          <w:lang w:val="en-US" w:eastAsia="zh-CN"/>
        </w:rPr>
      </w:pPr>
      <w:r>
        <w:rPr>
          <w:rFonts w:hint="eastAsia" w:ascii="黑体" w:hAnsi="黑体" w:eastAsia="黑体" w:cs="黑体"/>
          <w:b w:val="0"/>
          <w:bCs w:val="0"/>
          <w:sz w:val="28"/>
          <w:szCs w:val="24"/>
          <w:lang w:val="en-US" w:eastAsia="zh-CN"/>
        </w:rPr>
        <w:t>塔里木大学教务处制</w:t>
      </w:r>
    </w:p>
    <w:p w14:paraId="73C92C13">
      <w:pPr>
        <w:pageBreakBefore/>
        <w:jc w:val="center"/>
        <w:rPr>
          <w:rFonts w:eastAsia="楷体_GB2312"/>
          <w:b/>
          <w:bCs/>
          <w:sz w:val="36"/>
        </w:rPr>
      </w:pPr>
      <w:r>
        <w:rPr>
          <w:rFonts w:hint="eastAsia" w:ascii="小标宋" w:hAnsi="小标宋" w:eastAsia="小标宋" w:cs="小标宋"/>
          <w:b w:val="0"/>
          <w:bCs w:val="0"/>
          <w:sz w:val="44"/>
        </w:rPr>
        <w:t>填 写 须 知</w:t>
      </w:r>
    </w:p>
    <w:p w14:paraId="17BE9ACF">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一、项目分类说明：</w:t>
      </w:r>
    </w:p>
    <w:p w14:paraId="356784BF">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1.创新训练项目是本科生个人或团队，在导师指导下，自主完成创新性实验方法的设计、设备和材料的准备、实验的实施、数据处理与分析、总结报告撰写等工作。</w:t>
      </w:r>
    </w:p>
    <w:p w14:paraId="5B0BEC8F">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2.创业训练项目是本科生团队，在导师指导下，团队中每个学生在项目实施过程中扮演一个或多个具体的角色，通过编制商业计划书、开展可行性研究、模拟企业运行、进行一定程度的验证试验，撰写创业报告等工作。</w:t>
      </w:r>
    </w:p>
    <w:p w14:paraId="0D5C2502">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color="auto" w:fill="FFFFFF"/>
        <w:kinsoku/>
        <w:wordWrap/>
        <w:overflowPunct/>
        <w:topLinePunct w:val="0"/>
        <w:autoSpaceDE/>
        <w:autoSpaceDN/>
        <w:bidi w:val="0"/>
        <w:adjustRightInd/>
        <w:snapToGrid/>
        <w:spacing w:before="0" w:beforeAutospacing="0" w:after="0" w:afterAutospacing="0" w:line="520" w:lineRule="exact"/>
        <w:ind w:left="0" w:right="0" w:firstLine="560" w:firstLineChars="200"/>
        <w:textAlignment w:val="auto"/>
        <w:rPr>
          <w:rFonts w:hint="default" w:ascii="仿宋_GB2312" w:eastAsia="仿宋_GB2312"/>
          <w:sz w:val="28"/>
          <w:szCs w:val="28"/>
          <w:lang w:val="en-US" w:eastAsia="zh-CN"/>
        </w:rPr>
      </w:pPr>
      <w:r>
        <w:rPr>
          <w:rFonts w:hint="eastAsia" w:ascii="仿宋_GB2312" w:hAnsi="Times New Roman" w:eastAsia="仿宋_GB2312" w:cs="Times New Roman"/>
          <w:kern w:val="2"/>
          <w:sz w:val="28"/>
          <w:szCs w:val="28"/>
          <w:lang w:val="en-US" w:eastAsia="zh-CN" w:bidi="ar-SA"/>
        </w:rPr>
        <w:t>3.创业实践项目是学生团队，在学校导师和企业导师共同指导下，采用创新训练项目或创新性实验等成果，提出具有市场前景的创新性产品或服务，以此为基础开展创业实践活动。</w:t>
      </w:r>
    </w:p>
    <w:p w14:paraId="30D8ED74">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hAnsi="Times New Roman" w:eastAsia="仿宋_GB2312" w:cs="Times New Roman"/>
          <w:kern w:val="2"/>
          <w:sz w:val="28"/>
          <w:szCs w:val="28"/>
          <w:lang w:val="en-US" w:eastAsia="zh-CN" w:bidi="ar-SA"/>
        </w:rPr>
      </w:pPr>
      <w:r>
        <w:rPr>
          <w:rFonts w:hint="eastAsia" w:ascii="仿宋_GB2312" w:eastAsia="仿宋_GB2312"/>
          <w:sz w:val="28"/>
          <w:szCs w:val="28"/>
        </w:rPr>
        <w:t>二、申报书请按顺序逐项填写，填写内容必须实事求是，表达明确严谨。空缺项要填“无”。</w:t>
      </w:r>
      <w:r>
        <w:rPr>
          <w:rFonts w:hint="eastAsia" w:ascii="仿宋_GB2312" w:hAnsi="Times New Roman" w:eastAsia="仿宋_GB2312" w:cs="Times New Roman"/>
          <w:kern w:val="2"/>
          <w:sz w:val="28"/>
          <w:szCs w:val="28"/>
          <w:lang w:val="en-US" w:eastAsia="zh-CN" w:bidi="ar-SA"/>
        </w:rPr>
        <w:t xml:space="preserve">正文填写需采用宋体五号字体、单倍行距、双面印刷、左侧装订成册，注意排版和打印的美观。 </w:t>
      </w:r>
    </w:p>
    <w:p w14:paraId="7C42D94B">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三、申请参加大学生创新创业训练计划项目团队的人数含负责人在内不得超过5人。</w:t>
      </w:r>
    </w:p>
    <w:p w14:paraId="29B2F8AF">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四、填写完后用A4纸张双面打印，不得随意涂改。</w:t>
      </w:r>
    </w:p>
    <w:p w14:paraId="2E7BA096">
      <w:pPr>
        <w:keepNext w:val="0"/>
        <w:keepLines w:val="0"/>
        <w:pageBreakBefore w:val="0"/>
        <w:widowControl w:val="0"/>
        <w:kinsoku/>
        <w:wordWrap/>
        <w:overflowPunct/>
        <w:topLinePunct w:val="0"/>
        <w:autoSpaceDE/>
        <w:autoSpaceDN/>
        <w:bidi w:val="0"/>
        <w:adjustRightInd/>
        <w:snapToGrid/>
        <w:spacing w:line="560" w:lineRule="exact"/>
        <w:jc w:val="center"/>
        <w:textAlignment w:val="auto"/>
        <w:rPr>
          <w:rFonts w:ascii="仿宋_GB2312" w:eastAsia="仿宋_GB2312"/>
          <w:b/>
          <w:sz w:val="28"/>
        </w:rPr>
        <w:sectPr>
          <w:pgSz w:w="11906" w:h="16838"/>
          <w:pgMar w:top="1440" w:right="1800" w:bottom="1440" w:left="1800" w:header="851" w:footer="992" w:gutter="0"/>
          <w:pgBorders>
            <w:top w:val="none" w:sz="0" w:space="0"/>
            <w:left w:val="none" w:sz="0" w:space="0"/>
            <w:bottom w:val="none" w:sz="0" w:space="0"/>
            <w:right w:val="none" w:sz="0" w:space="0"/>
          </w:pgBorders>
          <w:cols w:space="720" w:num="1"/>
          <w:docGrid w:type="lines" w:linePitch="312" w:charSpace="0"/>
        </w:sectPr>
      </w:pPr>
    </w:p>
    <w:tbl>
      <w:tblPr>
        <w:tblStyle w:val="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6"/>
        <w:gridCol w:w="360"/>
        <w:gridCol w:w="722"/>
        <w:gridCol w:w="719"/>
        <w:gridCol w:w="548"/>
        <w:gridCol w:w="2335"/>
        <w:gridCol w:w="715"/>
        <w:gridCol w:w="732"/>
        <w:gridCol w:w="2689"/>
      </w:tblGrid>
      <w:tr w14:paraId="15B75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jc w:val="center"/>
        </w:trPr>
        <w:tc>
          <w:tcPr>
            <w:tcW w:w="1548" w:type="dxa"/>
            <w:gridSpan w:val="3"/>
            <w:noWrap w:val="0"/>
            <w:vAlign w:val="center"/>
          </w:tcPr>
          <w:p w14:paraId="464EC960">
            <w:pPr>
              <w:jc w:val="center"/>
              <w:rPr>
                <w:rFonts w:hint="eastAsia" w:ascii="黑体" w:hAnsi="黑体" w:eastAsia="黑体"/>
              </w:rPr>
            </w:pPr>
            <w:r>
              <w:rPr>
                <w:rFonts w:hint="eastAsia" w:ascii="黑体" w:hAnsi="黑体" w:eastAsia="黑体"/>
              </w:rPr>
              <w:t>项目名称</w:t>
            </w:r>
          </w:p>
        </w:tc>
        <w:tc>
          <w:tcPr>
            <w:tcW w:w="7738" w:type="dxa"/>
            <w:gridSpan w:val="6"/>
            <w:noWrap w:val="0"/>
            <w:vAlign w:val="center"/>
          </w:tcPr>
          <w:p w14:paraId="723D0AD9">
            <w:pPr>
              <w:jc w:val="center"/>
              <w:rPr>
                <w:rFonts w:hint="eastAsia" w:eastAsia="宋体"/>
                <w:lang w:eastAsia="zh-CN"/>
              </w:rPr>
            </w:pPr>
            <w:r>
              <w:rPr>
                <w:rFonts w:hint="eastAsia"/>
                <w:lang w:eastAsia="zh-CN"/>
              </w:rPr>
              <w:t>基于 LoRa 的南疆滴灌支管道早期故障诊断物联网原型系统</w:t>
            </w:r>
          </w:p>
        </w:tc>
      </w:tr>
      <w:tr w14:paraId="6A905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jc w:val="center"/>
        </w:trPr>
        <w:tc>
          <w:tcPr>
            <w:tcW w:w="1548" w:type="dxa"/>
            <w:gridSpan w:val="3"/>
            <w:noWrap w:val="0"/>
            <w:vAlign w:val="center"/>
          </w:tcPr>
          <w:p w14:paraId="6D9089EF">
            <w:pPr>
              <w:jc w:val="center"/>
              <w:rPr>
                <w:rFonts w:hint="default" w:ascii="黑体" w:hAnsi="黑体" w:eastAsia="黑体"/>
                <w:lang w:val="en-US" w:eastAsia="zh-CN"/>
              </w:rPr>
            </w:pPr>
            <w:r>
              <w:rPr>
                <w:rFonts w:hint="eastAsia" w:ascii="黑体" w:hAnsi="黑体" w:eastAsia="黑体"/>
                <w:lang w:val="en-US" w:eastAsia="zh-CN"/>
              </w:rPr>
              <w:t>项目所属专业大类及代码</w:t>
            </w:r>
          </w:p>
        </w:tc>
        <w:tc>
          <w:tcPr>
            <w:tcW w:w="7738" w:type="dxa"/>
            <w:gridSpan w:val="6"/>
            <w:noWrap w:val="0"/>
            <w:vAlign w:val="center"/>
          </w:tcPr>
          <w:p w14:paraId="41D9F44A">
            <w:pPr>
              <w:jc w:val="left"/>
              <w:rPr>
                <w:rFonts w:hint="default" w:eastAsia="宋体"/>
                <w:lang w:val="en-US" w:eastAsia="zh-CN"/>
              </w:rPr>
            </w:pPr>
            <w:r>
              <w:rPr>
                <w:rFonts w:hint="eastAsia" w:ascii="黑体" w:hAnsi="黑体" w:eastAsia="黑体" w:cs="Times New Roman"/>
                <w:lang w:val="en-US" w:eastAsia="zh-CN"/>
              </w:rPr>
              <w:t>电子信息类 0807（提交前按附件6核对）</w:t>
            </w:r>
          </w:p>
        </w:tc>
      </w:tr>
      <w:tr w14:paraId="4F033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jc w:val="center"/>
        </w:trPr>
        <w:tc>
          <w:tcPr>
            <w:tcW w:w="1548" w:type="dxa"/>
            <w:gridSpan w:val="3"/>
            <w:noWrap w:val="0"/>
            <w:vAlign w:val="center"/>
          </w:tcPr>
          <w:p w14:paraId="7004A006">
            <w:pPr>
              <w:jc w:val="center"/>
              <w:rPr>
                <w:rFonts w:ascii="黑体" w:hAnsi="黑体" w:eastAsia="黑体"/>
              </w:rPr>
            </w:pPr>
            <w:r>
              <w:rPr>
                <w:rFonts w:hint="eastAsia" w:ascii="黑体" w:hAnsi="黑体" w:eastAsia="黑体"/>
              </w:rPr>
              <w:t>项目起止时间</w:t>
            </w:r>
          </w:p>
        </w:tc>
        <w:tc>
          <w:tcPr>
            <w:tcW w:w="7738" w:type="dxa"/>
            <w:gridSpan w:val="6"/>
            <w:noWrap w:val="0"/>
            <w:vAlign w:val="center"/>
          </w:tcPr>
          <w:p w14:paraId="79683A61">
            <w:pPr>
              <w:jc w:val="center"/>
              <w:rPr>
                <w:rFonts w:hint="eastAsia" w:eastAsia="宋体"/>
                <w:lang w:eastAsia="zh-CN"/>
              </w:rPr>
            </w:pPr>
            <w:r>
              <w:rPr>
                <w:rFonts w:hint="eastAsia" w:ascii="黑体" w:hAnsi="黑体" w:eastAsia="黑体" w:cs="Times New Roman"/>
                <w:lang w:eastAsia="zh-CN"/>
              </w:rPr>
              <w:t>2027年3月至2028年2月</w:t>
            </w:r>
          </w:p>
        </w:tc>
      </w:tr>
      <w:tr w14:paraId="7925B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restart"/>
            <w:noWrap w:val="0"/>
            <w:textDirection w:val="tbRlV"/>
            <w:vAlign w:val="center"/>
          </w:tcPr>
          <w:p w14:paraId="7002135D">
            <w:pPr>
              <w:ind w:left="113" w:right="113"/>
              <w:jc w:val="center"/>
              <w:rPr>
                <w:rFonts w:ascii="黑体" w:hAnsi="黑体" w:eastAsia="黑体"/>
              </w:rPr>
            </w:pPr>
            <w:r>
              <w:rPr>
                <w:rFonts w:hint="eastAsia" w:ascii="黑体" w:hAnsi="黑体" w:eastAsia="黑体"/>
              </w:rPr>
              <w:t>负责人</w:t>
            </w:r>
          </w:p>
        </w:tc>
        <w:tc>
          <w:tcPr>
            <w:tcW w:w="1082" w:type="dxa"/>
            <w:gridSpan w:val="2"/>
            <w:noWrap w:val="0"/>
            <w:vAlign w:val="center"/>
          </w:tcPr>
          <w:p w14:paraId="0B0E2AD4">
            <w:pPr>
              <w:jc w:val="center"/>
              <w:rPr>
                <w:rFonts w:ascii="黑体" w:hAnsi="黑体" w:eastAsia="黑体"/>
              </w:rPr>
            </w:pPr>
            <w:r>
              <w:rPr>
                <w:rFonts w:hint="eastAsia" w:ascii="黑体" w:hAnsi="黑体" w:eastAsia="黑体"/>
              </w:rPr>
              <w:t>姓名</w:t>
            </w:r>
          </w:p>
        </w:tc>
        <w:tc>
          <w:tcPr>
            <w:tcW w:w="719" w:type="dxa"/>
            <w:noWrap w:val="0"/>
            <w:vAlign w:val="center"/>
          </w:tcPr>
          <w:p w14:paraId="7BB314BF">
            <w:pPr>
              <w:jc w:val="center"/>
              <w:rPr>
                <w:rFonts w:ascii="黑体" w:hAnsi="黑体" w:eastAsia="黑体"/>
              </w:rPr>
            </w:pPr>
            <w:r>
              <w:rPr>
                <w:rFonts w:hint="eastAsia" w:ascii="黑体" w:hAnsi="黑体" w:eastAsia="黑体"/>
              </w:rPr>
              <w:t>年级</w:t>
            </w:r>
          </w:p>
        </w:tc>
        <w:tc>
          <w:tcPr>
            <w:tcW w:w="2883" w:type="dxa"/>
            <w:gridSpan w:val="2"/>
            <w:noWrap w:val="0"/>
            <w:vAlign w:val="center"/>
          </w:tcPr>
          <w:p w14:paraId="1510C140">
            <w:pPr>
              <w:jc w:val="center"/>
              <w:rPr>
                <w:rFonts w:ascii="黑体" w:hAnsi="黑体" w:eastAsia="黑体"/>
              </w:rPr>
            </w:pPr>
            <w:r>
              <w:rPr>
                <w:rFonts w:hint="eastAsia" w:ascii="黑体" w:hAnsi="黑体" w:eastAsia="黑体"/>
              </w:rPr>
              <w:t>所在学院、专业</w:t>
            </w:r>
          </w:p>
        </w:tc>
        <w:tc>
          <w:tcPr>
            <w:tcW w:w="1447" w:type="dxa"/>
            <w:gridSpan w:val="2"/>
            <w:noWrap w:val="0"/>
            <w:vAlign w:val="center"/>
          </w:tcPr>
          <w:p w14:paraId="2BE39667">
            <w:pPr>
              <w:jc w:val="center"/>
              <w:rPr>
                <w:rFonts w:ascii="黑体" w:hAnsi="黑体" w:eastAsia="黑体"/>
              </w:rPr>
            </w:pPr>
            <w:r>
              <w:rPr>
                <w:rFonts w:hint="eastAsia" w:ascii="黑体" w:hAnsi="黑体" w:eastAsia="黑体"/>
              </w:rPr>
              <w:t>联系电话</w:t>
            </w:r>
          </w:p>
        </w:tc>
        <w:tc>
          <w:tcPr>
            <w:tcW w:w="2689" w:type="dxa"/>
            <w:noWrap w:val="0"/>
            <w:vAlign w:val="center"/>
          </w:tcPr>
          <w:p w14:paraId="5F1D0FB2">
            <w:pPr>
              <w:jc w:val="center"/>
              <w:rPr>
                <w:rFonts w:hint="eastAsia" w:ascii="黑体" w:hAnsi="黑体" w:eastAsia="黑体"/>
              </w:rPr>
            </w:pPr>
            <w:r>
              <w:rPr>
                <w:rFonts w:hint="eastAsia" w:ascii="黑体" w:hAnsi="黑体" w:eastAsia="黑体"/>
              </w:rPr>
              <w:t>E-mail</w:t>
            </w:r>
          </w:p>
        </w:tc>
      </w:tr>
      <w:tr w14:paraId="6E751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26C57E27">
            <w:pPr>
              <w:ind w:left="113" w:right="113"/>
              <w:jc w:val="center"/>
              <w:rPr>
                <w:rFonts w:hint="eastAsia" w:ascii="黑体" w:hAnsi="黑体" w:eastAsia="黑体"/>
              </w:rPr>
            </w:pPr>
          </w:p>
        </w:tc>
        <w:tc>
          <w:tcPr>
            <w:tcW w:w="1082" w:type="dxa"/>
            <w:gridSpan w:val="2"/>
            <w:tcBorders>
              <w:bottom w:val="single" w:color="auto" w:sz="4" w:space="0"/>
            </w:tcBorders>
            <w:noWrap w:val="0"/>
            <w:vAlign w:val="center"/>
          </w:tcPr>
          <w:p w14:paraId="4D8BFAAD">
            <w:pPr>
              <w:jc w:val="center"/>
              <w:rPr>
                <w:rFonts w:hint="eastAsia" w:eastAsia="宋体"/>
                <w:lang w:eastAsia="zh-CN"/>
              </w:rPr>
            </w:pPr>
            <w:r>
              <w:rPr>
                <w:rFonts w:hint="eastAsia"/>
                <w:lang w:eastAsia="zh-CN"/>
              </w:rPr>
              <w:t>待本人填写</w:t>
            </w:r>
          </w:p>
        </w:tc>
        <w:tc>
          <w:tcPr>
            <w:tcW w:w="719" w:type="dxa"/>
            <w:tcBorders>
              <w:bottom w:val="single" w:color="auto" w:sz="4" w:space="0"/>
            </w:tcBorders>
            <w:noWrap w:val="0"/>
            <w:vAlign w:val="center"/>
          </w:tcPr>
          <w:p w14:paraId="49FBAEB5">
            <w:pPr>
              <w:jc w:val="center"/>
              <w:rPr>
                <w:rFonts w:hint="eastAsia" w:eastAsia="宋体"/>
                <w:lang w:eastAsia="zh-CN"/>
              </w:rPr>
            </w:pPr>
            <w:r>
              <w:rPr>
                <w:rFonts w:hint="eastAsia"/>
                <w:lang w:eastAsia="zh-CN"/>
              </w:rPr>
              <w:t>大二</w:t>
            </w:r>
          </w:p>
        </w:tc>
        <w:tc>
          <w:tcPr>
            <w:tcW w:w="2883" w:type="dxa"/>
            <w:gridSpan w:val="2"/>
            <w:tcBorders>
              <w:top w:val="nil"/>
              <w:bottom w:val="single" w:color="auto" w:sz="4" w:space="0"/>
            </w:tcBorders>
            <w:noWrap w:val="0"/>
            <w:vAlign w:val="center"/>
          </w:tcPr>
          <w:p w14:paraId="7505CC51">
            <w:pPr>
              <w:jc w:val="center"/>
              <w:rPr>
                <w:rFonts w:hint="eastAsia" w:eastAsia="宋体"/>
                <w:lang w:eastAsia="zh-CN"/>
              </w:rPr>
            </w:pPr>
            <w:r>
              <w:rPr>
                <w:rFonts w:hint="eastAsia"/>
                <w:lang w:eastAsia="zh-CN"/>
              </w:rPr>
              <w:t>信息工程学院 通信专业</w:t>
            </w:r>
          </w:p>
        </w:tc>
        <w:tc>
          <w:tcPr>
            <w:tcW w:w="1447" w:type="dxa"/>
            <w:gridSpan w:val="2"/>
            <w:tcBorders>
              <w:bottom w:val="single" w:color="auto" w:sz="4" w:space="0"/>
            </w:tcBorders>
            <w:noWrap w:val="0"/>
            <w:vAlign w:val="center"/>
          </w:tcPr>
          <w:p w14:paraId="3322A558">
            <w:pPr>
              <w:jc w:val="center"/>
              <w:rPr>
                <w:rFonts w:hint="eastAsia" w:eastAsia="宋体"/>
                <w:lang w:eastAsia="zh-CN"/>
              </w:rPr>
            </w:pPr>
            <w:r>
              <w:rPr>
                <w:rFonts w:hint="eastAsia"/>
                <w:lang w:eastAsia="zh-CN"/>
              </w:rPr>
              <w:t>待填写</w:t>
            </w:r>
          </w:p>
        </w:tc>
        <w:tc>
          <w:tcPr>
            <w:tcW w:w="2689" w:type="dxa"/>
            <w:tcBorders>
              <w:bottom w:val="single" w:color="auto" w:sz="4" w:space="0"/>
            </w:tcBorders>
            <w:noWrap w:val="0"/>
            <w:vAlign w:val="center"/>
          </w:tcPr>
          <w:p w14:paraId="69375B46">
            <w:pPr>
              <w:jc w:val="center"/>
              <w:rPr>
                <w:rFonts w:hint="eastAsia" w:eastAsia="宋体"/>
                <w:lang w:eastAsia="zh-CN"/>
              </w:rPr>
            </w:pPr>
            <w:r>
              <w:rPr>
                <w:rFonts w:hint="eastAsia"/>
                <w:lang w:eastAsia="zh-CN"/>
              </w:rPr>
              <w:t>待填写</w:t>
            </w:r>
          </w:p>
        </w:tc>
      </w:tr>
      <w:tr w14:paraId="7AC20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856" w:hRule="atLeast"/>
          <w:jc w:val="center"/>
        </w:trPr>
        <w:tc>
          <w:tcPr>
            <w:tcW w:w="826" w:type="dxa"/>
            <w:gridSpan w:val="2"/>
            <w:noWrap w:val="0"/>
            <w:vAlign w:val="center"/>
          </w:tcPr>
          <w:p w14:paraId="6513D892">
            <w:pPr>
              <w:jc w:val="center"/>
              <w:rPr>
                <w:rFonts w:hint="eastAsia" w:ascii="黑体" w:hAnsi="黑体" w:eastAsia="黑体"/>
              </w:rPr>
            </w:pPr>
            <w:r>
              <w:rPr>
                <w:rFonts w:hint="eastAsia" w:ascii="黑体" w:hAnsi="黑体" w:eastAsia="黑体"/>
              </w:rPr>
              <w:t>参与</w:t>
            </w:r>
            <w:r>
              <w:rPr>
                <w:rFonts w:hint="eastAsia" w:ascii="黑体" w:hAnsi="黑体" w:eastAsia="黑体"/>
                <w:lang w:val="en-US" w:eastAsia="zh-CN"/>
              </w:rPr>
              <w:t>创新创业或科研</w:t>
            </w:r>
            <w:r>
              <w:rPr>
                <w:rFonts w:hint="eastAsia" w:ascii="黑体" w:hAnsi="黑体" w:eastAsia="黑体"/>
              </w:rPr>
              <w:t>情况</w:t>
            </w:r>
          </w:p>
        </w:tc>
        <w:tc>
          <w:tcPr>
            <w:tcW w:w="8460" w:type="dxa"/>
            <w:gridSpan w:val="7"/>
            <w:tcBorders>
              <w:bottom w:val="single" w:color="auto" w:sz="4" w:space="0"/>
            </w:tcBorders>
            <w:noWrap w:val="0"/>
            <w:vAlign w:val="top"/>
          </w:tcPr>
          <w:p w14:paraId="44CDBE36">
            <w:pPr>
              <w:jc w:val="both"/>
              <w:rPr>
                <w:rFonts w:hint="eastAsia" w:eastAsia="宋体"/>
                <w:lang w:val="en-US" w:eastAsia="zh-CN"/>
              </w:rPr>
            </w:pPr>
            <w:r>
              <w:rPr>
                <w:rFonts w:hint="eastAsia" w:ascii="黑体" w:hAnsi="黑体" w:eastAsia="黑体" w:cs="Times New Roman"/>
                <w:lang w:val="en-US" w:eastAsia="zh-CN"/>
              </w:rPr>
              <w:t>由负责人据实填写专业学习、实践经历及实际成果。</w:t>
            </w:r>
          </w:p>
        </w:tc>
      </w:tr>
      <w:tr w14:paraId="7F502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restart"/>
            <w:noWrap w:val="0"/>
            <w:textDirection w:val="tbRlV"/>
            <w:vAlign w:val="center"/>
          </w:tcPr>
          <w:p w14:paraId="15D3291B">
            <w:pPr>
              <w:ind w:left="113" w:right="113"/>
              <w:jc w:val="center"/>
              <w:rPr>
                <w:rFonts w:hint="eastAsia" w:ascii="黑体" w:hAnsi="黑体" w:eastAsia="黑体"/>
              </w:rPr>
            </w:pPr>
            <w:r>
              <w:rPr>
                <w:rFonts w:hint="eastAsia" w:ascii="黑体" w:hAnsi="黑体" w:eastAsia="黑体"/>
              </w:rPr>
              <w:t>项目组成员</w:t>
            </w:r>
          </w:p>
        </w:tc>
        <w:tc>
          <w:tcPr>
            <w:tcW w:w="1082" w:type="dxa"/>
            <w:gridSpan w:val="2"/>
            <w:tcBorders>
              <w:top w:val="single" w:color="auto" w:sz="4" w:space="0"/>
              <w:bottom w:val="single" w:color="auto" w:sz="4" w:space="0"/>
            </w:tcBorders>
            <w:noWrap w:val="0"/>
            <w:vAlign w:val="center"/>
          </w:tcPr>
          <w:p w14:paraId="512BC1E8">
            <w:pPr>
              <w:jc w:val="center"/>
              <w:rPr>
                <w:rFonts w:ascii="黑体" w:hAnsi="黑体" w:eastAsia="黑体"/>
              </w:rPr>
            </w:pPr>
            <w:r>
              <w:rPr>
                <w:rFonts w:hint="eastAsia" w:ascii="黑体" w:hAnsi="黑体" w:eastAsia="黑体"/>
              </w:rPr>
              <w:t>姓名</w:t>
            </w:r>
          </w:p>
        </w:tc>
        <w:tc>
          <w:tcPr>
            <w:tcW w:w="719" w:type="dxa"/>
            <w:tcBorders>
              <w:top w:val="single" w:color="auto" w:sz="4" w:space="0"/>
              <w:bottom w:val="single" w:color="auto" w:sz="4" w:space="0"/>
            </w:tcBorders>
            <w:noWrap w:val="0"/>
            <w:vAlign w:val="center"/>
          </w:tcPr>
          <w:p w14:paraId="4F4B387A">
            <w:pPr>
              <w:jc w:val="center"/>
              <w:rPr>
                <w:rFonts w:ascii="黑体" w:hAnsi="黑体" w:eastAsia="黑体"/>
              </w:rPr>
            </w:pPr>
            <w:r>
              <w:rPr>
                <w:rFonts w:hint="eastAsia" w:ascii="黑体" w:hAnsi="黑体" w:eastAsia="黑体"/>
              </w:rPr>
              <w:t>年级</w:t>
            </w:r>
          </w:p>
        </w:tc>
        <w:tc>
          <w:tcPr>
            <w:tcW w:w="2883" w:type="dxa"/>
            <w:gridSpan w:val="2"/>
            <w:tcBorders>
              <w:top w:val="single" w:color="auto" w:sz="4" w:space="0"/>
              <w:bottom w:val="single" w:color="auto" w:sz="4" w:space="0"/>
            </w:tcBorders>
            <w:noWrap w:val="0"/>
            <w:vAlign w:val="center"/>
          </w:tcPr>
          <w:p w14:paraId="4CF50218">
            <w:pPr>
              <w:jc w:val="center"/>
              <w:rPr>
                <w:rFonts w:ascii="黑体" w:hAnsi="黑体" w:eastAsia="黑体"/>
              </w:rPr>
            </w:pPr>
            <w:r>
              <w:rPr>
                <w:rFonts w:hint="eastAsia" w:ascii="黑体" w:hAnsi="黑体" w:eastAsia="黑体"/>
              </w:rPr>
              <w:t>所在学院、专业</w:t>
            </w:r>
          </w:p>
        </w:tc>
        <w:tc>
          <w:tcPr>
            <w:tcW w:w="1447" w:type="dxa"/>
            <w:gridSpan w:val="2"/>
            <w:tcBorders>
              <w:top w:val="single" w:color="auto" w:sz="4" w:space="0"/>
              <w:bottom w:val="single" w:color="auto" w:sz="4" w:space="0"/>
            </w:tcBorders>
            <w:noWrap w:val="0"/>
            <w:vAlign w:val="center"/>
          </w:tcPr>
          <w:p w14:paraId="7AE8D3FD">
            <w:pPr>
              <w:jc w:val="center"/>
              <w:rPr>
                <w:rFonts w:ascii="黑体" w:hAnsi="黑体" w:eastAsia="黑体"/>
              </w:rPr>
            </w:pPr>
            <w:r>
              <w:rPr>
                <w:rFonts w:hint="eastAsia" w:ascii="黑体" w:hAnsi="黑体" w:eastAsia="黑体"/>
              </w:rPr>
              <w:t>联系电话</w:t>
            </w:r>
          </w:p>
        </w:tc>
        <w:tc>
          <w:tcPr>
            <w:tcW w:w="2689" w:type="dxa"/>
            <w:tcBorders>
              <w:top w:val="single" w:color="auto" w:sz="4" w:space="0"/>
              <w:bottom w:val="single" w:color="auto" w:sz="4" w:space="0"/>
            </w:tcBorders>
            <w:noWrap w:val="0"/>
            <w:vAlign w:val="center"/>
          </w:tcPr>
          <w:p w14:paraId="02019972">
            <w:pPr>
              <w:jc w:val="center"/>
              <w:rPr>
                <w:rFonts w:hint="eastAsia" w:ascii="黑体" w:hAnsi="黑体" w:eastAsia="黑体"/>
              </w:rPr>
            </w:pPr>
            <w:r>
              <w:rPr>
                <w:rFonts w:hint="eastAsia" w:ascii="黑体" w:hAnsi="黑体" w:eastAsia="黑体"/>
              </w:rPr>
              <w:t>项目分工</w:t>
            </w:r>
          </w:p>
        </w:tc>
      </w:tr>
      <w:tr w14:paraId="77097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201B06E2">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7E0EC79D">
            <w:pPr>
              <w:jc w:val="center"/>
            </w:pPr>
          </w:p>
        </w:tc>
        <w:tc>
          <w:tcPr>
            <w:tcW w:w="719" w:type="dxa"/>
            <w:tcBorders>
              <w:top w:val="single" w:color="auto" w:sz="4" w:space="0"/>
              <w:bottom w:val="single" w:color="auto" w:sz="4" w:space="0"/>
            </w:tcBorders>
            <w:noWrap w:val="0"/>
            <w:vAlign w:val="center"/>
          </w:tcPr>
          <w:p w14:paraId="0F54F9A5">
            <w:pPr>
              <w:jc w:val="center"/>
              <w:rPr>
                <w:rFonts w:hint="eastAsia"/>
              </w:rPr>
            </w:pPr>
          </w:p>
        </w:tc>
        <w:tc>
          <w:tcPr>
            <w:tcW w:w="2883" w:type="dxa"/>
            <w:gridSpan w:val="2"/>
            <w:tcBorders>
              <w:top w:val="single" w:color="auto" w:sz="4" w:space="0"/>
              <w:bottom w:val="single" w:color="auto" w:sz="4" w:space="0"/>
            </w:tcBorders>
            <w:noWrap w:val="0"/>
            <w:vAlign w:val="center"/>
          </w:tcPr>
          <w:p w14:paraId="61E07DEA">
            <w:pPr>
              <w:jc w:val="center"/>
              <w:rPr>
                <w:rFonts w:hint="eastAsia"/>
              </w:rPr>
            </w:pPr>
          </w:p>
        </w:tc>
        <w:tc>
          <w:tcPr>
            <w:tcW w:w="1447" w:type="dxa"/>
            <w:gridSpan w:val="2"/>
            <w:tcBorders>
              <w:top w:val="single" w:color="auto" w:sz="4" w:space="0"/>
              <w:bottom w:val="single" w:color="auto" w:sz="4" w:space="0"/>
            </w:tcBorders>
            <w:noWrap w:val="0"/>
            <w:vAlign w:val="center"/>
          </w:tcPr>
          <w:p w14:paraId="2AA9F51B">
            <w:pPr>
              <w:jc w:val="center"/>
              <w:rPr>
                <w:rFonts w:hint="eastAsia"/>
              </w:rPr>
            </w:pPr>
          </w:p>
        </w:tc>
        <w:tc>
          <w:tcPr>
            <w:tcW w:w="2689" w:type="dxa"/>
            <w:tcBorders>
              <w:top w:val="single" w:color="auto" w:sz="4" w:space="0"/>
              <w:bottom w:val="single" w:color="auto" w:sz="4" w:space="0"/>
            </w:tcBorders>
            <w:noWrap w:val="0"/>
            <w:vAlign w:val="center"/>
          </w:tcPr>
          <w:p w14:paraId="0D539DE5">
            <w:pPr>
              <w:jc w:val="center"/>
              <w:rPr>
                <w:rFonts w:hint="eastAsia"/>
              </w:rPr>
            </w:pPr>
          </w:p>
        </w:tc>
      </w:tr>
      <w:tr w14:paraId="09412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7163EEAD">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0AF37B5D">
            <w:pPr>
              <w:jc w:val="center"/>
            </w:pPr>
          </w:p>
        </w:tc>
        <w:tc>
          <w:tcPr>
            <w:tcW w:w="719" w:type="dxa"/>
            <w:tcBorders>
              <w:top w:val="single" w:color="auto" w:sz="4" w:space="0"/>
              <w:bottom w:val="single" w:color="auto" w:sz="4" w:space="0"/>
            </w:tcBorders>
            <w:noWrap w:val="0"/>
            <w:vAlign w:val="center"/>
          </w:tcPr>
          <w:p w14:paraId="4CC7953D">
            <w:pPr>
              <w:jc w:val="center"/>
              <w:rPr>
                <w:rFonts w:hint="eastAsia"/>
              </w:rPr>
            </w:pPr>
          </w:p>
        </w:tc>
        <w:tc>
          <w:tcPr>
            <w:tcW w:w="2883" w:type="dxa"/>
            <w:gridSpan w:val="2"/>
            <w:tcBorders>
              <w:top w:val="single" w:color="auto" w:sz="4" w:space="0"/>
              <w:bottom w:val="single" w:color="auto" w:sz="4" w:space="0"/>
            </w:tcBorders>
            <w:noWrap w:val="0"/>
            <w:vAlign w:val="center"/>
          </w:tcPr>
          <w:p w14:paraId="388DC1B4">
            <w:pPr>
              <w:jc w:val="center"/>
              <w:rPr>
                <w:rFonts w:hint="eastAsia"/>
              </w:rPr>
            </w:pPr>
          </w:p>
        </w:tc>
        <w:tc>
          <w:tcPr>
            <w:tcW w:w="1447" w:type="dxa"/>
            <w:gridSpan w:val="2"/>
            <w:tcBorders>
              <w:top w:val="single" w:color="auto" w:sz="4" w:space="0"/>
              <w:bottom w:val="single" w:color="auto" w:sz="4" w:space="0"/>
            </w:tcBorders>
            <w:noWrap w:val="0"/>
            <w:vAlign w:val="center"/>
          </w:tcPr>
          <w:p w14:paraId="086E10DB">
            <w:pPr>
              <w:jc w:val="center"/>
              <w:rPr>
                <w:rFonts w:hint="eastAsia"/>
              </w:rPr>
            </w:pPr>
          </w:p>
        </w:tc>
        <w:tc>
          <w:tcPr>
            <w:tcW w:w="2689" w:type="dxa"/>
            <w:tcBorders>
              <w:top w:val="single" w:color="auto" w:sz="4" w:space="0"/>
              <w:bottom w:val="single" w:color="auto" w:sz="4" w:space="0"/>
            </w:tcBorders>
            <w:noWrap w:val="0"/>
            <w:vAlign w:val="center"/>
          </w:tcPr>
          <w:p w14:paraId="7FD004BC">
            <w:pPr>
              <w:jc w:val="center"/>
              <w:rPr>
                <w:rFonts w:hint="eastAsia"/>
              </w:rPr>
            </w:pPr>
          </w:p>
        </w:tc>
      </w:tr>
      <w:tr w14:paraId="579CF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19E07A3B">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0B16FCC8">
            <w:pPr>
              <w:jc w:val="center"/>
            </w:pPr>
          </w:p>
        </w:tc>
        <w:tc>
          <w:tcPr>
            <w:tcW w:w="719" w:type="dxa"/>
            <w:tcBorders>
              <w:top w:val="single" w:color="auto" w:sz="4" w:space="0"/>
              <w:bottom w:val="single" w:color="auto" w:sz="4" w:space="0"/>
            </w:tcBorders>
            <w:noWrap w:val="0"/>
            <w:vAlign w:val="center"/>
          </w:tcPr>
          <w:p w14:paraId="63A84856">
            <w:pPr>
              <w:jc w:val="center"/>
              <w:rPr>
                <w:rFonts w:hint="eastAsia"/>
              </w:rPr>
            </w:pPr>
          </w:p>
        </w:tc>
        <w:tc>
          <w:tcPr>
            <w:tcW w:w="2883" w:type="dxa"/>
            <w:gridSpan w:val="2"/>
            <w:tcBorders>
              <w:top w:val="single" w:color="auto" w:sz="4" w:space="0"/>
              <w:bottom w:val="single" w:color="auto" w:sz="4" w:space="0"/>
            </w:tcBorders>
            <w:noWrap w:val="0"/>
            <w:vAlign w:val="center"/>
          </w:tcPr>
          <w:p w14:paraId="53C6377E">
            <w:pPr>
              <w:jc w:val="center"/>
              <w:rPr>
                <w:rFonts w:hint="eastAsia"/>
              </w:rPr>
            </w:pPr>
          </w:p>
        </w:tc>
        <w:tc>
          <w:tcPr>
            <w:tcW w:w="1447" w:type="dxa"/>
            <w:gridSpan w:val="2"/>
            <w:tcBorders>
              <w:top w:val="single" w:color="auto" w:sz="4" w:space="0"/>
              <w:bottom w:val="single" w:color="auto" w:sz="4" w:space="0"/>
            </w:tcBorders>
            <w:noWrap w:val="0"/>
            <w:vAlign w:val="center"/>
          </w:tcPr>
          <w:p w14:paraId="0A992C99">
            <w:pPr>
              <w:jc w:val="center"/>
              <w:rPr>
                <w:rFonts w:hint="eastAsia"/>
              </w:rPr>
            </w:pPr>
          </w:p>
        </w:tc>
        <w:tc>
          <w:tcPr>
            <w:tcW w:w="2689" w:type="dxa"/>
            <w:tcBorders>
              <w:top w:val="single" w:color="auto" w:sz="4" w:space="0"/>
              <w:bottom w:val="single" w:color="auto" w:sz="4" w:space="0"/>
            </w:tcBorders>
            <w:noWrap w:val="0"/>
            <w:vAlign w:val="center"/>
          </w:tcPr>
          <w:p w14:paraId="67D41358">
            <w:pPr>
              <w:jc w:val="center"/>
              <w:rPr>
                <w:rFonts w:hint="eastAsia"/>
              </w:rPr>
            </w:pPr>
          </w:p>
        </w:tc>
      </w:tr>
      <w:tr w14:paraId="2D2D4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60DF4EDF">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1D07F439">
            <w:pPr>
              <w:jc w:val="center"/>
            </w:pPr>
          </w:p>
        </w:tc>
        <w:tc>
          <w:tcPr>
            <w:tcW w:w="719" w:type="dxa"/>
            <w:tcBorders>
              <w:top w:val="single" w:color="auto" w:sz="4" w:space="0"/>
              <w:bottom w:val="single" w:color="auto" w:sz="4" w:space="0"/>
            </w:tcBorders>
            <w:noWrap w:val="0"/>
            <w:vAlign w:val="center"/>
          </w:tcPr>
          <w:p w14:paraId="508620CE">
            <w:pPr>
              <w:jc w:val="center"/>
              <w:rPr>
                <w:rFonts w:hint="eastAsia"/>
              </w:rPr>
            </w:pPr>
          </w:p>
        </w:tc>
        <w:tc>
          <w:tcPr>
            <w:tcW w:w="2883" w:type="dxa"/>
            <w:gridSpan w:val="2"/>
            <w:tcBorders>
              <w:top w:val="single" w:color="auto" w:sz="4" w:space="0"/>
              <w:bottom w:val="single" w:color="auto" w:sz="4" w:space="0"/>
            </w:tcBorders>
            <w:noWrap w:val="0"/>
            <w:vAlign w:val="center"/>
          </w:tcPr>
          <w:p w14:paraId="350E7282">
            <w:pPr>
              <w:jc w:val="center"/>
              <w:rPr>
                <w:rFonts w:hint="eastAsia"/>
              </w:rPr>
            </w:pPr>
          </w:p>
        </w:tc>
        <w:tc>
          <w:tcPr>
            <w:tcW w:w="1447" w:type="dxa"/>
            <w:gridSpan w:val="2"/>
            <w:tcBorders>
              <w:top w:val="single" w:color="auto" w:sz="4" w:space="0"/>
              <w:bottom w:val="single" w:color="auto" w:sz="4" w:space="0"/>
            </w:tcBorders>
            <w:noWrap w:val="0"/>
            <w:vAlign w:val="center"/>
          </w:tcPr>
          <w:p w14:paraId="50EB50ED">
            <w:pPr>
              <w:jc w:val="center"/>
              <w:rPr>
                <w:rFonts w:hint="eastAsia"/>
              </w:rPr>
            </w:pPr>
          </w:p>
        </w:tc>
        <w:tc>
          <w:tcPr>
            <w:tcW w:w="2689" w:type="dxa"/>
            <w:tcBorders>
              <w:top w:val="single" w:color="auto" w:sz="4" w:space="0"/>
              <w:bottom w:val="single" w:color="auto" w:sz="4" w:space="0"/>
            </w:tcBorders>
            <w:noWrap w:val="0"/>
            <w:vAlign w:val="center"/>
          </w:tcPr>
          <w:p w14:paraId="4E0F3E93">
            <w:pPr>
              <w:jc w:val="center"/>
              <w:rPr>
                <w:rFonts w:hint="eastAsia"/>
              </w:rPr>
            </w:pPr>
          </w:p>
        </w:tc>
      </w:tr>
      <w:tr w14:paraId="00F33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0" w:hRule="atLeast"/>
          <w:jc w:val="center"/>
        </w:trPr>
        <w:tc>
          <w:tcPr>
            <w:tcW w:w="466" w:type="dxa"/>
            <w:vMerge w:val="restart"/>
            <w:noWrap w:val="0"/>
            <w:textDirection w:val="tbRlV"/>
            <w:vAlign w:val="center"/>
          </w:tcPr>
          <w:p w14:paraId="1F180244">
            <w:pPr>
              <w:ind w:left="113" w:right="113"/>
              <w:jc w:val="center"/>
              <w:rPr>
                <w:rFonts w:hint="eastAsia" w:ascii="黑体" w:hAnsi="黑体" w:eastAsia="黑体"/>
              </w:rPr>
            </w:pPr>
            <w:r>
              <w:rPr>
                <w:rFonts w:hint="eastAsia" w:ascii="黑体" w:hAnsi="黑体" w:eastAsia="黑体"/>
              </w:rPr>
              <w:t>指导教师</w:t>
            </w:r>
          </w:p>
        </w:tc>
        <w:tc>
          <w:tcPr>
            <w:tcW w:w="1082" w:type="dxa"/>
            <w:gridSpan w:val="2"/>
            <w:tcBorders>
              <w:top w:val="single" w:color="auto" w:sz="4" w:space="0"/>
              <w:bottom w:val="single" w:color="auto" w:sz="4" w:space="0"/>
            </w:tcBorders>
            <w:noWrap w:val="0"/>
            <w:vAlign w:val="center"/>
          </w:tcPr>
          <w:p w14:paraId="1263A55B">
            <w:pPr>
              <w:jc w:val="center"/>
              <w:rPr>
                <w:rFonts w:hint="eastAsia" w:ascii="黑体" w:hAnsi="黑体" w:eastAsia="黑体"/>
              </w:rPr>
            </w:pPr>
            <w:r>
              <w:rPr>
                <w:rFonts w:hint="eastAsia" w:ascii="黑体" w:hAnsi="黑体" w:eastAsia="黑体"/>
              </w:rPr>
              <w:t>姓名</w:t>
            </w:r>
          </w:p>
        </w:tc>
        <w:tc>
          <w:tcPr>
            <w:tcW w:w="3602" w:type="dxa"/>
            <w:gridSpan w:val="3"/>
            <w:tcBorders>
              <w:top w:val="single" w:color="auto" w:sz="4" w:space="0"/>
              <w:bottom w:val="single" w:color="auto" w:sz="4" w:space="0"/>
            </w:tcBorders>
            <w:noWrap w:val="0"/>
            <w:vAlign w:val="center"/>
          </w:tcPr>
          <w:p w14:paraId="7F670861">
            <w:pPr>
              <w:jc w:val="center"/>
              <w:rPr>
                <w:rFonts w:hint="eastAsia"/>
              </w:rPr>
            </w:pPr>
          </w:p>
        </w:tc>
        <w:tc>
          <w:tcPr>
            <w:tcW w:w="1447" w:type="dxa"/>
            <w:gridSpan w:val="2"/>
            <w:tcBorders>
              <w:top w:val="single" w:color="auto" w:sz="4" w:space="0"/>
              <w:bottom w:val="single" w:color="auto" w:sz="4" w:space="0"/>
            </w:tcBorders>
            <w:noWrap w:val="0"/>
            <w:vAlign w:val="center"/>
          </w:tcPr>
          <w:p w14:paraId="137D3C75">
            <w:pPr>
              <w:jc w:val="center"/>
              <w:rPr>
                <w:rFonts w:hint="eastAsia" w:ascii="黑体" w:hAnsi="黑体" w:eastAsia="黑体"/>
              </w:rPr>
            </w:pPr>
            <w:r>
              <w:rPr>
                <w:rFonts w:hint="eastAsia" w:ascii="黑体" w:hAnsi="黑体" w:eastAsia="黑体"/>
              </w:rPr>
              <w:t>职务/职称</w:t>
            </w:r>
          </w:p>
        </w:tc>
        <w:tc>
          <w:tcPr>
            <w:tcW w:w="2689" w:type="dxa"/>
            <w:tcBorders>
              <w:top w:val="single" w:color="auto" w:sz="4" w:space="0"/>
              <w:bottom w:val="single" w:color="auto" w:sz="4" w:space="0"/>
            </w:tcBorders>
            <w:noWrap w:val="0"/>
            <w:vAlign w:val="center"/>
          </w:tcPr>
          <w:p w14:paraId="2A88790A">
            <w:pPr>
              <w:jc w:val="center"/>
              <w:rPr>
                <w:rFonts w:hint="eastAsia"/>
              </w:rPr>
            </w:pPr>
          </w:p>
        </w:tc>
      </w:tr>
      <w:tr w14:paraId="2D7E1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0" w:hRule="atLeast"/>
          <w:jc w:val="center"/>
        </w:trPr>
        <w:tc>
          <w:tcPr>
            <w:tcW w:w="466" w:type="dxa"/>
            <w:vMerge w:val="continue"/>
            <w:noWrap w:val="0"/>
            <w:textDirection w:val="tbRlV"/>
            <w:vAlign w:val="center"/>
          </w:tcPr>
          <w:p w14:paraId="3816F845">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454070C5">
            <w:pPr>
              <w:jc w:val="center"/>
              <w:rPr>
                <w:rFonts w:hint="eastAsia" w:ascii="黑体" w:hAnsi="黑体" w:eastAsia="黑体"/>
              </w:rPr>
            </w:pPr>
            <w:r>
              <w:rPr>
                <w:rFonts w:hint="eastAsia" w:ascii="黑体" w:hAnsi="黑体" w:eastAsia="黑体"/>
              </w:rPr>
              <w:t>所在学院</w:t>
            </w:r>
          </w:p>
        </w:tc>
        <w:tc>
          <w:tcPr>
            <w:tcW w:w="3602" w:type="dxa"/>
            <w:gridSpan w:val="3"/>
            <w:tcBorders>
              <w:top w:val="single" w:color="auto" w:sz="4" w:space="0"/>
              <w:bottom w:val="single" w:color="auto" w:sz="4" w:space="0"/>
            </w:tcBorders>
            <w:noWrap w:val="0"/>
            <w:vAlign w:val="center"/>
          </w:tcPr>
          <w:p w14:paraId="008AC30F">
            <w:pPr>
              <w:jc w:val="center"/>
              <w:rPr>
                <w:rFonts w:hint="eastAsia"/>
              </w:rPr>
            </w:pPr>
          </w:p>
        </w:tc>
        <w:tc>
          <w:tcPr>
            <w:tcW w:w="1447" w:type="dxa"/>
            <w:gridSpan w:val="2"/>
            <w:tcBorders>
              <w:top w:val="single" w:color="auto" w:sz="4" w:space="0"/>
              <w:bottom w:val="single" w:color="auto" w:sz="4" w:space="0"/>
            </w:tcBorders>
            <w:noWrap w:val="0"/>
            <w:vAlign w:val="center"/>
          </w:tcPr>
          <w:p w14:paraId="218979DE">
            <w:pPr>
              <w:jc w:val="center"/>
              <w:rPr>
                <w:rFonts w:hint="eastAsia" w:ascii="黑体" w:hAnsi="黑体" w:eastAsia="黑体"/>
                <w:lang w:val="en-US" w:eastAsia="zh-CN"/>
              </w:rPr>
            </w:pPr>
            <w:r>
              <w:rPr>
                <w:rFonts w:hint="eastAsia" w:ascii="黑体" w:hAnsi="黑体" w:eastAsia="黑体"/>
                <w:lang w:val="en-US" w:eastAsia="zh-CN"/>
              </w:rPr>
              <w:t>学历</w:t>
            </w:r>
          </w:p>
        </w:tc>
        <w:tc>
          <w:tcPr>
            <w:tcW w:w="2689" w:type="dxa"/>
            <w:tcBorders>
              <w:top w:val="single" w:color="auto" w:sz="4" w:space="0"/>
              <w:bottom w:val="single" w:color="auto" w:sz="4" w:space="0"/>
            </w:tcBorders>
            <w:noWrap w:val="0"/>
            <w:vAlign w:val="center"/>
          </w:tcPr>
          <w:p w14:paraId="4E872648">
            <w:pPr>
              <w:jc w:val="center"/>
              <w:rPr>
                <w:rFonts w:hint="eastAsia"/>
              </w:rPr>
            </w:pPr>
          </w:p>
        </w:tc>
      </w:tr>
      <w:tr w14:paraId="65129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8" w:hRule="atLeast"/>
          <w:jc w:val="center"/>
        </w:trPr>
        <w:tc>
          <w:tcPr>
            <w:tcW w:w="466" w:type="dxa"/>
            <w:vMerge w:val="continue"/>
            <w:noWrap w:val="0"/>
            <w:textDirection w:val="tbRlV"/>
            <w:vAlign w:val="center"/>
          </w:tcPr>
          <w:p w14:paraId="77B6BC82">
            <w:pPr>
              <w:ind w:left="113" w:right="113"/>
              <w:jc w:val="center"/>
              <w:rPr>
                <w:rFonts w:hint="eastAsia"/>
              </w:rPr>
            </w:pPr>
          </w:p>
        </w:tc>
        <w:tc>
          <w:tcPr>
            <w:tcW w:w="1082" w:type="dxa"/>
            <w:gridSpan w:val="2"/>
            <w:tcBorders>
              <w:top w:val="single" w:color="auto" w:sz="4" w:space="0"/>
              <w:bottom w:val="single" w:color="auto" w:sz="4" w:space="0"/>
            </w:tcBorders>
            <w:noWrap w:val="0"/>
            <w:vAlign w:val="center"/>
          </w:tcPr>
          <w:p w14:paraId="4821C4E0">
            <w:pPr>
              <w:jc w:val="center"/>
              <w:rPr>
                <w:rFonts w:hint="eastAsia" w:ascii="黑体" w:hAnsi="黑体" w:eastAsia="黑体"/>
              </w:rPr>
            </w:pPr>
            <w:r>
              <w:rPr>
                <w:rFonts w:hint="eastAsia" w:ascii="黑体" w:hAnsi="黑体" w:eastAsia="黑体"/>
              </w:rPr>
              <w:t>联系电话</w:t>
            </w:r>
          </w:p>
        </w:tc>
        <w:tc>
          <w:tcPr>
            <w:tcW w:w="3602" w:type="dxa"/>
            <w:gridSpan w:val="3"/>
            <w:tcBorders>
              <w:top w:val="single" w:color="auto" w:sz="4" w:space="0"/>
              <w:bottom w:val="single" w:color="auto" w:sz="4" w:space="0"/>
            </w:tcBorders>
            <w:noWrap w:val="0"/>
            <w:vAlign w:val="center"/>
          </w:tcPr>
          <w:p w14:paraId="66DC6D59">
            <w:pPr>
              <w:jc w:val="center"/>
              <w:rPr>
                <w:rFonts w:hint="eastAsia"/>
              </w:rPr>
            </w:pPr>
          </w:p>
        </w:tc>
        <w:tc>
          <w:tcPr>
            <w:tcW w:w="1447" w:type="dxa"/>
            <w:gridSpan w:val="2"/>
            <w:tcBorders>
              <w:top w:val="single" w:color="auto" w:sz="4" w:space="0"/>
              <w:bottom w:val="single" w:color="auto" w:sz="4" w:space="0"/>
            </w:tcBorders>
            <w:noWrap w:val="0"/>
            <w:vAlign w:val="center"/>
          </w:tcPr>
          <w:p w14:paraId="19596871">
            <w:pPr>
              <w:jc w:val="center"/>
              <w:rPr>
                <w:rFonts w:hint="eastAsia" w:ascii="黑体" w:hAnsi="黑体" w:eastAsia="黑体"/>
              </w:rPr>
            </w:pPr>
            <w:r>
              <w:rPr>
                <w:rFonts w:hint="eastAsia" w:ascii="黑体" w:hAnsi="黑体" w:eastAsia="黑体"/>
              </w:rPr>
              <w:t>E-mail</w:t>
            </w:r>
          </w:p>
        </w:tc>
        <w:tc>
          <w:tcPr>
            <w:tcW w:w="2689" w:type="dxa"/>
            <w:tcBorders>
              <w:top w:val="single" w:color="auto" w:sz="4" w:space="0"/>
              <w:bottom w:val="single" w:color="auto" w:sz="4" w:space="0"/>
            </w:tcBorders>
            <w:noWrap w:val="0"/>
            <w:vAlign w:val="center"/>
          </w:tcPr>
          <w:p w14:paraId="3C531645">
            <w:pPr>
              <w:jc w:val="center"/>
              <w:rPr>
                <w:rFonts w:hint="eastAsia"/>
              </w:rPr>
            </w:pPr>
          </w:p>
        </w:tc>
      </w:tr>
      <w:tr w14:paraId="4EC43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jc w:val="center"/>
        </w:trPr>
        <w:tc>
          <w:tcPr>
            <w:tcW w:w="1548" w:type="dxa"/>
            <w:gridSpan w:val="3"/>
            <w:noWrap w:val="0"/>
            <w:vAlign w:val="center"/>
          </w:tcPr>
          <w:p w14:paraId="5AD1AAB4">
            <w:pPr>
              <w:jc w:val="center"/>
              <w:rPr>
                <w:rFonts w:hint="eastAsia" w:ascii="黑体" w:hAnsi="黑体" w:eastAsia="黑体"/>
              </w:rPr>
            </w:pPr>
            <w:r>
              <w:rPr>
                <w:rFonts w:hint="eastAsia" w:ascii="黑体" w:hAnsi="黑体" w:eastAsia="黑体"/>
              </w:rPr>
              <w:t>导师简介</w:t>
            </w:r>
          </w:p>
        </w:tc>
        <w:tc>
          <w:tcPr>
            <w:tcW w:w="7738" w:type="dxa"/>
            <w:gridSpan w:val="6"/>
            <w:tcBorders>
              <w:top w:val="single" w:color="auto" w:sz="4" w:space="0"/>
              <w:bottom w:val="single" w:color="auto" w:sz="4" w:space="0"/>
            </w:tcBorders>
            <w:noWrap w:val="0"/>
            <w:vAlign w:val="top"/>
          </w:tcPr>
          <w:p w14:paraId="1CB571F9">
            <w:pPr>
              <w:jc w:val="both"/>
              <w:rPr>
                <w:rFonts w:hint="default" w:eastAsia="宋体"/>
                <w:lang w:val="en-US" w:eastAsia="zh-CN"/>
              </w:rPr>
            </w:pPr>
            <w:r>
              <w:rPr>
                <w:rFonts w:hint="eastAsia" w:ascii="黑体" w:hAnsi="黑体" w:eastAsia="黑体" w:cs="Times New Roman"/>
                <w:lang w:val="en-US" w:eastAsia="zh-CN"/>
              </w:rPr>
              <w:t>待指导教师据实填写科研、教学及指导情况。</w:t>
            </w:r>
          </w:p>
        </w:tc>
      </w:tr>
      <w:tr w14:paraId="16A84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jc w:val="center"/>
        </w:trPr>
        <w:tc>
          <w:tcPr>
            <w:tcW w:w="1548" w:type="dxa"/>
            <w:gridSpan w:val="3"/>
            <w:noWrap w:val="0"/>
            <w:vAlign w:val="center"/>
          </w:tcPr>
          <w:p w14:paraId="593CB207">
            <w:pPr>
              <w:jc w:val="center"/>
              <w:rPr>
                <w:rFonts w:hint="default" w:ascii="黑体" w:hAnsi="黑体" w:eastAsia="黑体"/>
                <w:lang w:val="en-US" w:eastAsia="zh-CN"/>
              </w:rPr>
            </w:pPr>
            <w:r>
              <w:rPr>
                <w:rFonts w:hint="eastAsia" w:ascii="黑体" w:hAnsi="黑体" w:eastAsia="黑体"/>
                <w:lang w:val="en-US" w:eastAsia="zh-CN"/>
              </w:rPr>
              <w:t>指导教师可对本项目的支持情况</w:t>
            </w:r>
          </w:p>
        </w:tc>
        <w:tc>
          <w:tcPr>
            <w:tcW w:w="7738" w:type="dxa"/>
            <w:gridSpan w:val="6"/>
            <w:tcBorders>
              <w:top w:val="single" w:color="auto" w:sz="4" w:space="0"/>
              <w:bottom w:val="single" w:color="auto" w:sz="4" w:space="0"/>
            </w:tcBorders>
            <w:noWrap w:val="0"/>
            <w:vAlign w:val="top"/>
          </w:tcPr>
          <w:p w14:paraId="29F663F2">
            <w:pPr>
              <w:jc w:val="both"/>
              <w:rPr>
                <w:rFonts w:hint="eastAsia" w:eastAsia="宋体"/>
                <w:lang w:eastAsia="zh-CN"/>
              </w:rPr>
            </w:pPr>
            <w:r>
              <w:rPr>
                <w:rFonts w:hint="eastAsia"/>
                <w:lang w:eastAsia="zh-CN"/>
              </w:rPr>
              <w:t>待教师确认可提供的实验空间、参考仪器、开发及研究指导条件。</w:t>
            </w:r>
          </w:p>
        </w:tc>
      </w:tr>
      <w:tr w14:paraId="2C913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1CDEBD69">
            <w:pPr>
              <w:keepNext/>
              <w:keepLines/>
              <w:spacing w:beforeLines="50" w:after="100" w:line="240" w:lineRule="auto"/>
              <w:jc w:val="left"/>
              <w:rPr>
                <w:rFonts w:hint="default" w:ascii="Times New Roman" w:hAnsi="Times New Roman" w:eastAsia="宋体" w:cs="Times New Roman"/>
                <w:b/>
                <w:sz w:val="21"/>
                <w:szCs w:val="28"/>
                <w:lang w:eastAsia="zh-CN"/>
              </w:rPr>
            </w:pPr>
            <w:r>
              <w:rPr>
                <w:rFonts w:hint="default" w:ascii="Times New Roman" w:hAnsi="Times New Roman" w:eastAsia="宋体" w:cs="Times New Roman"/>
                <w:b/>
                <w:sz w:val="21"/>
                <w:szCs w:val="28"/>
                <w:lang w:eastAsia="zh-CN"/>
              </w:rPr>
              <w:t>一、项目简介（300字左右）</w:t>
            </w:r>
          </w:p>
          <w:p w14:paraId="5B7B7656">
            <w:pPr>
              <w:keepNext w:val="0"/>
              <w:keepLines/>
              <w:spacing w:beforeLines="50" w:after="100" w:line="240" w:lineRule="auto"/>
              <w:jc w:val="left"/>
              <w:rPr>
                <w:rFonts w:hint="default" w:ascii="Times New Roman" w:hAnsi="Times New Roman" w:eastAsia="宋体" w:cs="Times New Roman"/>
                <w:sz w:val="21"/>
                <w:szCs w:val="28"/>
                <w:lang w:eastAsia="zh-CN"/>
              </w:rPr>
            </w:pPr>
            <w:r>
              <w:rPr>
                <w:rFonts w:hint="default" w:ascii="Times New Roman" w:hAnsi="Times New Roman" w:eastAsia="宋体" w:cs="Times New Roman"/>
                <w:sz w:val="21"/>
                <w:szCs w:val="28"/>
                <w:lang w:eastAsia="zh-CN"/>
              </w:rPr>
              <w:t>本项目面向南疆滴灌支管运行巡检，拟研制由双压力流量感知节点、LoRa接收端和本地管理软件构成的早期故障诊断物联网原型系统。针对供压变化、轮灌切换与渐进故障容易混淆的问题，研究入口压力、下游压力及总流量联合观测下等效泄漏、等效受限的识别条件，建立包含故障程度、独立失效参照、误报和提前量的评价方法；结合事件缓存、确认与去重，研究有限通信量下告警及时送达的取舍。项目将建设双支路清水台架，开展标定、独立重复、跨批次对照和真实无线测试，形成可演示原型、可追溯数据及研究报告，为支管检查提供位置范围、变化证据和处理记录。当前已完成文献分析、未标定水力模型、合成试验与离线网页，实物及田间验证拟在实施期开展。</w:t>
            </w:r>
          </w:p>
        </w:tc>
      </w:tr>
      <w:tr w14:paraId="3BF0C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419D5EC7">
            <w:pPr>
              <w:keepNext/>
              <w:keepLines/>
              <w:spacing w:beforeLines="50" w:after="100" w:line="240" w:lineRule="auto"/>
              <w:jc w:val="left"/>
              <w:rPr>
                <w:rFonts w:hint="default" w:ascii="Times New Roman" w:hAnsi="Times New Roman" w:eastAsia="宋体" w:cs="Times New Roman"/>
                <w:b/>
                <w:sz w:val="21"/>
                <w:szCs w:val="28"/>
                <w:lang w:eastAsia="zh-CN"/>
              </w:rPr>
            </w:pPr>
            <w:r>
              <w:rPr>
                <w:rFonts w:hint="default" w:ascii="Times New Roman" w:hAnsi="Times New Roman" w:eastAsia="宋体" w:cs="Times New Roman"/>
                <w:b/>
                <w:sz w:val="21"/>
                <w:szCs w:val="28"/>
                <w:lang w:eastAsia="zh-CN"/>
              </w:rPr>
              <w:t>二、申请理由（包括自身/团队具备的知识条件、特长、兴趣等）</w:t>
            </w:r>
          </w:p>
          <w:p w14:paraId="4E77F006">
            <w:pPr>
              <w:keepNext/>
              <w:keepLines/>
              <w:spacing w:before="140" w:beforeLines="50" w:after="100" w:line="240" w:lineRule="auto"/>
              <w:jc w:val="left"/>
              <w:rPr>
                <w:rFonts w:hint="default" w:ascii="Times New Roman" w:hAnsi="Times New Roman" w:eastAsia="宋体" w:cs="Times New Roman"/>
                <w:b w:val="0"/>
                <w:sz w:val="21"/>
                <w:szCs w:val="28"/>
                <w:lang w:eastAsia="zh-CN"/>
              </w:rPr>
            </w:pPr>
            <w:r>
              <w:rPr>
                <w:rFonts w:hint="default" w:ascii="Times New Roman" w:hAnsi="Times New Roman" w:eastAsia="宋体" w:cs="Times New Roman"/>
                <w:b/>
                <w:sz w:val="21"/>
                <w:szCs w:val="28"/>
                <w:lang w:eastAsia="zh-CN"/>
              </w:rPr>
              <w:t>1 研究目的与应用场景</w:t>
            </w:r>
            <w:r>
              <w:rPr>
                <w:rFonts w:hint="default" w:ascii="Times New Roman" w:hAnsi="Times New Roman" w:eastAsia="宋体" w:cs="Times New Roman"/>
                <w:b w:val="0"/>
                <w:sz w:val="21"/>
                <w:szCs w:val="28"/>
                <w:lang w:eastAsia="zh-CN"/>
              </w:rPr>
              <w:br w:type="textWrapping"/>
            </w:r>
            <w:r>
              <w:rPr>
                <w:rFonts w:hint="default" w:ascii="Times New Roman" w:hAnsi="Times New Roman" w:eastAsia="宋体" w:cs="Times New Roman"/>
                <w:b w:val="0"/>
                <w:sz w:val="21"/>
                <w:szCs w:val="28"/>
                <w:lang w:eastAsia="zh-CN"/>
              </w:rPr>
              <w:t>滴灌支管的渐进变化可能同时受到供压、运行负载、操作状态和故障影响。一个流量下降提示只能说明观测发生了变化，难以直接告诉管理者应检查供水、阀门还是管路。本项目把研究对象放在支管运行巡检：在可观测的变化出现后，及时提供有证据的检查线索，并保留处理前后的数据，支持管理者核查。</w:t>
            </w:r>
          </w:p>
          <w:p w14:paraId="6AFAE3BF">
            <w:pPr>
              <w:keepNext w:val="0"/>
              <w:keepLines/>
              <w:spacing w:beforeLines="50" w:after="100" w:line="240" w:lineRule="auto"/>
              <w:jc w:val="left"/>
              <w:rPr>
                <w:rFonts w:hint="default" w:ascii="Times New Roman" w:hAnsi="Times New Roman" w:eastAsia="宋体" w:cs="Times New Roman"/>
                <w:sz w:val="21"/>
                <w:szCs w:val="28"/>
                <w:lang w:eastAsia="zh-CN"/>
              </w:rPr>
            </w:pPr>
            <w:r>
              <w:rPr>
                <w:rFonts w:hint="default" w:ascii="Times New Roman" w:hAnsi="Times New Roman" w:eastAsia="宋体" w:cs="Times New Roman"/>
                <w:sz w:val="21"/>
                <w:szCs w:val="28"/>
                <w:lang w:eastAsia="zh-CN"/>
              </w:rPr>
              <w:t>拟以支管及压力点包围区段作为位置范围，研究水力响应可观测的等效泄漏和等效受限。项目的农业意义在于辅助运行排查；节水、增产等效益还需要独立农学试验，不作为本期已证实结论。南疆场景的实际轮灌方式、供压范围、安装位置与通信条件，将通过后续联系和现场调查校核。</w:t>
            </w:r>
          </w:p>
          <w:p w14:paraId="0AC2F02F">
            <w:pPr>
              <w:keepNext/>
              <w:keepLines/>
              <w:spacing w:before="140" w:beforeLines="50" w:after="100" w:line="240" w:lineRule="auto"/>
              <w:jc w:val="left"/>
              <w:rPr>
                <w:rFonts w:hint="default" w:ascii="Times New Roman" w:hAnsi="Times New Roman" w:eastAsia="宋体" w:cs="Times New Roman"/>
                <w:b w:val="0"/>
                <w:sz w:val="21"/>
                <w:szCs w:val="28"/>
                <w:lang w:eastAsia="zh-CN"/>
              </w:rPr>
            </w:pPr>
            <w:r>
              <w:rPr>
                <w:rFonts w:hint="default" w:ascii="Times New Roman" w:hAnsi="Times New Roman" w:eastAsia="宋体" w:cs="Times New Roman"/>
                <w:b/>
                <w:sz w:val="21"/>
                <w:szCs w:val="28"/>
                <w:lang w:eastAsia="zh-CN"/>
              </w:rPr>
              <w:t>2 专业结合与人员安排</w:t>
            </w:r>
            <w:r>
              <w:rPr>
                <w:rFonts w:hint="default" w:ascii="Times New Roman" w:hAnsi="Times New Roman" w:eastAsia="宋体" w:cs="Times New Roman"/>
                <w:b w:val="0"/>
                <w:sz w:val="21"/>
                <w:szCs w:val="28"/>
                <w:lang w:eastAsia="zh-CN"/>
              </w:rPr>
              <w:br w:type="textWrapping"/>
            </w:r>
            <w:r>
              <w:rPr>
                <w:rFonts w:hint="default" w:ascii="Times New Roman" w:hAnsi="Times New Roman" w:eastAsia="宋体" w:cs="Times New Roman"/>
                <w:b w:val="0"/>
                <w:sz w:val="21"/>
                <w:szCs w:val="28"/>
                <w:lang w:eastAsia="zh-CN"/>
              </w:rPr>
              <w:t>传感采集、嵌入式处理、无线协议和管理软件共同构成通信专业可参与的系统任务。负责人为塔里木大学信息工程学院通信专业大二学生，目前确认具备焊接能力。拟按系统与实验、嵌入式与通信、数据与管理软件配置三个岗位，在导师指导下完成原理学习、程序复现、分工开发和实验审查，团队总人数不超过模板规定的5人。</w:t>
            </w:r>
          </w:p>
          <w:p w14:paraId="202044D6">
            <w:pPr>
              <w:keepNext w:val="0"/>
              <w:keepLines/>
              <w:spacing w:beforeLines="50" w:after="100" w:line="240" w:lineRule="auto"/>
              <w:jc w:val="left"/>
              <w:rPr>
                <w:rFonts w:hint="default" w:ascii="Times New Roman" w:hAnsi="Times New Roman" w:eastAsia="宋体" w:cs="Times New Roman"/>
                <w:sz w:val="21"/>
                <w:szCs w:val="28"/>
                <w:lang w:eastAsia="zh-CN"/>
              </w:rPr>
            </w:pPr>
            <w:r>
              <w:rPr>
                <w:rFonts w:hint="default" w:ascii="Times New Roman" w:hAnsi="Times New Roman" w:eastAsia="宋体" w:cs="Times New Roman"/>
                <w:sz w:val="21"/>
                <w:szCs w:val="28"/>
                <w:lang w:eastAsia="zh-CN"/>
              </w:rPr>
              <w:t>申报前需落实实际成员及开发能力，完成一次核心模型和网页流程的现场讲解与复现。成员经历、导师简介、实验室支持及仪器借用按实际情况填写。当前生成的程序与材料是前期方案基础，成员独立掌握和实施能力仍需训练与验证。</w:t>
            </w:r>
          </w:p>
        </w:tc>
      </w:tr>
      <w:tr w14:paraId="33EA8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4E8269E7">
            <w:pPr>
              <w:keepNext/>
              <w:keepLines/>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三、项目方案（项目内容、项目目标、技术路线、实验方案、要解决的主要问题）</w:t>
            </w:r>
          </w:p>
          <w:p w14:paraId="49B0DEE0">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1 系统组成与任务分工</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本项目建设面向支管巡检的感知、诊断、无线告警与管理原型，基础配置为1个P0/P1/Q感知节点、1个LoRa接收端、1套双支路清水台架和1套本地Web管理软件。节点将有效测量与运行状态关联，给出有条件的故障模式或待检查提示；接收端保存事件证据，管理者据此核查并记录处理结果。独立参考测量和操作日志用于检验提示是否正确、是否提前以及何时送达，不能用检测器自己的输出替代实验标签。图1给出系统组成及评价数据的来源。</w:t>
            </w:r>
          </w:p>
          <w:p w14:paraId="70A2DB80">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26" o:spt="75" alt="图1 支管巡检系统组成与独立评价关系 设计方案" type="#_x0000_t75" style="height:212.9pt;width:425pt;" filled="f" o:preferrelative="t" stroked="f" coordsize="21600,21600">
                  <v:path/>
                  <v:fill on="f" focussize="0,0"/>
                  <v:stroke on="f"/>
                  <v:imagedata r:id="rId6" o:title="system_scope"/>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图1 支管巡检系统组成与独立评价关系 设计方案</w:t>
            </w:r>
          </w:p>
          <w:p w14:paraId="61DBE005">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系统按感知测量、有限诊断、可靠告警和管理核查四项任务组织，表2分别规定其验证证据。系统闭环截至管理确认，自动阀控不列入本期基础任务。一个节点用于研究一个被监测区段，双支路用于制造共同供水与正常切换条件；它们并不代表已完成多节点田间部署。增加节点和现场适应性试验以资助、许可和测量质量为条件。</w:t>
            </w:r>
          </w:p>
          <w:p w14:paraId="04C29ABD">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2 水力感知与台架设计</w:t>
            </w:r>
          </w:p>
          <w:p w14:paraId="7FC75209">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2.1 布点与故障注入</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P0位于监测区段入口，P1位于集中受限元件下游，Q位于泄漏旁路与A负载分流之前，记录两者的总流量；B支路连接同一供水源，用于模拟其他轮灌负载或正常切换。A支路逐步打开泄漏旁路模拟等效泄漏，逐步调节受限元件模拟局部阻力增加，分别记录操作、收集量和参考读数。图2用蓝色、绿色、橙色分别区分供水、正常负载与泄漏路径，限定观测区段与两种故障的注入位置。</w:t>
            </w:r>
          </w:p>
          <w:p w14:paraId="308AFF7F">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27" o:spt="75" alt="图2 双压力流量布点与双支路台架设计" type="#_x0000_t75" style="height:294.45pt;width:425pt;" filled="f" o:preferrelative="t" stroked="f" coordsize="21600,21600">
                  <v:path/>
                  <v:fill on="f" focussize="0,0"/>
                  <v:stroke on="f"/>
                  <v:imagedata r:id="rId7" o:title="dual_pressure_layout"/>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图2 双压力流量布点与双支路台架设计</w:t>
            </w:r>
          </w:p>
          <w:p w14:paraId="54E611F2">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台架拟采用可调供水、支管、调节阀、三通、回水及泄漏收集装置。装配时先校核螺纹、密封、排气和传感器安装位置，再检查稳定供水与回水条件，最后开展切换和故障操作。泄漏支路保留独立收集与计时，以校核故障程度；B支路只承担正常负载切换，不注入第二类故障。节流阀用于模拟水力受限，所得结论不延伸到滴头沉积、生物膜或真实堵塞材料的形成机理。</w:t>
            </w:r>
          </w:p>
          <w:p w14:paraId="5F0F5E38">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台架的物理布置与水力关系分别论证。图3按暂定900×520mm底板建立三维几何布局，将水路、侧向测压、独立计量杯和前侧干区节点分开，检查测点先后、操作可达性及回水路径。模型保留可复算几何源，管径、接头及器件包络目前是占位参数；采购后须校核装配尺寸、检修间距、固定与电气防护。这是已生成的设计模型，尚未制成台架。</w:t>
            </w:r>
          </w:p>
          <w:p w14:paraId="6446A393">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28" o:spt="75" alt="图3 双支路清水台架三维布置概念 器件尺寸待核定" type="#_x0000_t75" style="height:299pt;width:425pt;" filled="f" o:preferrelative="t" stroked="f" coordsize="21600,21600">
                  <v:path/>
                  <v:fill on="f" focussize="0,0"/>
                  <v:stroke on="f"/>
                  <v:imagedata r:id="rId8" o:title="bench_model"/>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图3 双支路清水台架三维布置概念 器件尺寸待核定</w:t>
            </w:r>
          </w:p>
          <w:p w14:paraId="30CF072E">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2.2 节点硬件与数据采集</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节点主控拟采用STM32F103C8T6最小系统板，压力经电流采样电阻和ADS1115接入I²C，流量经电平转换接入定时计数，LoRa经UART连接，microSD经SPI保存原始记录。接收端采用另一只LoRa模块与3.3V USB-TTL连接已有电脑，以Python串口接收、SQLite存储和本地Web提供查看确认。该配置先完成开发板原型，减少自制PCB与第二主控的开发负担。各接口及采购约束集中列于表1，图4专门论证双压力模拟前端。</w:t>
            </w:r>
          </w:p>
          <w:p w14:paraId="2B927381">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29" o:spt="75" alt="图4 两线制压力变送器与双通道ADC采集原理 保护元件待验证" type="#_x0000_t75" style="height:271.8pt;width:425pt;" filled="f" o:preferrelative="t" stroked="f" coordsize="21600,21600">
                  <v:path/>
                  <v:fill on="f" focussize="0,0"/>
                  <v:stroke on="f"/>
                  <v:imagedata r:id="rId9" o:title="pressure_frontend"/>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图4 两线制压力变送器与双通道ADC采集原理 保护元件待验证</w:t>
            </w:r>
          </w:p>
          <w:p w14:paraId="57BBD71F">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依据MPM489选型资料的两线制4—20mA输出，拟用24V供电及150Ω精密采样电阻，把电流转换为0.6—3.0V；满量程电阻耗散为0.06W。候选电阻暂按0.1%公差、额定功率不低于0.25W选取，误差与温漂仍纳入标定。ADS1115拟以3.3V供电、±4.096V增益档分时采集，两路保留各自转换时间。增益档不扩大引脚允许电压范围，限流、保护、故障电流及共地布局需按器件手册设计并实测。图4是台架采集原理，尚非已验证PCB或现场隔离防雷设计。</w:t>
            </w:r>
          </w:p>
          <w:p w14:paraId="7F09B82D">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表1列出国内有供应资料的候选器件。型号按接口、测量范围和报价核定后冻结，尚未采购或完成接线。厂家资料、候选产品配图和国内采购入口保留在配套选型记录与网站，产品外观不作为本项目样机成果。</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1BDDDD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070" w:type="dxa"/>
                  <w:tcBorders>
                    <w:tl2br w:val="nil"/>
                    <w:tr2bl w:val="nil"/>
                  </w:tcBorders>
                </w:tcPr>
                <w:p w14:paraId="3256830F">
                  <w:pPr>
                    <w:keepNext w:val="0"/>
                    <w:keepLines/>
                    <w:spacing w:beforeLines="50" w:after="140" w:line="240" w:lineRule="auto"/>
                    <w:jc w:val="left"/>
                    <w:rPr>
                      <w:rFonts w:hint="eastAsia" w:ascii="Times New Roman" w:hAnsi="Times New Roman" w:cs="Times New Roman"/>
                      <w:b/>
                      <w:sz w:val="21"/>
                      <w:szCs w:val="28"/>
                      <w:vertAlign w:val="baseline"/>
                      <w:lang w:val="en-US" w:eastAsia="zh-CN"/>
                    </w:rPr>
                  </w:pPr>
                  <w:r>
                    <w:rPr>
                      <w:rFonts w:hint="eastAsia" w:ascii="Times New Roman" w:hAnsi="Times New Roman" w:cs="Times New Roman"/>
                      <w:b/>
                      <w:sz w:val="21"/>
                      <w:szCs w:val="28"/>
                      <w:vertAlign w:val="baseline"/>
                      <w:lang w:val="en-US" w:eastAsia="zh-CN"/>
                    </w:rPr>
                    <w:t>表1 基础原型候选器件与接口</w:t>
                  </w:r>
                </w:p>
                <w:tbl>
                  <w:tblPr>
                    <w:tblStyle w:val="6"/>
                    <w:tblW w:w="8500" w:type="dxa"/>
                    <w:tblInd w:w="3" w:type="dxa"/>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Layout w:type="fixed"/>
                    <w:tblCellMar>
                      <w:top w:w="60" w:type="dxa"/>
                      <w:left w:w="100" w:type="dxa"/>
                      <w:bottom w:w="60" w:type="dxa"/>
                      <w:right w:w="100" w:type="dxa"/>
                    </w:tblCellMar>
                  </w:tblPr>
                  <w:tblGrid>
                    <w:gridCol w:w="1700"/>
                    <w:gridCol w:w="3300"/>
                    <w:gridCol w:w="3500"/>
                  </w:tblGrid>
                  <w:tr w14:paraId="6044A359">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blHeader/>
                    </w:trPr>
                    <w:tc>
                      <w:tcPr>
                        <w:tcW w:w="1700" w:type="dxa"/>
                        <w:tcBorders>
                          <w:tl2br w:val="nil"/>
                          <w:tr2bl w:val="nil"/>
                        </w:tcBorders>
                        <w:shd w:val="clear" w:color="auto" w:fill="EDEDED"/>
                        <w:vAlign w:val="center"/>
                      </w:tcPr>
                      <w:p w14:paraId="2EA54169">
                        <w:pPr>
                          <w:keepNext/>
                          <w:keepLines/>
                          <w:spacing w:beforeLines="50" w:after="4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器件与数量</w:t>
                        </w:r>
                      </w:p>
                    </w:tc>
                    <w:tc>
                      <w:tcPr>
                        <w:tcW w:w="3300" w:type="dxa"/>
                        <w:tcBorders>
                          <w:tl2br w:val="nil"/>
                          <w:tr2bl w:val="nil"/>
                        </w:tcBorders>
                        <w:shd w:val="clear" w:color="auto" w:fill="EDEDED"/>
                        <w:vAlign w:val="center"/>
                      </w:tcPr>
                      <w:p w14:paraId="68DA8039">
                        <w:pPr>
                          <w:keepNext/>
                          <w:keepLines/>
                          <w:spacing w:beforeLines="50" w:after="4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候选配置</w:t>
                        </w:r>
                      </w:p>
                    </w:tc>
                    <w:tc>
                      <w:tcPr>
                        <w:tcW w:w="3500" w:type="dxa"/>
                        <w:tcBorders>
                          <w:tl2br w:val="nil"/>
                          <w:tr2bl w:val="nil"/>
                        </w:tcBorders>
                        <w:shd w:val="clear" w:color="auto" w:fill="EDEDED"/>
                        <w:vAlign w:val="center"/>
                      </w:tcPr>
                      <w:p w14:paraId="67D19E8B">
                        <w:pPr>
                          <w:keepNext/>
                          <w:keepLines/>
                          <w:spacing w:beforeLines="50" w:after="4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接入与核对条件</w:t>
                        </w:r>
                      </w:p>
                    </w:tc>
                  </w:tr>
                  <w:tr w14:paraId="248A896E">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4D5E6090">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主控与日志</w:t>
                        </w:r>
                      </w:p>
                    </w:tc>
                    <w:tc>
                      <w:tcPr>
                        <w:tcW w:w="3300" w:type="dxa"/>
                        <w:tcBorders>
                          <w:tl2br w:val="nil"/>
                          <w:tr2bl w:val="nil"/>
                        </w:tcBorders>
                        <w:shd w:val="clear" w:color="auto" w:fill="FFFFFF"/>
                        <w:vAlign w:val="center"/>
                      </w:tcPr>
                      <w:p w14:paraId="2CE5332D">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STM32F103C8T6×1及microSD</w:t>
                        </w:r>
                      </w:p>
                    </w:tc>
                    <w:tc>
                      <w:tcPr>
                        <w:tcW w:w="3500" w:type="dxa"/>
                        <w:tcBorders>
                          <w:tl2br w:val="nil"/>
                          <w:tr2bl w:val="nil"/>
                        </w:tcBorders>
                        <w:shd w:val="clear" w:color="auto" w:fill="FFFFFF"/>
                        <w:vAlign w:val="center"/>
                      </w:tcPr>
                      <w:p w14:paraId="59D55BA8">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I²C、计数、UART、SPI资源；存储与掉电恢复</w:t>
                        </w:r>
                      </w:p>
                    </w:tc>
                  </w:tr>
                  <w:tr w14:paraId="18144D15">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001A1661">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双压力</w:t>
                        </w:r>
                      </w:p>
                    </w:tc>
                    <w:tc>
                      <w:tcPr>
                        <w:tcW w:w="3300" w:type="dxa"/>
                        <w:tcBorders>
                          <w:tl2br w:val="nil"/>
                          <w:tr2bl w:val="nil"/>
                        </w:tcBorders>
                        <w:shd w:val="clear" w:color="auto" w:fill="FFFFFF"/>
                        <w:vAlign w:val="center"/>
                      </w:tcPr>
                      <w:p w14:paraId="016819C6">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MPM489系列×2，K200表压</w:t>
                        </w:r>
                      </w:p>
                    </w:tc>
                    <w:tc>
                      <w:tcPr>
                        <w:tcW w:w="3500" w:type="dxa"/>
                        <w:tcBorders>
                          <w:tl2br w:val="nil"/>
                          <w:tr2bl w:val="nil"/>
                        </w:tcBorders>
                        <w:shd w:val="clear" w:color="auto" w:fill="FFFFFF"/>
                        <w:vAlign w:val="center"/>
                      </w:tcPr>
                      <w:p w14:paraId="454FE88C">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0—200kPa、4—20mA，按目录±0.25%FS核对；待询价</w:t>
                        </w:r>
                      </w:p>
                    </w:tc>
                  </w:tr>
                  <w:tr w14:paraId="3382F3EE">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296B2B7B">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流量</w:t>
                        </w:r>
                      </w:p>
                    </w:tc>
                    <w:tc>
                      <w:tcPr>
                        <w:tcW w:w="3300" w:type="dxa"/>
                        <w:tcBorders>
                          <w:tl2br w:val="nil"/>
                          <w:tr2bl w:val="nil"/>
                        </w:tcBorders>
                        <w:shd w:val="clear" w:color="auto" w:fill="FFFFFF"/>
                        <w:vAlign w:val="center"/>
                      </w:tcPr>
                      <w:p w14:paraId="07428035">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SEN0549 G1/4×1</w:t>
                        </w:r>
                      </w:p>
                    </w:tc>
                    <w:tc>
                      <w:tcPr>
                        <w:tcW w:w="3500" w:type="dxa"/>
                        <w:tcBorders>
                          <w:tl2br w:val="nil"/>
                          <w:tr2bl w:val="nil"/>
                        </w:tcBorders>
                        <w:shd w:val="clear" w:color="auto" w:fill="FFFFFF"/>
                        <w:vAlign w:val="center"/>
                      </w:tcPr>
                      <w:p w14:paraId="5B7AB97F">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0.3—5L/min；5V脉冲需转换至3.3V</w:t>
                        </w:r>
                      </w:p>
                    </w:tc>
                  </w:tr>
                  <w:tr w14:paraId="1A09A8E5">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6D4D7480">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压力ADC</w:t>
                        </w:r>
                      </w:p>
                    </w:tc>
                    <w:tc>
                      <w:tcPr>
                        <w:tcW w:w="3300" w:type="dxa"/>
                        <w:tcBorders>
                          <w:tl2br w:val="nil"/>
                          <w:tr2bl w:val="nil"/>
                        </w:tcBorders>
                        <w:shd w:val="clear" w:color="auto" w:fill="FFFFFF"/>
                        <w:vAlign w:val="center"/>
                      </w:tcPr>
                      <w:p w14:paraId="51207F21">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ADS1115模块×1</w:t>
                        </w:r>
                      </w:p>
                    </w:tc>
                    <w:tc>
                      <w:tcPr>
                        <w:tcW w:w="3500" w:type="dxa"/>
                        <w:tcBorders>
                          <w:tl2br w:val="nil"/>
                          <w:tr2bl w:val="nil"/>
                        </w:tcBorders>
                        <w:shd w:val="clear" w:color="auto" w:fill="FFFFFF"/>
                        <w:vAlign w:val="center"/>
                      </w:tcPr>
                      <w:p w14:paraId="34AFF437">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两路150Ω采样，0.6—3.0V；分时转换需记录错位</w:t>
                        </w:r>
                      </w:p>
                    </w:tc>
                  </w:tr>
                  <w:tr w14:paraId="16D62852">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13D2637D">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无线接收</w:t>
                        </w:r>
                      </w:p>
                    </w:tc>
                    <w:tc>
                      <w:tcPr>
                        <w:tcW w:w="3300" w:type="dxa"/>
                        <w:tcBorders>
                          <w:tl2br w:val="nil"/>
                          <w:tr2bl w:val="nil"/>
                        </w:tcBorders>
                        <w:shd w:val="clear" w:color="auto" w:fill="FFFFFF"/>
                        <w:vAlign w:val="center"/>
                      </w:tcPr>
                      <w:p w14:paraId="1E8B9049">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E220-400T22D×2及天线</w:t>
                        </w:r>
                      </w:p>
                    </w:tc>
                    <w:tc>
                      <w:tcPr>
                        <w:tcW w:w="3500" w:type="dxa"/>
                        <w:tcBorders>
                          <w:tl2br w:val="nil"/>
                          <w:tr2bl w:val="nil"/>
                        </w:tcBorders>
                        <w:shd w:val="clear" w:color="auto" w:fill="FFFFFF"/>
                        <w:vAlign w:val="center"/>
                      </w:tcPr>
                      <w:p w14:paraId="7B219186">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UART；接收端USB-TTL接电脑，射频参数实测冻结</w:t>
                        </w:r>
                      </w:p>
                    </w:tc>
                  </w:tr>
                  <w:tr w14:paraId="66BD7387">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083A3E8D">
                        <w:pPr>
                          <w:keepNext w:val="0"/>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水路与参考</w:t>
                        </w:r>
                      </w:p>
                    </w:tc>
                    <w:tc>
                      <w:tcPr>
                        <w:tcW w:w="3300" w:type="dxa"/>
                        <w:tcBorders>
                          <w:tl2br w:val="nil"/>
                          <w:tr2bl w:val="nil"/>
                        </w:tcBorders>
                        <w:shd w:val="clear" w:color="auto" w:fill="FFFFFF"/>
                        <w:vAlign w:val="center"/>
                      </w:tcPr>
                      <w:p w14:paraId="4D986EC9">
                        <w:pPr>
                          <w:keepNext w:val="0"/>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双支路、阀、回水、独立参考</w:t>
                        </w:r>
                      </w:p>
                    </w:tc>
                    <w:tc>
                      <w:tcPr>
                        <w:tcW w:w="3500" w:type="dxa"/>
                        <w:tcBorders>
                          <w:tl2br w:val="nil"/>
                          <w:tr2bl w:val="nil"/>
                        </w:tcBorders>
                        <w:shd w:val="clear" w:color="auto" w:fill="FFFFFF"/>
                        <w:vAlign w:val="center"/>
                      </w:tcPr>
                      <w:p w14:paraId="347D31AF">
                        <w:pPr>
                          <w:keepNext w:val="0"/>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优先借可调连续水源；核对工作点、精度及螺纹</w:t>
                        </w:r>
                      </w:p>
                    </w:tc>
                  </w:tr>
                </w:tbl>
                <w:p w14:paraId="1086626A">
                  <w:pPr>
                    <w:keepNext w:val="0"/>
                    <w:keepLines/>
                    <w:spacing w:beforeLines="50" w:after="100" w:line="240" w:lineRule="auto"/>
                    <w:jc w:val="left"/>
                    <w:rPr>
                      <w:rFonts w:hint="default" w:ascii="Times New Roman" w:hAnsi="Times New Roman" w:cs="Times New Roman"/>
                      <w:sz w:val="21"/>
                      <w:szCs w:val="28"/>
                      <w:vertAlign w:val="baseline"/>
                      <w:lang w:val="en-US" w:eastAsia="zh-CN"/>
                    </w:rPr>
                  </w:pPr>
                </w:p>
              </w:tc>
            </w:tr>
          </w:tbl>
          <w:p w14:paraId="3138F382">
            <w:pPr>
              <w:keepNext w:val="0"/>
              <w:keepLines/>
              <w:spacing w:beforeLines="50" w:after="100" w:line="240" w:lineRule="auto"/>
              <w:jc w:val="left"/>
              <w:rPr>
                <w:rFonts w:hint="default" w:ascii="Times New Roman" w:hAnsi="Times New Roman" w:eastAsia="宋体" w:cs="Times New Roman"/>
                <w:sz w:val="21"/>
                <w:szCs w:val="28"/>
                <w:lang w:val="en-US" w:eastAsia="zh-CN"/>
              </w:rPr>
            </w:pPr>
          </w:p>
          <w:p w14:paraId="198D39E8">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软件拟以1秒为首轮记录间隔保存P0、P1、Q及阀态，记录原始值、标定后值、转换时间和无效原因。流量拟采用10秒滚动脉冲计数并保留原始计数；时间窗与压力分时采集带来的延迟、错位纳入评价。整机供电与连接按台架先实现，现场安装另做适应性检查。采购入口和厂家资料另附《国内硬件选型与可行性核对》，淘宝入口不作为已购或现货证据。</w:t>
            </w:r>
          </w:p>
          <w:p w14:paraId="3B4FE169">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采集程序按启动恢复、定时采样、质量检查、窗口对齐、状态关联和日志追加执行，质量及状态分支与诊断统一见图6。量程外、缺测和明显非物理读数输出无效原因；状态未知或切换等待期间继续保存原始记录，暂缓单一故障原因判断。质量筛选条件、等待时间和健康参照编号均写入配置，后续评价同时报告被暂缓判断的时间比例及该时段发生的异常。</w:t>
            </w:r>
          </w:p>
          <w:p w14:paraId="25F61829">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2.3 标定与等效模型</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压力采用参考表进行多点校核，流量采用容积或称重计时形成独立参照，记录零点、重复性、有效量程及同步误差。双压力的收益取决于健康压降是否大于差压不确定度；压差小于测量误差时，先调整量程、布点或试验程度，再进入辨识研究。</w:t>
            </w:r>
          </w:p>
          <w:p w14:paraId="63F37349">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借鉴丁法龙等“建模—测压测流校核”的论证方式[2]，对图2区段采用P0−P1=R·Q²、Q=(Cₙ+Cₗ)·√P1，共同供水阻力连接A、B支路。R增加模拟受限，Cₗ增加模拟泄漏；未知正常负载Cₙ增加也可能产生同样观测。模型假定非压力补偿负载、理想同步和单故障，仅用于测点筛选、量程核对与反例分析，参数尚未实物标定。P用kPa、Q用L/min，R及C单位分别为kPa/(L/min)²、(L/min)/√kPa。</w:t>
            </w:r>
          </w:p>
          <w:p w14:paraId="7326E1C8">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预实验在多档健康供压和B状态下测定压力—流量关系，检验残差与重复性，再冻结健康参照及适用范围。流量计、接头和阀门压损计入测量，不沿用理想系数。负载为压力补偿型或实测不符合平方律时，修订模型及特征；本期不代替CFD、水锤或完整管网标定。</w:t>
            </w:r>
          </w:p>
          <w:p w14:paraId="45F7C7F9">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据候选目录，200kPa、±0.25%FS压力通道单项界限为±0.5kPa，两通道差分最不利界限为1kPa，完整采集误差还须计入调理、ADC、温漂及参考条件。大量程1.6MPa、0.5—1%FS方案单通道界限达8—16kPa，不适合直接承担本项目主要差压测量。1秒流量窗的一个脉冲对应0.111L/min，10秒窗对应0.0111L/min；分辨率和窗口延迟必须同时权衡。</w:t>
            </w:r>
          </w:p>
          <w:p w14:paraId="13BF914B">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另以C=0.28作为台架健康设计负载，C至0.37、R为0.8或8.0，结合三档供压及B开关做24组模型边界计算，A流量为1.85—4.34L/min，落在候选流量计范围内，如图5。原480次合成试验仍保留原参数，不能用此计算代替实测。模型最大总流量约7.95L/min；水源需按流量—压力工作曲线核定，不能将商品开口流量与截止压力合并为工作点。基础预算以借用可调连续水源为前提，落实前不宣称已经具备台架。</w:t>
            </w:r>
          </w:p>
          <w:p w14:paraId="32804C79">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0" o:spt="75" alt="图5 候选量程与测量界限的模型核对 非实测" type="#_x0000_t75" style="height:417.2pt;width:425pt;" filled="f" o:preferrelative="t" stroked="f" coordsize="21600,21600">
                  <v:path/>
                  <v:fill on="f" focussize="0,0"/>
                  <v:stroke on="f"/>
                  <v:imagedata r:id="rId10" o:title="hardware_feasibility"/>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图5 候选量程与测量界限的模型核对 非实测</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0064E0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78550B3F">
                  <w:pPr>
                    <w:keepNext w:val="0"/>
                    <w:keepLines/>
                    <w:pageBreakBefore w:val="0"/>
                    <w:spacing w:beforeLines="50" w:after="100" w:line="240" w:lineRule="auto"/>
                    <w:jc w:val="left"/>
                    <w:rPr>
                      <w:rFonts w:hint="default" w:ascii="Times New Roman" w:hAnsi="Times New Roman" w:eastAsia="宋体" w:cs="Times New Roman"/>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另检查两故障、三供压、B开关及三程度共36组目标，修正受限范围后均可在模型内达到。仅按压力标称界限、10秒计数量化及流量±1%读数分析，健康与故障特征区间分离；若保守按5L/min满量程的1%分析，80kPa下两个5%泄漏组合区间重叠，弱异常不保证可分。流量精度定义须进一步核对，温漂、ADC、调理及安装误差尚未计入，不能转成实物检出率。</w:t>
                  </w:r>
                </w:p>
              </w:tc>
            </w:tr>
          </w:tbl>
          <w:p w14:paraId="17D5FD55">
            <w:pPr>
              <w:keepNext w:val="0"/>
              <w:keepLines/>
              <w:spacing w:beforeLines="50" w:after="100" w:line="240" w:lineRule="auto"/>
              <w:jc w:val="left"/>
              <w:rPr>
                <w:rFonts w:hint="default" w:ascii="Times New Roman" w:hAnsi="Times New Roman" w:eastAsia="宋体" w:cs="Times New Roman"/>
                <w:sz w:val="21"/>
                <w:szCs w:val="28"/>
                <w:lang w:val="en-US" w:eastAsia="zh-CN"/>
              </w:rPr>
            </w:pPr>
          </w:p>
          <w:p w14:paraId="522F63E8">
            <w:pPr>
              <w:keepNext/>
              <w:keepLines/>
              <w:pageBreakBefore/>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3 渐进故障诊断与早期评价</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拟采用压力归一化流量K=Q/√P1和区段阻力估计R̂=(P0−P1)/Q²，分别描述下游等效负载及监测区段的阻力变化。程序在测量有效、P1与Q高于误差下限且运行状态明确后，比较同工况健康特征及误差区间，再检验偏离是否持续，处理分支见图6。健康参照、偏离阈值和持续条件由标定小试确定并在验证前冻结；故障期间不以自动更新参照消除异常。切换等待段仍保留原始数据，单独报告暂缓判断的时间、误报和漏检。</w:t>
            </w:r>
          </w:p>
          <w:p w14:paraId="174FE40A">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1" o:spt="75" alt="图6 状态辅助与有限故障模式诊断流程设计" type="#_x0000_t75" style="height:294.45pt;width:425pt;" filled="f" o:preferrelative="t" stroked="f" coordsize="21600,21600">
                  <v:path/>
                  <v:fill on="f" focussize="0,0"/>
                  <v:stroke on="f"/>
                  <v:imagedata r:id="rId11" o:title="diagnosis_flow"/>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图6 状态辅助与有限故障模式诊断流程设计</w:t>
            </w:r>
          </w:p>
          <w:p w14:paraId="33328CCB">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输出分为等效泄漏模式、等效受限模式、异常待检查和数据无效。未知正常负载可能与泄漏同形，压力差分偏置可能与受限混淆；这类条件下保留异常证据并提示核查，不强制给出单一原因。定位精度限于被监测支管或压力点包围区段。</w:t>
            </w:r>
          </w:p>
          <w:p w14:paraId="5E09C39E">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模式提示附带P0/P1/Q、特征偏离、阀态、质量标志及参照编号。K增大而区段阻力稳定时检查等效泄漏或负载变化；区段阻力增大时检查等效受限，同时核查压力偏置。两个特征同时变化、状态不明或证据不足时，提示异常待检查。管理者据此确定核查顺序，真实原因最终以独立操作记录、参考测量及现场检查为依据。</w:t>
            </w:r>
          </w:p>
          <w:p w14:paraId="3A117872">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早期评价以独立参考测量确定的预设失效判据为终点，同时记录故障操作起点、本地首次可靠提示和远端首次接收。考察相对同工况健康流量偏离5%、10%、15%的暂定程度，绘制检出、误报及提前量随程度变化的关系。15%目前是模型演示参照，实际程度与失效判据由导师结合预实验审核后冻结。研究目标是找出可测、可判、可提前的条件及失败边界，性能阈值由有独立标签的小试确定。</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32F980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1C7A6444">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4 LoRa可靠告警与通信对照</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比较快周期、慢周期、原始事件与滤波限频事件四种上报策略，协议见图7。</w:t>
                  </w:r>
                </w:p>
              </w:tc>
            </w:tr>
          </w:tbl>
          <w:p w14:paraId="3D397FB9">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p>
          <w:p w14:paraId="594059BD">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2" o:spt="75" alt="图7 事件持久化、确认与重试时序设计" type="#_x0000_t75" style="height:262.75pt;width:425pt;" filled="f" o:preferrelative="t" stroked="f" coordsize="21600,21600">
                  <v:path/>
                  <v:fill on="f" focussize="0,0"/>
                  <v:stroke on="f"/>
                  <v:imagedata r:id="rId12" o:title="protocol_sequence"/>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图7 事件持久化、确认与重试时序设计</w:t>
            </w:r>
          </w:p>
          <w:p w14:paraId="68F44E60">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四策略保持采样、检测器、载荷及链路设置一致。事件包含设备、会话、序号、发生时间、状态、测量及质量；本地保存原始日志，经LoRa发送摘要。实物试验冻结缓存容量、超时、重试及掉电策略，并记录发收与确认时间。回放中的1秒ACK、4秒超时及16条队列仅为模型假设，实际值须依据模块与空中时间核定。</w:t>
            </w:r>
          </w:p>
          <w:p w14:paraId="4A7A4056">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接收端持久化后发送匹配ACK，重复事件再次确认但不重复存储，管理者的处理确认另记。节点仅移除已确认事件；重试耗尽仍保留待确认状态，队列满时记录丢弃或拒绝及缺口。掉电后恢复队列和会话，或明确标记无法恢复的记录。上述拟实施要求通过丢包、阻断和重启试验核对。</w:t>
            </w:r>
          </w:p>
          <w:p w14:paraId="2C242686">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通信评价分别测量故障至本地提示、本地提示至远端接收的延迟，统计上行与确认帧数及字节，并独立计量整机能量。射频配置、干扰、遮挡与静态功耗一并记录，不能以帧数代替续航结论。断链时显示离线及待补发，未收到事件不判为正常。</w:t>
            </w:r>
          </w:p>
          <w:p w14:paraId="430E6D72">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5 管理软件与系统集成</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本地Web拟提供设备档案、支管位置示意、P0/P1/Q趋势、事件证据、质量状态、处理确认、历史回放与CSV导出。网页将区分测量时间、接收时间、模型回放和实际设备状态，提示检查供压、阀态、传感器与目标管路。接收端的数据持久化和真实节点接入是实施任务；已有离线页面完成合成回放与交互演示，其实际管理面板局部截图见图8。</w:t>
            </w:r>
          </w:p>
          <w:p w14:paraId="15F21FB1">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3" o:spt="75" alt="图8 已实现离线网页管理面板局部截图 合成回放 未连接实物" type="#_x0000_t75" style="height:434pt;width:425pt;" filled="f" o:preferrelative="t" stroked="f" coordsize="21600,21600">
                  <v:path/>
                  <v:fill on="f" focussize="0,0"/>
                  <v:stroke on="f"/>
                  <v:imagedata r:id="rId13" o:title="platform_replay"/>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图8 已实现离线网页管理面板局部截图 合成回放 未连接实物</w:t>
            </w:r>
          </w:p>
          <w:p w14:paraId="0EA4DA4E">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集成先完成有线原始日志，再连接LoRa和本地网页，以事件记录贯通节点判定、接收存储和管理确认。展示页面只是系统的一部分，验收同时检查原始记录、协议日志和对应实验标签，不能仅凭页面数值变化认定系统可用。</w:t>
            </w:r>
          </w:p>
          <w:p w14:paraId="2EF1A927">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6 项目目标与分层实验</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总体目标是完成可采集、可有限诊断、可可靠传输、可追溯验证的支管原型，并给出渐进故障辨识条件和通信取舍。四个工作包分别负责测量与建模、诊断与边界、可靠告警、系统集成与验证。表2把交付、评价指标和验证证据对应起来，作为任务书细化依据。</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7E27D8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070" w:type="dxa"/>
                  <w:tcBorders>
                    <w:tl2br w:val="nil"/>
                    <w:tr2bl w:val="nil"/>
                  </w:tcBorders>
                </w:tcPr>
                <w:p w14:paraId="4F400400">
                  <w:pPr>
                    <w:keepNext w:val="0"/>
                    <w:keepLines/>
                    <w:spacing w:beforeLines="50" w:after="140" w:line="240" w:lineRule="auto"/>
                    <w:jc w:val="left"/>
                    <w:rPr>
                      <w:rFonts w:hint="eastAsia" w:ascii="Times New Roman" w:hAnsi="Times New Roman" w:cs="Times New Roman"/>
                      <w:b/>
                      <w:sz w:val="21"/>
                      <w:szCs w:val="28"/>
                      <w:vertAlign w:val="baseline"/>
                      <w:lang w:val="en-US" w:eastAsia="zh-CN"/>
                    </w:rPr>
                  </w:pPr>
                  <w:r>
                    <w:rPr>
                      <w:rFonts w:hint="eastAsia" w:ascii="Times New Roman" w:hAnsi="Times New Roman" w:cs="Times New Roman"/>
                      <w:b/>
                      <w:sz w:val="21"/>
                      <w:szCs w:val="28"/>
                      <w:vertAlign w:val="baseline"/>
                      <w:lang w:val="en-US" w:eastAsia="zh-CN"/>
                    </w:rPr>
                    <w:t>表2 研究任务与计划验证证据</w:t>
                  </w:r>
                </w:p>
                <w:tbl>
                  <w:tblPr>
                    <w:tblStyle w:val="6"/>
                    <w:tblW w:w="8500" w:type="dxa"/>
                    <w:tblInd w:w="3" w:type="dxa"/>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Layout w:type="fixed"/>
                    <w:tblCellMar>
                      <w:top w:w="60" w:type="dxa"/>
                      <w:left w:w="100" w:type="dxa"/>
                      <w:bottom w:w="60" w:type="dxa"/>
                      <w:right w:w="100" w:type="dxa"/>
                    </w:tblCellMar>
                  </w:tblPr>
                  <w:tblGrid>
                    <w:gridCol w:w="1700"/>
                    <w:gridCol w:w="3300"/>
                    <w:gridCol w:w="3500"/>
                  </w:tblGrid>
                  <w:tr w14:paraId="0A03C39E">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blHeader/>
                    </w:trPr>
                    <w:tc>
                      <w:tcPr>
                        <w:tcW w:w="1700" w:type="dxa"/>
                        <w:tcBorders>
                          <w:tl2br w:val="nil"/>
                          <w:tr2bl w:val="nil"/>
                        </w:tcBorders>
                        <w:shd w:val="clear" w:color="auto" w:fill="EDEDED"/>
                        <w:vAlign w:val="center"/>
                      </w:tcPr>
                      <w:p w14:paraId="42989A63">
                        <w:pPr>
                          <w:keepNext/>
                          <w:keepLines/>
                          <w:spacing w:beforeLines="50" w:after="4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任务</w:t>
                        </w:r>
                      </w:p>
                    </w:tc>
                    <w:tc>
                      <w:tcPr>
                        <w:tcW w:w="3300" w:type="dxa"/>
                        <w:tcBorders>
                          <w:tl2br w:val="nil"/>
                          <w:tr2bl w:val="nil"/>
                        </w:tcBorders>
                        <w:shd w:val="clear" w:color="auto" w:fill="EDEDED"/>
                        <w:vAlign w:val="center"/>
                      </w:tcPr>
                      <w:p w14:paraId="6DEF1315">
                        <w:pPr>
                          <w:keepNext/>
                          <w:keepLines/>
                          <w:spacing w:beforeLines="50" w:after="4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计划交付或实验</w:t>
                        </w:r>
                      </w:p>
                    </w:tc>
                    <w:tc>
                      <w:tcPr>
                        <w:tcW w:w="3500" w:type="dxa"/>
                        <w:tcBorders>
                          <w:tl2br w:val="nil"/>
                          <w:tr2bl w:val="nil"/>
                        </w:tcBorders>
                        <w:shd w:val="clear" w:color="auto" w:fill="EDEDED"/>
                        <w:vAlign w:val="center"/>
                      </w:tcPr>
                      <w:p w14:paraId="31E69937">
                        <w:pPr>
                          <w:keepNext/>
                          <w:keepLines/>
                          <w:spacing w:beforeLines="50" w:after="4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评价量与证据</w:t>
                        </w:r>
                      </w:p>
                    </w:tc>
                  </w:tr>
                  <w:tr w14:paraId="7D87CC25">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16FB3D79">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测量与建模</w:t>
                        </w:r>
                      </w:p>
                    </w:tc>
                    <w:tc>
                      <w:tcPr>
                        <w:tcW w:w="3300" w:type="dxa"/>
                        <w:tcBorders>
                          <w:tl2br w:val="nil"/>
                          <w:tr2bl w:val="nil"/>
                        </w:tcBorders>
                        <w:shd w:val="clear" w:color="auto" w:fill="FFFFFF"/>
                        <w:vAlign w:val="center"/>
                      </w:tcPr>
                      <w:p w14:paraId="0AEF4FE0">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双压力流量节点及参考标定</w:t>
                        </w:r>
                      </w:p>
                    </w:tc>
                    <w:tc>
                      <w:tcPr>
                        <w:tcW w:w="3500" w:type="dxa"/>
                        <w:tcBorders>
                          <w:tl2br w:val="nil"/>
                          <w:tr2bl w:val="nil"/>
                        </w:tcBorders>
                        <w:shd w:val="clear" w:color="auto" w:fill="FFFFFF"/>
                        <w:vAlign w:val="center"/>
                      </w:tcPr>
                      <w:p w14:paraId="1EC278E6">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误差、重复性、同步、健康压降与差压不确定度</w:t>
                        </w:r>
                      </w:p>
                    </w:tc>
                  </w:tr>
                  <w:tr w14:paraId="06D898E2">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1E5D18AD">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渐进诊断</w:t>
                        </w:r>
                      </w:p>
                    </w:tc>
                    <w:tc>
                      <w:tcPr>
                        <w:tcW w:w="3300" w:type="dxa"/>
                        <w:tcBorders>
                          <w:tl2br w:val="nil"/>
                          <w:tr2bl w:val="nil"/>
                        </w:tcBorders>
                        <w:shd w:val="clear" w:color="auto" w:fill="FFFFFF"/>
                        <w:vAlign w:val="center"/>
                      </w:tcPr>
                      <w:p w14:paraId="0B0944AE">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2类型×3供压×3程度×至少3独立操作，主要试验至少54次</w:t>
                        </w:r>
                      </w:p>
                    </w:tc>
                    <w:tc>
                      <w:tcPr>
                        <w:tcW w:w="3500" w:type="dxa"/>
                        <w:tcBorders>
                          <w:tl2br w:val="nil"/>
                          <w:tr2bl w:val="nil"/>
                        </w:tcBorders>
                        <w:shd w:val="clear" w:color="auto" w:fill="FFFFFF"/>
                        <w:vAlign w:val="center"/>
                      </w:tcPr>
                      <w:p w14:paraId="40915086">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正确模式、独立试次漏检、每小时误报、提前量分布</w:t>
                        </w:r>
                      </w:p>
                    </w:tc>
                  </w:tr>
                  <w:tr w14:paraId="40E64DF6">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3A91FAE7">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可靠告警</w:t>
                        </w:r>
                      </w:p>
                    </w:tc>
                    <w:tc>
                      <w:tcPr>
                        <w:tcW w:w="3300" w:type="dxa"/>
                        <w:tcBorders>
                          <w:tl2br w:val="nil"/>
                          <w:tr2bl w:val="nil"/>
                        </w:tcBorders>
                        <w:shd w:val="clear" w:color="auto" w:fill="FFFFFF"/>
                        <w:vAlign w:val="center"/>
                      </w:tcPr>
                      <w:p w14:paraId="4F738862">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同检测与确认下的四策略真实LoRa对照</w:t>
                        </w:r>
                      </w:p>
                    </w:tc>
                    <w:tc>
                      <w:tcPr>
                        <w:tcW w:w="3500" w:type="dxa"/>
                        <w:tcBorders>
                          <w:tl2br w:val="nil"/>
                          <w:tr2bl w:val="nil"/>
                        </w:tcBorders>
                        <w:shd w:val="clear" w:color="auto" w:fill="FFFFFF"/>
                        <w:vAlign w:val="center"/>
                      </w:tcPr>
                      <w:p w14:paraId="7D6E9FE2">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发收与ACK日志、两段延迟、帧与字节、整机能量</w:t>
                        </w:r>
                      </w:p>
                    </w:tc>
                  </w:tr>
                  <w:tr w14:paraId="04664454">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14EB4671">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系统集成</w:t>
                        </w:r>
                      </w:p>
                    </w:tc>
                    <w:tc>
                      <w:tcPr>
                        <w:tcW w:w="3300" w:type="dxa"/>
                        <w:tcBorders>
                          <w:tl2br w:val="nil"/>
                          <w:tr2bl w:val="nil"/>
                        </w:tcBorders>
                        <w:shd w:val="clear" w:color="auto" w:fill="FFFFFF"/>
                        <w:vAlign w:val="center"/>
                      </w:tcPr>
                      <w:p w14:paraId="5F6B72C8">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节点、接收端及本地Web贯通</w:t>
                        </w:r>
                      </w:p>
                    </w:tc>
                    <w:tc>
                      <w:tcPr>
                        <w:tcW w:w="3500" w:type="dxa"/>
                        <w:tcBorders>
                          <w:tl2br w:val="nil"/>
                          <w:tr2bl w:val="nil"/>
                        </w:tcBorders>
                        <w:shd w:val="clear" w:color="auto" w:fill="FFFFFF"/>
                        <w:vAlign w:val="center"/>
                      </w:tcPr>
                      <w:p w14:paraId="2AC928A6">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事件可追溯、离线与无效状态、回放导出、处理记录</w:t>
                        </w:r>
                      </w:p>
                    </w:tc>
                  </w:tr>
                  <w:tr w14:paraId="652794DD">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05D9D0C0">
                        <w:pPr>
                          <w:keepNext w:val="0"/>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连续运行</w:t>
                        </w:r>
                      </w:p>
                    </w:tc>
                    <w:tc>
                      <w:tcPr>
                        <w:tcW w:w="3300" w:type="dxa"/>
                        <w:tcBorders>
                          <w:tl2br w:val="nil"/>
                          <w:tr2bl w:val="nil"/>
                        </w:tcBorders>
                        <w:shd w:val="clear" w:color="auto" w:fill="FFFFFF"/>
                        <w:vAlign w:val="center"/>
                      </w:tcPr>
                      <w:p w14:paraId="108FC70A">
                        <w:pPr>
                          <w:keepNext w:val="0"/>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单次至少8小时台架记录，至少3次掉电恢复检查</w:t>
                        </w:r>
                      </w:p>
                    </w:tc>
                    <w:tc>
                      <w:tcPr>
                        <w:tcW w:w="3500" w:type="dxa"/>
                        <w:tcBorders>
                          <w:tl2br w:val="nil"/>
                          <w:tr2bl w:val="nil"/>
                        </w:tcBorders>
                        <w:shd w:val="clear" w:color="auto" w:fill="FFFFFF"/>
                        <w:vAlign w:val="center"/>
                      </w:tcPr>
                      <w:p w14:paraId="77593D4A">
                        <w:pPr>
                          <w:keepNext w:val="0"/>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连续原始日志、停机/缺失段、恢复会话与缓存记录</w:t>
                        </w:r>
                      </w:p>
                    </w:tc>
                  </w:tr>
                </w:tbl>
                <w:p w14:paraId="67156DBF">
                  <w:pPr>
                    <w:keepNext w:val="0"/>
                    <w:keepLines/>
                    <w:spacing w:beforeLines="50" w:after="100" w:line="240" w:lineRule="auto"/>
                    <w:jc w:val="left"/>
                    <w:rPr>
                      <w:rFonts w:hint="default" w:ascii="Times New Roman" w:hAnsi="Times New Roman" w:cs="Times New Roman"/>
                      <w:sz w:val="21"/>
                      <w:szCs w:val="28"/>
                      <w:vertAlign w:val="baseline"/>
                      <w:lang w:val="en-US" w:eastAsia="zh-CN"/>
                    </w:rPr>
                  </w:pPr>
                </w:p>
              </w:tc>
            </w:tr>
          </w:tbl>
          <w:p w14:paraId="4D0A5CE5">
            <w:pPr>
              <w:keepNext w:val="0"/>
              <w:keepLines/>
              <w:spacing w:beforeLines="50" w:after="100" w:line="240" w:lineRule="auto"/>
              <w:jc w:val="left"/>
              <w:rPr>
                <w:rFonts w:hint="default" w:ascii="Times New Roman" w:hAnsi="Times New Roman" w:eastAsia="宋体" w:cs="Times New Roman"/>
                <w:sz w:val="21"/>
                <w:szCs w:val="28"/>
                <w:lang w:val="en-US" w:eastAsia="zh-CN"/>
              </w:rPr>
            </w:pPr>
          </w:p>
          <w:p w14:paraId="764927EE">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验证分为以下四层，与表2的任务、证据和表3的阶段进度对应。预实验决定测量和判据能否进入验证；正式验证同时支撑结项演示与论文论证。主要故障网格的重复次数按独立操作计算，通信策略比较使用同一组本地检测记录，以减少检测差异对链路结论的干扰。</w:t>
            </w:r>
          </w:p>
          <w:p w14:paraId="0600B517">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第一层为测量预实验：完成水路稳定性、参考标定及操作标签。暂定供压80/120/160kPa，实际范围依据设备能力冻结。若目标变化被测量误差覆盖，调整设计后重复校核，不用检测算法掩盖测量问题。</w:t>
            </w:r>
          </w:p>
          <w:p w14:paraId="24DBD769">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第二层为水力与方法实验：安排正常稳定、正常切换、渐进泄漏、渐进受限和切换期间异常五组工况。以独立操作日志、参考流量和泄漏收集量确定故障时间与程度；主要故障网格至少54次，正常及切换对照另行安排。小试用于调参，验证按独立日或批次留出，相邻采样点不算独立重复。</w:t>
            </w:r>
          </w:p>
          <w:p w14:paraId="081D33FE">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同信息条件下比较固定阈值、切换等待、压力归一化、双点特征和候选方法，并做单点/双点、阀态及持续判据消融。评价以试次为单位，保留漂移、未知负载与错误模式实例。方法未超过强基线时如实报告，将贡献转向可观测范围或测量边界。</w:t>
            </w:r>
          </w:p>
          <w:p w14:paraId="0F72FAA6">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第三层为通信与系统实验：先保持本地检测结果相同，再测试四种上报策略；加入短时事件、阻断、掉电和溢出，检验重试、去重及离线显示。连续运行检验软硬件一致性和记录完整性；整机能量由电流设备独立测量。</w:t>
            </w:r>
          </w:p>
          <w:p w14:paraId="7AF936DF">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第四层为条件性现场试验：取得许可后调查安装、轮灌及遮挡条件，采集真实正常运行数据。只有正常数据时评价安装、链路和正常响应，不计算田间故障准确率。现场未落实时完成可重复台架作为基础交付，南疆部署适用性继续保留为待验证。</w:t>
            </w:r>
          </w:p>
          <w:p w14:paraId="1260E11D">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7 主要问题与实施约束</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运行操作与故障混淆通过状态记录、强基线和有限输出研究；差压误差通过参考标定、健康校核和程度分层研究；短时事件漏送通过缓存、确认、重试及去重处理；实验不可复现通过独立标签、冻结配置、原始日志和留出批次控制。</w:t>
            </w:r>
          </w:p>
          <w:p w14:paraId="7E8B0493">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本期先解决一个监测区段的真实测量和完整运行链。2000元启动估算以已有电脑、借用参考仪器及可调连续水源为前提，两只合格压力传感器还需询价。若报价超额，优先借用或增加测量经费，不以降低精度维持原目标。团队、场地和借用仍需落实。增加资助优先改善标定、独立批次和试验质量，再考虑多节点及现场扩展。</w:t>
            </w:r>
          </w:p>
        </w:tc>
      </w:tr>
      <w:tr w14:paraId="6B5D7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1E9A2E8F">
            <w:pPr>
              <w:keepNext/>
              <w:keepLines/>
              <w:pageBreakBefore w:val="0"/>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四、国、内外研究现状和发展动态</w:t>
            </w:r>
          </w:p>
          <w:p w14:paraId="777D1BA5">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1 南疆应用需求与研究对象</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李慧琴等结合南疆棉花“滴水出苗”提出压力均匀、铺管及用水管理建议[1]，说明运行压力是区域滴灌管理中需要关注的条件。Sun等研究南疆集体滴灌棉花生产约束，涉及灌水深度和土壤条件[17]。这些工作支持选择南疆滴灌巡检场景，但不直接证明本原型能够节水或增产。本期以支管水力故障的可观测变化为对象，实际轮灌方式与安装条件仍需现场核对。</w:t>
            </w:r>
          </w:p>
          <w:p w14:paraId="6AF7CFB3">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2 滴灌水力模型与测量依据</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丁法龙等从变质量流动分析沿程压力，并以测压、测流试验验证模型[2]；王亚林等结合灌水试验与CFD研究不同滴头镶嵌方式对毛管水力特性的影响[3]。已有研究表明，实际滴灌压损需要考虑分布出流、结构与安装。本项目集中平方律模型仅用于监测区段的初步设计，不替代上述分布模型。实施时先检验健康压力—流量关系及残差，再冻结特征和阈值；拟通过布点、同步误差与差压不确定度的联合评价确定低成本测量的适用条件。</w:t>
            </w:r>
          </w:p>
          <w:p w14:paraId="05FB2493">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3 堵塞机理与早期监测边界</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喻黎明等研究含沙水下额定流量、毛管位置与滴头堵塞的关系[4]；王惠等开展不同肥料及浓度的堵塞试验[5]；张唯一等研究近壁面水力剪切力与碳酸钙污垢的作用[6]。三类工作说明堵塞演化受水质、材料和水力条件影响。Petit等综述进一步指出，压力流量监测属于间接方法，未必反映滴头堵塞的最初阶段[12]。因此本项目用清水节流阀验证等效受限的水力响应，不把阀门操作写成泥沙、化学或生物堵塞试验；“早期”以独立测量确认的故障程度和预设失效参照评价，不宣称识别单滴头微观堵塞起点。</w:t>
            </w:r>
          </w:p>
          <w:p w14:paraId="31AFB738">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4 多工况诊断与可控验证</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付建民等通过液相管道试验与模拟研究压力、流量对小孔泄漏速率的影响[7]；龚骏等研究多工况下泄漏与正常调节的区分[8]；马大中等将物理异常与信息传输异常纳入管网诊断[9]。这些输油或液相管道研究提供了耦合分析与异常分层的思路，参数、传感条件和识别率不能直接移植到滴灌。HydroNeuro研究阀态建模、嵌入式异常感知与扰动鲁棒性[13]，Loukatos等利用可控阀、压力流量及LoRa构建灌溉模拟平台[14]，也说明状态辅助和可控台架已有基础。本项目拟以同信息强基线、独立操作标签和跨批次留出验证研究渐进故障的辨识边界，保留未知负载、漂移及切换期间的失败实例。</w:t>
            </w:r>
          </w:p>
          <w:p w14:paraId="0133E1D6">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5 农业物联网与通信评价</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孟祥等完成基于LoRa的农田智能灌溉系统设计[10]；刘天翔等构建设施番茄称量反馈灌溉系统[11]，为传感、通信和软件组织提供国内系统研究实例。本项目将系统交付细化为测量节点、接收存储、有限诊断、事件证据与管理确认，不能仅以使用LoRa或增加页面作为创新。Lozoya等以田间对照评价事件通信与功耗[15]，Orihuela等开展农业事件通信的长期评估[16]。本项目拟在检测器、载荷和确认机制相同条件下比较周期与事件策略，将本地检测延迟、远端送达延迟和整机能量分别测量，不以发送帧数推算真实续航。</w:t>
            </w:r>
          </w:p>
          <w:p w14:paraId="3C36EEA2">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6 本项目拟研究的增量</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上述中文研究构成场景、水力、堵塞、诊断和系统集成的主要依据，英文研究补充间接监测边界、可控平台及通信评价。拟研究的增量集中于两个问题：低成本双压力流量与操作信息在何种故障程度和误差条件下能够改善巡检提示；在统一检测与确认机制下，减少通信是否仍能维持远端及时告警。通过可重复台架、强对照与分层评价形成结论，是否具有可发表贡献以进一步全文研读和独立实测为准。</w:t>
            </w:r>
          </w:p>
          <w:p w14:paraId="7B59B996">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参考文献</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220B8A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0FDD6E35">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 李慧琴, 王潭刚, 孔宪辉. 新疆南疆棉花“滴水出苗”技术问题及建议[J]. 中国棉花, 2022, 49(6): 36-38. DOI:10.11963/cc20220080.</w:t>
                  </w:r>
                </w:p>
              </w:tc>
            </w:tr>
            <w:tr w14:paraId="6B5DA3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6F5C1402">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[2] 丁法龙, 茅泽育, 王文娥, 等. 滴灌管主流道沿程压力分布模型及验证[J]. 农业工程学报, 2019, 35(3): 117-124. DOI:10.11975/j.issn.1002-6819.2019.03.015.</w:t>
                  </w:r>
                </w:p>
              </w:tc>
            </w:tr>
            <w:tr w14:paraId="42B9E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33C01304">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[3] 王亚林, 李京芳, 鄢锐, 等. 圆柱式滴头内镶及外包对滴灌毛管水力特性影响的模拟研究[J]. 华南农业大学学报, 2021, 42(4): 106-112. DOI:10.7671/j.issn.1001-411X.202009004.</w:t>
                  </w:r>
                </w:p>
              </w:tc>
            </w:tr>
            <w:tr w14:paraId="0B05A1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0A5009DD">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[4] 喻黎明, 曹丽, 李娜, 等. 额定流量与毛管位置对纽扣式滴头堵塞的影响及机理分析[J]. 农业工程学报, 2023, 39(20): 123-131. DOI:10.11975/j.issn.1002-6819.202307109.</w:t>
                  </w:r>
                </w:p>
              </w:tc>
            </w:tr>
            <w:tr w14:paraId="79367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07B33B11">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[5] 王惠, 凌刚, 查晴, 等. 肥料种类与浓度对灌水器堵塞特征的影响及防堵策略[J]. 农业工程学报, 2023, 39(5): 53-60. DOI:10.11975/j.issn.1002-6819.202212095.</w:t>
                  </w:r>
                </w:p>
              </w:tc>
            </w:tr>
            <w:tr w14:paraId="0ADB08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1A9B21C4">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[6] 张唯一, 肖洋, 马长健, 等. 水流近壁面水力剪切力对滴灌系统碳酸钙污垢的影响[J]. 农业工程学报, 2023, 39(7): 137-144. DOI:10.11975/j.issn.1002-6819.202208008.</w:t>
                  </w:r>
                </w:p>
              </w:tc>
            </w:tr>
            <w:tr w14:paraId="17CAF1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0092ECC5">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[7] 付建民, 赵振洋, 陈国明, 等. 液相管道流量与压力对小孔泄漏速率的影响[J]. 石油学报, 2016, 37(2): 257-265. DOI:10.7623/syxb201602013.</w:t>
                  </w:r>
                </w:p>
              </w:tc>
            </w:tr>
            <w:tr w14:paraId="58114F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601C4E4D">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[8] 龚骏, 税爱社, 包建明, 等. 多工况下基于RBF神经网络的管道泄漏检测[J]. 油气储运, 2015, 34(7): 759-763. DOI:10.6047/j.issn.1000-8241.2015.07.017.</w:t>
                  </w:r>
                </w:p>
              </w:tc>
            </w:tr>
            <w:tr w14:paraId="7B05B7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6C778A90">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[9] 马大中, 胡旭光, 孙秋野, 等. 基于数据特征融合的管网信息物理异常诊断方法[J]. 自动化学报, 2019, 45(1): 163-173. DOI:10.16383/j.aas.2018.c180383.</w:t>
                  </w:r>
                </w:p>
              </w:tc>
            </w:tr>
            <w:tr w14:paraId="6DE6B0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7A656424">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[10] 孟祥, 赵莹, 徐卓威, 等. 基于LoRa技术的农田智能灌溉系统设计[J]. 中国农机化学报, 2023, 44(9): 161-168. DOI:10.13733/j.jcam.issn.2095-5553.2023.09.023.</w:t>
                  </w:r>
                </w:p>
              </w:tc>
            </w:tr>
            <w:tr w14:paraId="693344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638568D7">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[11] 刘天翔, 郭文忠, 韩晓蓓, 等. 基于称量反馈的设施番茄灌溉系统的构建与应用[J]. 农业工程学报, 2024, 40(13): 85-96. DOI:10.11975/j.issn.1002-6819.202401146.</w:t>
                  </w:r>
                </w:p>
              </w:tc>
            </w:tr>
            <w:tr w14:paraId="68F1DF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49C0FB99">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[12] Petit J, García S M, Molle B, et al. Methods for drip irrigation clogging detection, analysis and understanding: State of the art and perspectives[J]. Agricultural Water Management, 2022, 272: 107873. DOI:10.1016/j.agwat.2022.107873.</w:t>
                  </w:r>
                </w:p>
              </w:tc>
            </w:tr>
            <w:tr w14:paraId="426417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6589787D">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[13] Somaali N, Hayouni M, Sboui L, et al. HydroNeuro: A Data-Efficient IoT Sensing and Edge-AI Framework for Real-Time Hydraulic Anomaly Detection[J]. Sensors, 2026, 26(10): 3010. DOI:10.3390/s26103010.</w:t>
                  </w:r>
                </w:p>
              </w:tc>
            </w:tr>
            <w:tr w14:paraId="0F24F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2F115E47">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[14] Loukatos D, Fragkos A, Londra P, et al. A Simple Platform for Emulating Irrigation Scenarios and Its Applicability for Big Data Collection Toward Water Preservation via In Situ Experiments[J]. Land, 2026, 15(3): 464. DOI:10.3390/land15030464.</w:t>
                  </w:r>
                </w:p>
              </w:tc>
            </w:tr>
            <w:tr w14:paraId="2FD669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249041DD">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[15] Lozoya C, Favela-Contreras A, Aguilar-Gonzalez A, et al. Energy-Efficient Wireless Communication Strategy for Precision Agriculture Irrigation Control[J]. Sensors, 2021, 21(16): 5541. DOI:10.3390/s21165541.</w:t>
                  </w:r>
                </w:p>
              </w:tc>
            </w:tr>
            <w:tr w14:paraId="4F1CE9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73BBCFCD">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[16] Orihuela L, Bareiro J, Reales F, et al. Long-term assessment of event-based communication for irrigation control in a bell pepper farm[J]. IFAC-PapersOnLine, 2025, 59(23): 44-49. DOI:10.1016/j.ifacol.2025.11.761.</w:t>
                  </w:r>
                </w:p>
              </w:tc>
            </w:tr>
            <w:tr w14:paraId="71B54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42F6D1BB">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[17] Sun Z, Wang Z, Li J. Identification and Evaluation of the Main Constraints on Cotton Production Within a Collective Drip Irrigation System in Southern Xinjiang, China[J]. Agronomy, 2025, 15(4): 760. DOI:10.3390/agronomy15040760.</w:t>
                  </w:r>
                </w:p>
              </w:tc>
            </w:tr>
          </w:tbl>
          <w:p w14:paraId="1701D723">
            <w:pPr>
              <w:keepNext w:val="0"/>
              <w:keepLines/>
              <w:spacing w:beforeLines="50" w:after="100" w:line="240" w:lineRule="auto"/>
              <w:jc w:val="left"/>
              <w:rPr>
                <w:rFonts w:hint="default" w:ascii="Times New Roman" w:hAnsi="Times New Roman" w:eastAsia="宋体" w:cs="Times New Roman"/>
                <w:sz w:val="21"/>
                <w:szCs w:val="28"/>
                <w:lang w:val="en-US" w:eastAsia="zh-CN"/>
              </w:rPr>
            </w:pPr>
          </w:p>
          <w:p w14:paraId="1DFBE78E">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制度参考：塔里木大学大学生创新创业训练计划实施细则，校教发〔2025〕1号，2025-01-02，https://jwc.taru.edu.cn/info/1035/3872.htm。本批要求以正式通知为准。</w:t>
            </w:r>
          </w:p>
        </w:tc>
      </w:tr>
      <w:tr w14:paraId="162EF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1A2B504A">
            <w:pPr>
              <w:keepNext/>
              <w:keepLines/>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五、项目的特色与创新点</w:t>
            </w:r>
          </w:p>
          <w:p w14:paraId="0DFC60CE">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1 面向巡检的系统组织</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特色在于把双压力流量感知、有限故障模式、可靠告警和管理确认连接成可追溯系统，运行状态与测量质量共同参与解释。最终交付包含可操作台架、节点和接收端、软件以及对应实验资料，用户能够查看异常区段、变化证据和处理记录。</w:t>
            </w:r>
          </w:p>
          <w:p w14:paraId="60BFEAA2">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2 渐进故障的辨识边界与早期评价</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拟比较测点数量和状态信息对等效泄漏、受限辨识的作用，将故障程度、独立失效参照、提前量和误报同时评价。预期贡献是可检验的辨识条件与测量边界，而不是宣称双传感器本身首创。未知负载、漂移及切换期间失败结果均纳入研究。</w:t>
            </w:r>
          </w:p>
          <w:p w14:paraId="1114C0CD">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3 诊断与可靠上报的联合验证</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拟在同一真实故障及本地检测记录下比较通信策略，把本地发现和远端送达分开测量，结合缓存、确认及整机能量评价取舍。当前诊断与通信分别具有模型证据，端到端联合验证为实施任务。创新点是拟研究方向，尚未证明算法优越性或取得论文、专利。</w:t>
            </w:r>
          </w:p>
        </w:tc>
      </w:tr>
      <w:tr w14:paraId="04D74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2CF1EE6D">
            <w:pPr>
              <w:keepNext/>
              <w:keepLines/>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六、项目预期成果</w:t>
            </w:r>
          </w:p>
          <w:p w14:paraId="3639BA9C">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形成1套支管故障诊断原型，包含1个P0/P1/Q节点、1个LoRa接收端、1套双支路清水台架和本地Web管理软件，能够完成测量、有限提示、可靠接收、查看确认及数据导出。</w:t>
            </w:r>
          </w:p>
          <w:p w14:paraId="5342B9FA">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形成1套可追溯数据和复现程序，覆盖标定、独立操作标签、主要故障网格、正常切换、跨批次强基线和消融、通信及整机测量，保留失败实例。主要独立试验至少54次，另开展正常/切换对照和连续运行检查。</w:t>
            </w:r>
          </w:p>
          <w:p w14:paraId="00833B4B">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形成调研报告、研究/结题报告、技术与使用说明、过程记录和演示材料，按批准任务书及本批规则完成验收。学校2025年细则中的实物或软硬件研发选择成果可作为参考，最终以实际获批任务要求为准。</w:t>
            </w:r>
          </w:p>
          <w:p w14:paraId="55ABB090">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形成1篇研究论文稿，优先提炼渐进故障辨识条件或可靠告警取舍，在数据和贡献充分时经导师审核投稿。论文稿、投稿、录用、发表和收录分别记录；期刊级别及发表结果不作为已经取得的成绩。软著与专利根据实际成果另行判断。</w:t>
            </w:r>
          </w:p>
        </w:tc>
      </w:tr>
      <w:tr w14:paraId="7D5CA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19CA2E73">
            <w:pPr>
              <w:keepNext/>
              <w:keepLines/>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七、项目年度目标和工作内容（按年度写）</w:t>
            </w:r>
          </w:p>
          <w:p w14:paraId="6D052849">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2027年度完成测量台架、主要实验、LoRa与Web集成、独立验证及论文稿；2028年1—2月补关键验证、核对任务书并办理结项。表3按阶段列出进入下一阶段的条件。</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10EB43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070" w:type="dxa"/>
                  <w:tcBorders>
                    <w:tl2br w:val="nil"/>
                    <w:tr2bl w:val="nil"/>
                  </w:tcBorders>
                </w:tcPr>
                <w:p w14:paraId="2CDC8347">
                  <w:pPr>
                    <w:keepNext w:val="0"/>
                    <w:keepLines/>
                    <w:spacing w:beforeLines="50" w:after="140" w:line="240" w:lineRule="auto"/>
                    <w:jc w:val="left"/>
                    <w:rPr>
                      <w:rFonts w:hint="eastAsia" w:ascii="Times New Roman" w:hAnsi="Times New Roman" w:cs="Times New Roman"/>
                      <w:b/>
                      <w:sz w:val="21"/>
                      <w:szCs w:val="28"/>
                      <w:vertAlign w:val="baseline"/>
                      <w:lang w:val="en-US" w:eastAsia="zh-CN"/>
                    </w:rPr>
                  </w:pPr>
                  <w:r>
                    <w:rPr>
                      <w:rFonts w:hint="eastAsia" w:ascii="Times New Roman" w:hAnsi="Times New Roman" w:cs="Times New Roman"/>
                      <w:b/>
                      <w:sz w:val="21"/>
                      <w:szCs w:val="28"/>
                      <w:vertAlign w:val="baseline"/>
                      <w:lang w:val="en-US" w:eastAsia="zh-CN"/>
                    </w:rPr>
                    <w:t>表3 实施进度及阶段交付</w:t>
                  </w:r>
                </w:p>
                <w:tbl>
                  <w:tblPr>
                    <w:tblStyle w:val="6"/>
                    <w:tblW w:w="8500" w:type="dxa"/>
                    <w:tblInd w:w="3" w:type="dxa"/>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Layout w:type="fixed"/>
                    <w:tblCellMar>
                      <w:top w:w="60" w:type="dxa"/>
                      <w:left w:w="100" w:type="dxa"/>
                      <w:bottom w:w="60" w:type="dxa"/>
                      <w:right w:w="100" w:type="dxa"/>
                    </w:tblCellMar>
                  </w:tblPr>
                  <w:tblGrid>
                    <w:gridCol w:w="1700"/>
                    <w:gridCol w:w="3300"/>
                    <w:gridCol w:w="3500"/>
                  </w:tblGrid>
                  <w:tr w14:paraId="33A5E284">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blHeader/>
                    </w:trPr>
                    <w:tc>
                      <w:tcPr>
                        <w:tcW w:w="1700" w:type="dxa"/>
                        <w:tcBorders>
                          <w:tl2br w:val="nil"/>
                          <w:tr2bl w:val="nil"/>
                        </w:tcBorders>
                        <w:shd w:val="clear" w:color="auto" w:fill="EDEDED"/>
                        <w:vAlign w:val="center"/>
                      </w:tcPr>
                      <w:p w14:paraId="74A85BCD">
                        <w:pPr>
                          <w:keepNext/>
                          <w:keepLines/>
                          <w:spacing w:beforeLines="50" w:after="4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时段</w:t>
                        </w:r>
                      </w:p>
                    </w:tc>
                    <w:tc>
                      <w:tcPr>
                        <w:tcW w:w="3300" w:type="dxa"/>
                        <w:tcBorders>
                          <w:tl2br w:val="nil"/>
                          <w:tr2bl w:val="nil"/>
                        </w:tcBorders>
                        <w:shd w:val="clear" w:color="auto" w:fill="EDEDED"/>
                        <w:vAlign w:val="center"/>
                      </w:tcPr>
                      <w:p w14:paraId="7F41934B">
                        <w:pPr>
                          <w:keepNext/>
                          <w:keepLines/>
                          <w:spacing w:beforeLines="50" w:after="4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核心工作</w:t>
                        </w:r>
                      </w:p>
                    </w:tc>
                    <w:tc>
                      <w:tcPr>
                        <w:tcW w:w="3500" w:type="dxa"/>
                        <w:tcBorders>
                          <w:tl2br w:val="nil"/>
                          <w:tr2bl w:val="nil"/>
                        </w:tcBorders>
                        <w:shd w:val="clear" w:color="auto" w:fill="EDEDED"/>
                        <w:vAlign w:val="center"/>
                      </w:tcPr>
                      <w:p w14:paraId="5FD8028B">
                        <w:pPr>
                          <w:keepNext/>
                          <w:keepLines/>
                          <w:spacing w:beforeLines="50" w:after="4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阶段交付或进入条件</w:t>
                        </w:r>
                      </w:p>
                    </w:tc>
                  </w:tr>
                  <w:tr w14:paraId="6AB8AF91">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0951873B">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2027年3—4月</w:t>
                        </w:r>
                      </w:p>
                    </w:tc>
                    <w:tc>
                      <w:tcPr>
                        <w:tcW w:w="3300" w:type="dxa"/>
                        <w:tcBorders>
                          <w:tl2br w:val="nil"/>
                          <w:tr2bl w:val="nil"/>
                        </w:tcBorders>
                        <w:shd w:val="clear" w:color="auto" w:fill="FFFFFF"/>
                        <w:vAlign w:val="center"/>
                      </w:tcPr>
                      <w:p w14:paraId="5A8D8C7A">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台架、标定、有线日志与差压误差</w:t>
                        </w:r>
                      </w:p>
                    </w:tc>
                    <w:tc>
                      <w:tcPr>
                        <w:tcW w:w="3500" w:type="dxa"/>
                        <w:tcBorders>
                          <w:tl2br w:val="nil"/>
                          <w:tr2bl w:val="nil"/>
                        </w:tcBorders>
                        <w:shd w:val="clear" w:color="auto" w:fill="FFFFFF"/>
                        <w:vAlign w:val="center"/>
                      </w:tcPr>
                      <w:p w14:paraId="7790C63D">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有独立标签、可校核且可重复的原始数据</w:t>
                        </w:r>
                      </w:p>
                    </w:tc>
                  </w:tr>
                  <w:tr w14:paraId="390C06F6">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071B00C6">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2027年5—6月</w:t>
                        </w:r>
                      </w:p>
                    </w:tc>
                    <w:tc>
                      <w:tcPr>
                        <w:tcW w:w="3300" w:type="dxa"/>
                        <w:tcBorders>
                          <w:tl2br w:val="nil"/>
                          <w:tr2bl w:val="nil"/>
                        </w:tcBorders>
                        <w:shd w:val="clear" w:color="auto" w:fill="FFFFFF"/>
                        <w:vAlign w:val="center"/>
                      </w:tcPr>
                      <w:p w14:paraId="5CAD1772">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故障程度网格、正常切换和方法对照</w:t>
                        </w:r>
                      </w:p>
                    </w:tc>
                    <w:tc>
                      <w:tcPr>
                        <w:tcW w:w="3500" w:type="dxa"/>
                        <w:tcBorders>
                          <w:tl2br w:val="nil"/>
                          <w:tr2bl w:val="nil"/>
                        </w:tcBorders>
                        <w:shd w:val="clear" w:color="auto" w:fill="FFFFFF"/>
                        <w:vAlign w:val="center"/>
                      </w:tcPr>
                      <w:p w14:paraId="08655C4C">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试次级误报、漏检、模式及提前量记录</w:t>
                        </w:r>
                      </w:p>
                    </w:tc>
                  </w:tr>
                  <w:tr w14:paraId="68D35181">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22FBBA83">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2027年7—8月</w:t>
                        </w:r>
                      </w:p>
                    </w:tc>
                    <w:tc>
                      <w:tcPr>
                        <w:tcW w:w="3300" w:type="dxa"/>
                        <w:tcBorders>
                          <w:tl2br w:val="nil"/>
                          <w:tr2bl w:val="nil"/>
                        </w:tcBorders>
                        <w:shd w:val="clear" w:color="auto" w:fill="FFFFFF"/>
                        <w:vAlign w:val="center"/>
                      </w:tcPr>
                      <w:p w14:paraId="58FF124C">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LoRa协议、本地Web及连续运行</w:t>
                        </w:r>
                      </w:p>
                    </w:tc>
                    <w:tc>
                      <w:tcPr>
                        <w:tcW w:w="3500" w:type="dxa"/>
                        <w:tcBorders>
                          <w:tl2br w:val="nil"/>
                          <w:tr2bl w:val="nil"/>
                        </w:tcBorders>
                        <w:shd w:val="clear" w:color="auto" w:fill="FFFFFF"/>
                        <w:vAlign w:val="center"/>
                      </w:tcPr>
                      <w:p w14:paraId="393DC66D">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发收确认可追溯，恢复与整机测量记录</w:t>
                        </w:r>
                      </w:p>
                    </w:tc>
                  </w:tr>
                  <w:tr w14:paraId="59C63499">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6035B492">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2027年9—10月</w:t>
                        </w:r>
                      </w:p>
                    </w:tc>
                    <w:tc>
                      <w:tcPr>
                        <w:tcW w:w="3300" w:type="dxa"/>
                        <w:tcBorders>
                          <w:tl2br w:val="nil"/>
                          <w:tr2bl w:val="nil"/>
                        </w:tcBorders>
                        <w:shd w:val="clear" w:color="auto" w:fill="FFFFFF"/>
                        <w:vAlign w:val="center"/>
                      </w:tcPr>
                      <w:p w14:paraId="644FD2A3">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独立批次、消融、条件性现场、论文稿</w:t>
                        </w:r>
                      </w:p>
                    </w:tc>
                    <w:tc>
                      <w:tcPr>
                        <w:tcW w:w="3500" w:type="dxa"/>
                        <w:tcBorders>
                          <w:tl2br w:val="nil"/>
                          <w:tr2bl w:val="nil"/>
                        </w:tcBorders>
                        <w:shd w:val="clear" w:color="auto" w:fill="FFFFFF"/>
                        <w:vAlign w:val="center"/>
                      </w:tcPr>
                      <w:p w14:paraId="61EF1805">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冻结数据与方法，导师审核论文贡献</w:t>
                        </w:r>
                      </w:p>
                    </w:tc>
                  </w:tr>
                  <w:tr w14:paraId="36B24AD1">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68D06749">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2027年11—12月</w:t>
                        </w:r>
                      </w:p>
                    </w:tc>
                    <w:tc>
                      <w:tcPr>
                        <w:tcW w:w="3300" w:type="dxa"/>
                        <w:tcBorders>
                          <w:tl2br w:val="nil"/>
                          <w:tr2bl w:val="nil"/>
                        </w:tcBorders>
                        <w:shd w:val="clear" w:color="auto" w:fill="FFFFFF"/>
                        <w:vAlign w:val="center"/>
                      </w:tcPr>
                      <w:p w14:paraId="79979157">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补试验、修订原型与研究报告</w:t>
                        </w:r>
                      </w:p>
                    </w:tc>
                    <w:tc>
                      <w:tcPr>
                        <w:tcW w:w="3500" w:type="dxa"/>
                        <w:tcBorders>
                          <w:tl2br w:val="nil"/>
                          <w:tr2bl w:val="nil"/>
                        </w:tcBorders>
                        <w:shd w:val="clear" w:color="auto" w:fill="FFFFFF"/>
                        <w:vAlign w:val="center"/>
                      </w:tcPr>
                      <w:p w14:paraId="26592A1E">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系统演示、调研、过程及本批要求材料</w:t>
                        </w:r>
                      </w:p>
                    </w:tc>
                  </w:tr>
                  <w:tr w14:paraId="3EF671A4">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7E33889E">
                        <w:pPr>
                          <w:keepNext w:val="0"/>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2028年1—2月</w:t>
                        </w:r>
                      </w:p>
                    </w:tc>
                    <w:tc>
                      <w:tcPr>
                        <w:tcW w:w="3300" w:type="dxa"/>
                        <w:tcBorders>
                          <w:tl2br w:val="nil"/>
                          <w:tr2bl w:val="nil"/>
                        </w:tcBorders>
                        <w:shd w:val="clear" w:color="auto" w:fill="FFFFFF"/>
                        <w:vAlign w:val="center"/>
                      </w:tcPr>
                      <w:p w14:paraId="15C02058">
                        <w:pPr>
                          <w:keepNext w:val="0"/>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核对任务书、补验证与归档</w:t>
                        </w:r>
                      </w:p>
                    </w:tc>
                    <w:tc>
                      <w:tcPr>
                        <w:tcW w:w="3500" w:type="dxa"/>
                        <w:tcBorders>
                          <w:tl2br w:val="nil"/>
                          <w:tr2bl w:val="nil"/>
                        </w:tcBorders>
                        <w:shd w:val="clear" w:color="auto" w:fill="FFFFFF"/>
                        <w:vAlign w:val="center"/>
                      </w:tcPr>
                      <w:p w14:paraId="45704817">
                        <w:pPr>
                          <w:keepNext w:val="0"/>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实物软件、数据、报告和结项材料对应</w:t>
                        </w:r>
                      </w:p>
                    </w:tc>
                  </w:tr>
                </w:tbl>
                <w:p w14:paraId="023B887A">
                  <w:pPr>
                    <w:keepNext w:val="0"/>
                    <w:keepLines/>
                    <w:spacing w:beforeLines="50" w:after="100" w:line="240" w:lineRule="auto"/>
                    <w:jc w:val="left"/>
                    <w:rPr>
                      <w:rFonts w:hint="default" w:ascii="Times New Roman" w:hAnsi="Times New Roman" w:cs="Times New Roman"/>
                      <w:sz w:val="21"/>
                      <w:szCs w:val="28"/>
                      <w:vertAlign w:val="baseline"/>
                      <w:lang w:val="en-US" w:eastAsia="zh-CN"/>
                    </w:rPr>
                  </w:pPr>
                </w:p>
              </w:tc>
            </w:tr>
          </w:tbl>
          <w:p w14:paraId="587A6ADB">
            <w:pPr>
              <w:keepNext w:val="0"/>
              <w:keepLines/>
              <w:spacing w:beforeLines="50" w:after="100" w:line="240" w:lineRule="auto"/>
              <w:jc w:val="left"/>
              <w:rPr>
                <w:rFonts w:hint="default" w:ascii="Times New Roman" w:hAnsi="Times New Roman" w:eastAsia="宋体" w:cs="Times New Roman"/>
                <w:sz w:val="21"/>
                <w:szCs w:val="28"/>
                <w:lang w:val="en-US" w:eastAsia="zh-CN"/>
              </w:rPr>
            </w:pPr>
          </w:p>
          <w:p w14:paraId="4A419D03">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申报后至正式实施前开展C/Python学习、成员分工、器件询价和参考仪器联系。测量阶段未达到可重复、可校核条件时先修正台架；论文审稿延长时据已完成任务办理结项，论文状态据实记录。</w:t>
            </w:r>
          </w:p>
        </w:tc>
      </w:tr>
      <w:tr w14:paraId="1765C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22A40D7F">
            <w:pPr>
              <w:keepNext/>
              <w:keepLines/>
              <w:numPr>
                <w:ilvl w:val="0"/>
                <w:numId w:val="0"/>
              </w:numPr>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八、已有基础</w:t>
            </w:r>
          </w:p>
          <w:p w14:paraId="667C3209">
            <w:pPr>
              <w:keepNext/>
              <w:keepLines/>
              <w:numPr>
                <w:ilvl w:val="0"/>
                <w:numId w:val="0"/>
              </w:numPr>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1 与本项目有关的研究积累和已取得的成绩</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已形成文献和制度分析、等效模型、合成试验程序、国内候选器件核对及离线网站。当前基础属于方案、模型和软件，尚无硬件台架、真实无线、整机功耗或田间性能数据。图9为程序保存结果生成的模型检验图，用于说明可行条件与失败趋势。</w:t>
            </w:r>
          </w:p>
          <w:p w14:paraId="77DCFC90">
            <w:pPr>
              <w:keepNext w:val="0"/>
              <w:keepLines/>
              <w:numPr>
                <w:ilvl w:val="0"/>
                <w:numId w:val="0"/>
              </w:numPr>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4" o:spt="75" alt="图9 渐进故障及噪声影响的合成模型检验 参数未标定" type="#_x0000_t75" style="height:417.2pt;width:425pt;" filled="f" o:preferrelative="t" stroked="f" coordsize="21600,21600">
                  <v:path/>
                  <v:fill on="f" focussize="0,0"/>
                  <v:stroke on="f"/>
                  <v:imagedata r:id="rId14" o:title="early_diagnosis"/>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图9 渐进故障及噪声影响的合成模型检验 参数未标定</w:t>
            </w:r>
          </w:p>
          <w:p w14:paraId="42B20352">
            <w:pPr>
              <w:keepNext w:val="0"/>
              <w:keepLines/>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已完成6场景×4压力噪声×20种子的480次双压力合成试验。理想同步、平方律及单故障假设下，低噪声两类各20/20在15%演示参照前正确提示，且无前期误报；σ=10kPa时各降为12/20。种子10300、σ=0.3kPa示例中，泄漏提示/参照为409/485秒（提前76秒），受限为396/522秒（提前126秒）。种子统计与单次示例分列，均非实物性能。</w:t>
            </w:r>
          </w:p>
          <w:p w14:paraId="42E678CE">
            <w:pPr>
              <w:keepNext w:val="0"/>
              <w:keepLines/>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反例中压力漂移会误报，未知正常负载与泄漏同形。旧单压力模型12类挑战、240次合成也出现弱异常漏检及原因歧义。因此需标定、状态信息与有限输出，不能据此宣称通用辨因。</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3A523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2F1829A5">
                  <w:pPr>
                    <w:keepNext w:val="0"/>
                    <w:keepLines/>
                    <w:pageBreakBefore w:val="0"/>
                    <w:numPr>
                      <w:ilvl w:val="0"/>
                      <w:numId w:val="0"/>
                    </w:numPr>
                    <w:spacing w:beforeLines="50" w:after="100" w:line="240" w:lineRule="auto"/>
                    <w:jc w:val="left"/>
                    <w:rPr>
                      <w:rFonts w:hint="default" w:ascii="Times New Roman" w:hAnsi="Times New Roman" w:eastAsia="宋体" w:cs="Times New Roman"/>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已完成1920次公平通信回放，统一检测器、载荷、缓存、ACK与去重。慢周期具有竞争力，噪声可增加事件发送；尚无完整射频和整机能量测量。诊断与通信分开验证，联合实物系统拟在实施期完成。</w:t>
                  </w:r>
                </w:p>
              </w:tc>
            </w:tr>
          </w:tbl>
          <w:p w14:paraId="424E51E5">
            <w:pPr>
              <w:keepNext w:val="0"/>
              <w:keepLines/>
              <w:numPr>
                <w:ilvl w:val="0"/>
                <w:numId w:val="0"/>
              </w:numPr>
              <w:spacing w:beforeLines="50" w:after="100" w:line="240" w:lineRule="auto"/>
              <w:jc w:val="left"/>
              <w:rPr>
                <w:rFonts w:hint="default" w:ascii="Times New Roman" w:hAnsi="Times New Roman" w:eastAsia="宋体" w:cs="Times New Roman"/>
                <w:sz w:val="21"/>
                <w:szCs w:val="28"/>
                <w:lang w:val="en-US" w:eastAsia="zh-CN"/>
              </w:rPr>
            </w:pPr>
          </w:p>
          <w:p w14:paraId="5A7C4015">
            <w:pPr>
              <w:keepNext w:val="0"/>
              <w:keepLines/>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程序、JSON/CSV和图表可追溯，图8是当前离线网页实际截图，支持合成回放、质量状态及确认演示；实际设备接入与日志持久化尚未实现。目前没有已发表论文、授权专利、软著或田间成绩。</w:t>
            </w:r>
          </w:p>
          <w:p w14:paraId="5D1D43B2">
            <w:pPr>
              <w:keepNext/>
              <w:keepLines/>
              <w:numPr>
                <w:ilvl w:val="0"/>
                <w:numId w:val="0"/>
              </w:numPr>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2 已具备的条件 尚缺少的条件及解决方法</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已确认负责人具备焊接能力及约2000元启动额度估计。实际成员、嵌入式开发能力、参考仪器、水路场地、接收电脑配置及田间许可需落实。申报前拟由老师审核分工和测量条件，完成询价与核心程序复现；实施前训练嵌入式采集和实验记录。</w:t>
            </w:r>
          </w:p>
          <w:p w14:paraId="598DEA8A">
            <w:pPr>
              <w:keepNext w:val="0"/>
              <w:keepLines/>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参考压力表、容积/称重及电流设备拟借用，借用落实情况单独记录。现场自行联系，未获得许可时以可重复台架保证基础研究。预算不能满足必要测量时先借用或调整量程与试验范围，不用未标定数据兑现性能目标。</w:t>
            </w:r>
          </w:p>
        </w:tc>
      </w:tr>
      <w:tr w14:paraId="721C2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56DA227B">
            <w:pPr>
              <w:keepNext/>
              <w:keepLines/>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九、项目经费使用计划</w:t>
            </w:r>
          </w:p>
          <w:p w14:paraId="7D8A0805">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按2000元启动额度暂估，未获得整体报价或资助。正式申请金额、科目及可报销范围以本批通知、询价和教师审核为准。表4对应基础系统组成，扩大资助优先提升测量、标定和重复实验质量。</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0AAA8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070" w:type="dxa"/>
                  <w:tcBorders>
                    <w:tl2br w:val="nil"/>
                    <w:tr2bl w:val="nil"/>
                  </w:tcBorders>
                </w:tcPr>
                <w:p w14:paraId="2B9C6768">
                  <w:pPr>
                    <w:keepNext w:val="0"/>
                    <w:keepLines/>
                    <w:spacing w:beforeLines="50" w:after="140" w:line="240" w:lineRule="auto"/>
                    <w:jc w:val="left"/>
                    <w:rPr>
                      <w:rFonts w:hint="eastAsia" w:ascii="Times New Roman" w:hAnsi="Times New Roman" w:cs="Times New Roman"/>
                      <w:b/>
                      <w:sz w:val="21"/>
                      <w:szCs w:val="28"/>
                      <w:vertAlign w:val="baseline"/>
                      <w:lang w:val="en-US" w:eastAsia="zh-CN"/>
                    </w:rPr>
                  </w:pPr>
                  <w:r>
                    <w:rPr>
                      <w:rFonts w:hint="eastAsia" w:ascii="Times New Roman" w:hAnsi="Times New Roman" w:cs="Times New Roman"/>
                      <w:b/>
                      <w:sz w:val="21"/>
                      <w:szCs w:val="28"/>
                      <w:vertAlign w:val="baseline"/>
                      <w:lang w:val="en-US" w:eastAsia="zh-CN"/>
                    </w:rPr>
                    <w:t>表4 启动经费估算</w:t>
                  </w:r>
                </w:p>
                <w:tbl>
                  <w:tblPr>
                    <w:tblStyle w:val="6"/>
                    <w:tblW w:w="8500" w:type="dxa"/>
                    <w:tblInd w:w="3" w:type="dxa"/>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Layout w:type="fixed"/>
                    <w:tblCellMar>
                      <w:top w:w="60" w:type="dxa"/>
                      <w:left w:w="100" w:type="dxa"/>
                      <w:bottom w:w="60" w:type="dxa"/>
                      <w:right w:w="100" w:type="dxa"/>
                    </w:tblCellMar>
                  </w:tblPr>
                  <w:tblGrid>
                    <w:gridCol w:w="2100"/>
                    <w:gridCol w:w="1200"/>
                    <w:gridCol w:w="5200"/>
                  </w:tblGrid>
                  <w:tr w14:paraId="10A130DA">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blHeader/>
                    </w:trPr>
                    <w:tc>
                      <w:tcPr>
                        <w:tcW w:w="2100" w:type="dxa"/>
                        <w:tcBorders>
                          <w:tl2br w:val="nil"/>
                          <w:tr2bl w:val="nil"/>
                        </w:tcBorders>
                        <w:shd w:val="clear" w:color="auto" w:fill="EDEDED"/>
                        <w:vAlign w:val="center"/>
                      </w:tcPr>
                      <w:p w14:paraId="6F1B3C52">
                        <w:pPr>
                          <w:keepNext/>
                          <w:keepLines/>
                          <w:spacing w:beforeLines="50" w:after="4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用途</w:t>
                        </w:r>
                      </w:p>
                    </w:tc>
                    <w:tc>
                      <w:tcPr>
                        <w:tcW w:w="1200" w:type="dxa"/>
                        <w:tcBorders>
                          <w:tl2br w:val="nil"/>
                          <w:tr2bl w:val="nil"/>
                        </w:tcBorders>
                        <w:shd w:val="clear" w:color="auto" w:fill="EDEDED"/>
                        <w:vAlign w:val="center"/>
                      </w:tcPr>
                      <w:p w14:paraId="21F992C3">
                        <w:pPr>
                          <w:keepNext/>
                          <w:keepLines/>
                          <w:spacing w:beforeLines="50" w:after="4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金额 元</w:t>
                        </w:r>
                      </w:p>
                    </w:tc>
                    <w:tc>
                      <w:tcPr>
                        <w:tcW w:w="5200" w:type="dxa"/>
                        <w:tcBorders>
                          <w:tl2br w:val="nil"/>
                          <w:tr2bl w:val="nil"/>
                        </w:tcBorders>
                        <w:shd w:val="clear" w:color="auto" w:fill="EDEDED"/>
                        <w:vAlign w:val="center"/>
                      </w:tcPr>
                      <w:p w14:paraId="3DC0A06E">
                        <w:pPr>
                          <w:keepNext/>
                          <w:keepLines/>
                          <w:spacing w:beforeLines="50" w:after="4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对应任务及估算前提</w:t>
                        </w:r>
                      </w:p>
                    </w:tc>
                  </w:tr>
                  <w:tr w14:paraId="32275A88">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100" w:type="dxa"/>
                        <w:tcBorders>
                          <w:tl2br w:val="nil"/>
                          <w:tr2bl w:val="nil"/>
                        </w:tcBorders>
                        <w:shd w:val="clear" w:color="auto" w:fill="FFFFFF"/>
                        <w:vAlign w:val="center"/>
                      </w:tcPr>
                      <w:p w14:paraId="252CC665">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主控及LoRa电子件</w:t>
                        </w:r>
                      </w:p>
                    </w:tc>
                    <w:tc>
                      <w:tcPr>
                        <w:tcW w:w="1200" w:type="dxa"/>
                        <w:tcBorders>
                          <w:tl2br w:val="nil"/>
                          <w:tr2bl w:val="nil"/>
                        </w:tcBorders>
                        <w:shd w:val="clear" w:color="auto" w:fill="FFFFFF"/>
                        <w:vAlign w:val="center"/>
                      </w:tcPr>
                      <w:p w14:paraId="59DC565B">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260</w:t>
                        </w:r>
                      </w:p>
                    </w:tc>
                    <w:tc>
                      <w:tcPr>
                        <w:tcW w:w="5200" w:type="dxa"/>
                        <w:tcBorders>
                          <w:tl2br w:val="nil"/>
                          <w:tr2bl w:val="nil"/>
                        </w:tcBorders>
                        <w:shd w:val="clear" w:color="auto" w:fill="FFFFFF"/>
                        <w:vAlign w:val="center"/>
                      </w:tcPr>
                      <w:p w14:paraId="403FDD98">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一个主控、两LoRa、天线、串口、存储及调试，待询价</w:t>
                        </w:r>
                      </w:p>
                    </w:tc>
                  </w:tr>
                  <w:tr w14:paraId="40CEE5C0">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100" w:type="dxa"/>
                        <w:tcBorders>
                          <w:tl2br w:val="nil"/>
                          <w:tr2bl w:val="nil"/>
                        </w:tcBorders>
                        <w:shd w:val="clear" w:color="auto" w:fill="FFFFFF"/>
                        <w:vAlign w:val="center"/>
                      </w:tcPr>
                      <w:p w14:paraId="446DA45B">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两压力流量及调理</w:t>
                        </w:r>
                      </w:p>
                    </w:tc>
                    <w:tc>
                      <w:tcPr>
                        <w:tcW w:w="1200" w:type="dxa"/>
                        <w:tcBorders>
                          <w:tl2br w:val="nil"/>
                          <w:tr2bl w:val="nil"/>
                        </w:tcBorders>
                        <w:shd w:val="clear" w:color="auto" w:fill="FFFFFF"/>
                        <w:vAlign w:val="center"/>
                      </w:tcPr>
                      <w:p w14:paraId="62AFB63D">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900</w:t>
                        </w:r>
                      </w:p>
                    </w:tc>
                    <w:tc>
                      <w:tcPr>
                        <w:tcW w:w="5200" w:type="dxa"/>
                        <w:tcBorders>
                          <w:tl2br w:val="nil"/>
                          <w:tr2bl w:val="nil"/>
                        </w:tcBorders>
                        <w:shd w:val="clear" w:color="auto" w:fill="FFFFFF"/>
                        <w:vAlign w:val="center"/>
                      </w:tcPr>
                      <w:p w14:paraId="7AABA066">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流量109、ADC79为查阅时官网展示价；两压力采购额度约680，非报价</w:t>
                        </w:r>
                      </w:p>
                    </w:tc>
                  </w:tr>
                  <w:tr w14:paraId="10E03AB3">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100" w:type="dxa"/>
                        <w:tcBorders>
                          <w:tl2br w:val="nil"/>
                          <w:tr2bl w:val="nil"/>
                        </w:tcBorders>
                        <w:shd w:val="clear" w:color="auto" w:fill="FFFFFF"/>
                        <w:vAlign w:val="center"/>
                      </w:tcPr>
                      <w:p w14:paraId="36DE7D83">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双支路水路材料</w:t>
                        </w:r>
                      </w:p>
                    </w:tc>
                    <w:tc>
                      <w:tcPr>
                        <w:tcW w:w="1200" w:type="dxa"/>
                        <w:tcBorders>
                          <w:tl2br w:val="nil"/>
                          <w:tr2bl w:val="nil"/>
                        </w:tcBorders>
                        <w:shd w:val="clear" w:color="auto" w:fill="FFFFFF"/>
                        <w:vAlign w:val="center"/>
                      </w:tcPr>
                      <w:p w14:paraId="5FF052B4">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400</w:t>
                        </w:r>
                      </w:p>
                    </w:tc>
                    <w:tc>
                      <w:tcPr>
                        <w:tcW w:w="5200" w:type="dxa"/>
                        <w:tcBorders>
                          <w:tl2br w:val="nil"/>
                          <w:tr2bl w:val="nil"/>
                        </w:tcBorders>
                        <w:shd w:val="clear" w:color="auto" w:fill="FFFFFF"/>
                        <w:vAlign w:val="center"/>
                      </w:tcPr>
                      <w:p w14:paraId="35206103">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阀、接头、回水及收集；可调连续水源拟借用</w:t>
                        </w:r>
                      </w:p>
                    </w:tc>
                  </w:tr>
                  <w:tr w14:paraId="53C80AF4">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100" w:type="dxa"/>
                        <w:tcBorders>
                          <w:tl2br w:val="nil"/>
                          <w:tr2bl w:val="nil"/>
                        </w:tcBorders>
                        <w:shd w:val="clear" w:color="auto" w:fill="FFFFFF"/>
                        <w:vAlign w:val="center"/>
                      </w:tcPr>
                      <w:p w14:paraId="7780BEF7">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供电与外壳</w:t>
                        </w:r>
                      </w:p>
                    </w:tc>
                    <w:tc>
                      <w:tcPr>
                        <w:tcW w:w="1200" w:type="dxa"/>
                        <w:tcBorders>
                          <w:tl2br w:val="nil"/>
                          <w:tr2bl w:val="nil"/>
                        </w:tcBorders>
                        <w:shd w:val="clear" w:color="auto" w:fill="FFFFFF"/>
                        <w:vAlign w:val="center"/>
                      </w:tcPr>
                      <w:p w14:paraId="59682718">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200</w:t>
                        </w:r>
                      </w:p>
                    </w:tc>
                    <w:tc>
                      <w:tcPr>
                        <w:tcW w:w="5200" w:type="dxa"/>
                        <w:tcBorders>
                          <w:tl2br w:val="nil"/>
                          <w:tr2bl w:val="nil"/>
                        </w:tcBorders>
                        <w:shd w:val="clear" w:color="auto" w:fill="FFFFFF"/>
                        <w:vAlign w:val="center"/>
                      </w:tcPr>
                      <w:p w14:paraId="42E87495">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台架供电、连接和安装防护，待核对</w:t>
                        </w:r>
                      </w:p>
                    </w:tc>
                  </w:tr>
                  <w:tr w14:paraId="480E9285">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100" w:type="dxa"/>
                        <w:tcBorders>
                          <w:tl2br w:val="nil"/>
                          <w:tr2bl w:val="nil"/>
                        </w:tcBorders>
                        <w:shd w:val="clear" w:color="auto" w:fill="FFFFFF"/>
                        <w:vAlign w:val="center"/>
                      </w:tcPr>
                      <w:p w14:paraId="1B789B44">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记录耗材</w:t>
                        </w:r>
                      </w:p>
                    </w:tc>
                    <w:tc>
                      <w:tcPr>
                        <w:tcW w:w="1200" w:type="dxa"/>
                        <w:tcBorders>
                          <w:tl2br w:val="nil"/>
                          <w:tr2bl w:val="nil"/>
                        </w:tcBorders>
                        <w:shd w:val="clear" w:color="auto" w:fill="FFFFFF"/>
                        <w:vAlign w:val="center"/>
                      </w:tcPr>
                      <w:p w14:paraId="56CC98D8">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100</w:t>
                        </w:r>
                      </w:p>
                    </w:tc>
                    <w:tc>
                      <w:tcPr>
                        <w:tcW w:w="5200" w:type="dxa"/>
                        <w:tcBorders>
                          <w:tl2br w:val="nil"/>
                          <w:tr2bl w:val="nil"/>
                        </w:tcBorders>
                        <w:shd w:val="clear" w:color="auto" w:fill="FFFFFF"/>
                        <w:vAlign w:val="center"/>
                      </w:tcPr>
                      <w:p w14:paraId="456C55C1">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实验记录与必要消耗</w:t>
                        </w:r>
                      </w:p>
                    </w:tc>
                  </w:tr>
                  <w:tr w14:paraId="0C937E48">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100" w:type="dxa"/>
                        <w:tcBorders>
                          <w:tl2br w:val="nil"/>
                          <w:tr2bl w:val="nil"/>
                        </w:tcBorders>
                        <w:shd w:val="clear" w:color="auto" w:fill="FFFFFF"/>
                        <w:vAlign w:val="center"/>
                      </w:tcPr>
                      <w:p w14:paraId="2B2851B8">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调研及返工材料</w:t>
                        </w:r>
                      </w:p>
                    </w:tc>
                    <w:tc>
                      <w:tcPr>
                        <w:tcW w:w="1200" w:type="dxa"/>
                        <w:tcBorders>
                          <w:tl2br w:val="nil"/>
                          <w:tr2bl w:val="nil"/>
                        </w:tcBorders>
                        <w:shd w:val="clear" w:color="auto" w:fill="FFFFFF"/>
                        <w:vAlign w:val="center"/>
                      </w:tcPr>
                      <w:p w14:paraId="2FE59BB0">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140</w:t>
                        </w:r>
                      </w:p>
                    </w:tc>
                    <w:tc>
                      <w:tcPr>
                        <w:tcW w:w="5200" w:type="dxa"/>
                        <w:tcBorders>
                          <w:tl2br w:val="nil"/>
                          <w:tr2bl w:val="nil"/>
                        </w:tcBorders>
                        <w:shd w:val="clear" w:color="auto" w:fill="FFFFFF"/>
                        <w:vAlign w:val="center"/>
                      </w:tcPr>
                      <w:p w14:paraId="48C6C23B">
                        <w:pPr>
                          <w:keepNext/>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按学校允许科目据实调整</w:t>
                        </w:r>
                      </w:p>
                    </w:tc>
                  </w:tr>
                  <w:tr w14:paraId="55D167C0">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100" w:type="dxa"/>
                        <w:tcBorders>
                          <w:tl2br w:val="nil"/>
                          <w:tr2bl w:val="nil"/>
                        </w:tcBorders>
                        <w:shd w:val="clear" w:color="auto" w:fill="FFFFFF"/>
                        <w:vAlign w:val="center"/>
                      </w:tcPr>
                      <w:p w14:paraId="589CA9B8">
                        <w:pPr>
                          <w:keepNext w:val="0"/>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合计</w:t>
                        </w:r>
                      </w:p>
                    </w:tc>
                    <w:tc>
                      <w:tcPr>
                        <w:tcW w:w="1200" w:type="dxa"/>
                        <w:tcBorders>
                          <w:tl2br w:val="nil"/>
                          <w:tr2bl w:val="nil"/>
                        </w:tcBorders>
                        <w:shd w:val="clear" w:color="auto" w:fill="FFFFFF"/>
                        <w:vAlign w:val="center"/>
                      </w:tcPr>
                      <w:p w14:paraId="560574DC">
                        <w:pPr>
                          <w:keepNext w:val="0"/>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2000</w:t>
                        </w:r>
                      </w:p>
                    </w:tc>
                    <w:tc>
                      <w:tcPr>
                        <w:tcW w:w="5200" w:type="dxa"/>
                        <w:tcBorders>
                          <w:tl2br w:val="nil"/>
                          <w:tr2bl w:val="nil"/>
                        </w:tcBorders>
                        <w:shd w:val="clear" w:color="auto" w:fill="FFFFFF"/>
                        <w:vAlign w:val="center"/>
                      </w:tcPr>
                      <w:p w14:paraId="6D0A343E">
                        <w:pPr>
                          <w:keepNext w:val="0"/>
                          <w:keepLines/>
                          <w:spacing w:beforeLines="50" w:after="4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启动估算，不是已获资助或报价</w:t>
                        </w:r>
                      </w:p>
                    </w:tc>
                  </w:tr>
                </w:tbl>
                <w:p w14:paraId="046B9608">
                  <w:pPr>
                    <w:keepNext w:val="0"/>
                    <w:keepLines/>
                    <w:spacing w:beforeLines="50" w:after="100" w:line="240" w:lineRule="auto"/>
                    <w:jc w:val="left"/>
                    <w:rPr>
                      <w:rFonts w:hint="default" w:ascii="Times New Roman" w:hAnsi="Times New Roman" w:cs="Times New Roman"/>
                      <w:sz w:val="21"/>
                      <w:szCs w:val="28"/>
                      <w:vertAlign w:val="baseline"/>
                      <w:lang w:val="en-US" w:eastAsia="zh-CN"/>
                    </w:rPr>
                  </w:pPr>
                </w:p>
              </w:tc>
            </w:tr>
          </w:tbl>
          <w:p w14:paraId="74BDCBF4">
            <w:pPr>
              <w:keepNext w:val="0"/>
              <w:keepLines/>
              <w:spacing w:beforeLines="50" w:after="100" w:line="240" w:lineRule="auto"/>
              <w:jc w:val="left"/>
              <w:rPr>
                <w:rFonts w:hint="default" w:ascii="Times New Roman" w:hAnsi="Times New Roman" w:eastAsia="宋体" w:cs="Times New Roman"/>
                <w:sz w:val="21"/>
                <w:szCs w:val="28"/>
                <w:lang w:val="en-US" w:eastAsia="zh-CN"/>
              </w:rPr>
            </w:pPr>
          </w:p>
          <w:p w14:paraId="1EB27D79">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预算以已有电脑、借用参考仪器及可调连续水源为前提，不含整套泵站、新参考设备、论文费用与多节点。压力报价超额或水源不能借用时，须重编经费并落实条件。资源未落实不列为已具备；成员、导师及学校签字意见由本人和相应单位填写。</w:t>
            </w:r>
          </w:p>
        </w:tc>
      </w:tr>
      <w:tr w14:paraId="6F81B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2" w:hRule="atLeast"/>
          <w:jc w:val="center"/>
        </w:trPr>
        <w:tc>
          <w:tcPr>
            <w:tcW w:w="2815" w:type="dxa"/>
            <w:gridSpan w:val="5"/>
            <w:noWrap w:val="0"/>
            <w:vAlign w:val="top"/>
          </w:tcPr>
          <w:p w14:paraId="483188C1">
            <w:pPr>
              <w:keepNext/>
              <w:pageBreakBefore/>
              <w:spacing w:before="156" w:beforeLines="50"/>
              <w:rPr>
                <w:rFonts w:hint="eastAsia" w:eastAsia="宋体"/>
                <w:b/>
                <w:sz w:val="21"/>
                <w:lang w:eastAsia="zh-CN"/>
              </w:rPr>
            </w:pPr>
            <w:r>
              <w:rPr>
                <w:rFonts w:hint="eastAsia" w:eastAsia="宋体"/>
                <w:b/>
                <w:sz w:val="21"/>
                <w:lang w:eastAsia="zh-CN"/>
              </w:rPr>
              <w:t>项目组成员签字：</w:t>
            </w:r>
          </w:p>
        </w:tc>
        <w:tc>
          <w:tcPr>
            <w:tcW w:w="3050" w:type="dxa"/>
            <w:gridSpan w:val="2"/>
            <w:noWrap w:val="0"/>
            <w:vAlign w:val="top"/>
          </w:tcPr>
          <w:p w14:paraId="7C61512A">
            <w:pPr>
              <w:keepNext/>
              <w:spacing w:before="156" w:beforeLines="50"/>
              <w:rPr>
                <w:rFonts w:hint="eastAsia"/>
                <w:b/>
              </w:rPr>
            </w:pPr>
          </w:p>
        </w:tc>
        <w:tc>
          <w:tcPr>
            <w:tcW w:w="3421" w:type="dxa"/>
            <w:gridSpan w:val="2"/>
            <w:noWrap w:val="0"/>
            <w:vAlign w:val="top"/>
          </w:tcPr>
          <w:p w14:paraId="5D98DB0C">
            <w:pPr>
              <w:keepNext/>
              <w:spacing w:before="156" w:beforeLines="50"/>
              <w:rPr>
                <w:rFonts w:hint="eastAsia"/>
                <w:b/>
              </w:rPr>
            </w:pPr>
          </w:p>
        </w:tc>
      </w:tr>
      <w:tr w14:paraId="08415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2" w:hRule="atLeast"/>
          <w:jc w:val="center"/>
        </w:trPr>
        <w:tc>
          <w:tcPr>
            <w:tcW w:w="2815" w:type="dxa"/>
            <w:gridSpan w:val="5"/>
            <w:noWrap w:val="0"/>
            <w:vAlign w:val="top"/>
          </w:tcPr>
          <w:p w14:paraId="62E76506">
            <w:pPr>
              <w:keepNext/>
              <w:spacing w:before="156" w:beforeLines="50"/>
              <w:rPr>
                <w:rFonts w:hint="eastAsia"/>
                <w:b/>
              </w:rPr>
            </w:pPr>
          </w:p>
        </w:tc>
        <w:tc>
          <w:tcPr>
            <w:tcW w:w="3050" w:type="dxa"/>
            <w:gridSpan w:val="2"/>
            <w:noWrap w:val="0"/>
            <w:vAlign w:val="top"/>
          </w:tcPr>
          <w:p w14:paraId="0D69C33B">
            <w:pPr>
              <w:keepNext/>
              <w:spacing w:before="156" w:beforeLines="50"/>
              <w:rPr>
                <w:rFonts w:hint="eastAsia"/>
                <w:b/>
              </w:rPr>
            </w:pPr>
          </w:p>
        </w:tc>
        <w:tc>
          <w:tcPr>
            <w:tcW w:w="3421" w:type="dxa"/>
            <w:gridSpan w:val="2"/>
            <w:noWrap w:val="0"/>
            <w:vAlign w:val="top"/>
          </w:tcPr>
          <w:p w14:paraId="0C25F1AF">
            <w:pPr>
              <w:keepNext/>
              <w:spacing w:before="156" w:beforeLines="50"/>
              <w:rPr>
                <w:rFonts w:hint="eastAsia"/>
                <w:b/>
              </w:rPr>
            </w:pPr>
          </w:p>
        </w:tc>
      </w:tr>
      <w:tr w14:paraId="00B25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2" w:hRule="atLeast"/>
          <w:jc w:val="center"/>
        </w:trPr>
        <w:tc>
          <w:tcPr>
            <w:tcW w:w="2815" w:type="dxa"/>
            <w:gridSpan w:val="5"/>
            <w:noWrap w:val="0"/>
            <w:vAlign w:val="top"/>
          </w:tcPr>
          <w:p w14:paraId="27BB5455">
            <w:pPr>
              <w:keepNext w:val="0"/>
              <w:spacing w:before="156" w:beforeLines="50"/>
              <w:rPr>
                <w:rFonts w:hint="eastAsia"/>
                <w:b/>
              </w:rPr>
            </w:pPr>
          </w:p>
        </w:tc>
        <w:tc>
          <w:tcPr>
            <w:tcW w:w="3050" w:type="dxa"/>
            <w:gridSpan w:val="2"/>
            <w:noWrap w:val="0"/>
            <w:vAlign w:val="top"/>
          </w:tcPr>
          <w:p w14:paraId="3A802040">
            <w:pPr>
              <w:keepNext w:val="0"/>
              <w:spacing w:before="156" w:beforeLines="50"/>
              <w:rPr>
                <w:rFonts w:hint="eastAsia"/>
                <w:b/>
              </w:rPr>
            </w:pPr>
          </w:p>
        </w:tc>
        <w:tc>
          <w:tcPr>
            <w:tcW w:w="3421" w:type="dxa"/>
            <w:gridSpan w:val="2"/>
            <w:noWrap w:val="0"/>
            <w:vAlign w:val="top"/>
          </w:tcPr>
          <w:p w14:paraId="70AE51B2">
            <w:pPr>
              <w:keepNext w:val="0"/>
              <w:spacing w:before="156" w:beforeLines="50"/>
              <w:rPr>
                <w:rFonts w:hint="eastAsia"/>
                <w:b/>
              </w:rPr>
            </w:pPr>
          </w:p>
        </w:tc>
      </w:tr>
      <w:tr w14:paraId="05984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0" w:hRule="atLeast"/>
          <w:jc w:val="center"/>
        </w:trPr>
        <w:tc>
          <w:tcPr>
            <w:tcW w:w="9286" w:type="dxa"/>
            <w:gridSpan w:val="9"/>
            <w:noWrap w:val="0"/>
            <w:vAlign w:val="top"/>
          </w:tcPr>
          <w:p w14:paraId="24981B29">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指导教师意见：</w:t>
            </w:r>
          </w:p>
          <w:p w14:paraId="4607DE48">
            <w:pPr>
              <w:rPr>
                <w:rFonts w:hint="eastAsia" w:ascii="宋体" w:hAnsi="宋体"/>
              </w:rPr>
            </w:pPr>
          </w:p>
          <w:p w14:paraId="1A5C4FA6">
            <w:pPr>
              <w:rPr>
                <w:rFonts w:hint="eastAsia" w:ascii="宋体" w:hAnsi="宋体"/>
              </w:rPr>
            </w:pPr>
          </w:p>
          <w:p w14:paraId="66873320">
            <w:pPr>
              <w:rPr>
                <w:rFonts w:hint="eastAsia" w:ascii="宋体" w:hAnsi="宋体"/>
              </w:rPr>
            </w:pPr>
          </w:p>
          <w:p w14:paraId="6B43064C">
            <w:pPr>
              <w:rPr>
                <w:rFonts w:hint="eastAsia" w:ascii="宋体" w:hAnsi="宋体"/>
              </w:rPr>
            </w:pPr>
          </w:p>
          <w:p w14:paraId="368029A8">
            <w:pPr>
              <w:rPr>
                <w:rFonts w:hint="eastAsia" w:ascii="宋体" w:hAnsi="宋体"/>
              </w:rPr>
            </w:pPr>
          </w:p>
          <w:p w14:paraId="03831EFA">
            <w:pPr>
              <w:rPr>
                <w:rFonts w:hint="eastAsia" w:ascii="宋体" w:hAnsi="宋体"/>
              </w:rPr>
            </w:pPr>
          </w:p>
          <w:p w14:paraId="664EF97C">
            <w:pPr>
              <w:rPr>
                <w:rFonts w:hint="eastAsia" w:ascii="宋体" w:hAnsi="宋体"/>
              </w:rPr>
            </w:pPr>
          </w:p>
          <w:p w14:paraId="1B536311">
            <w:pPr>
              <w:rPr>
                <w:rFonts w:hint="eastAsia" w:ascii="宋体" w:hAnsi="宋体"/>
              </w:rPr>
            </w:pPr>
          </w:p>
          <w:p w14:paraId="18B48F3F">
            <w:pPr>
              <w:rPr>
                <w:rFonts w:hint="eastAsia" w:ascii="宋体" w:hAnsi="宋体"/>
              </w:rPr>
            </w:pPr>
          </w:p>
          <w:p w14:paraId="2D04C70A">
            <w:pPr>
              <w:rPr>
                <w:rFonts w:hint="eastAsia" w:ascii="宋体" w:hAnsi="宋体"/>
                <w:szCs w:val="21"/>
              </w:rPr>
            </w:pPr>
          </w:p>
          <w:p w14:paraId="479787C2">
            <w:pPr>
              <w:spacing w:before="156" w:beforeLines="50"/>
              <w:rPr>
                <w:rFonts w:hint="eastAsia" w:ascii="黑体" w:hAnsi="黑体" w:eastAsia="黑体" w:cs="Times New Roman"/>
                <w:sz w:val="22"/>
                <w:szCs w:val="28"/>
              </w:rPr>
            </w:pPr>
            <w:r>
              <w:rPr>
                <w:rFonts w:hint="eastAsia" w:ascii="宋体" w:hAnsi="宋体"/>
                <w:szCs w:val="21"/>
              </w:rPr>
              <w:t xml:space="preserve">                                               </w:t>
            </w:r>
            <w:r>
              <w:rPr>
                <w:rFonts w:hint="eastAsia" w:ascii="黑体" w:hAnsi="黑体" w:eastAsia="黑体" w:cs="Times New Roman"/>
                <w:sz w:val="22"/>
                <w:szCs w:val="28"/>
              </w:rPr>
              <w:t xml:space="preserve"> 签    名： </w:t>
            </w:r>
          </w:p>
          <w:p w14:paraId="63280502">
            <w:pPr>
              <w:spacing w:before="156" w:beforeLines="50"/>
              <w:ind w:firstLine="6600" w:firstLineChars="3000"/>
              <w:rPr>
                <w:rFonts w:hint="eastAsia"/>
                <w:b/>
              </w:rPr>
            </w:pPr>
            <w:r>
              <w:rPr>
                <w:rFonts w:hint="eastAsia" w:ascii="黑体" w:hAnsi="黑体" w:eastAsia="黑体" w:cs="Times New Roman"/>
                <w:sz w:val="22"/>
                <w:szCs w:val="28"/>
              </w:rPr>
              <w:t>年     月     日</w:t>
            </w:r>
          </w:p>
        </w:tc>
      </w:tr>
      <w:tr w14:paraId="61C13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7" w:hRule="atLeast"/>
          <w:jc w:val="center"/>
        </w:trPr>
        <w:tc>
          <w:tcPr>
            <w:tcW w:w="9286" w:type="dxa"/>
            <w:gridSpan w:val="9"/>
            <w:noWrap w:val="0"/>
            <w:vAlign w:val="top"/>
          </w:tcPr>
          <w:p w14:paraId="19F49381">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学院意见：</w:t>
            </w:r>
          </w:p>
          <w:p w14:paraId="0BD6319F">
            <w:pPr>
              <w:rPr>
                <w:rFonts w:hint="eastAsia" w:ascii="宋体" w:hAnsi="宋体"/>
              </w:rPr>
            </w:pPr>
          </w:p>
          <w:p w14:paraId="026F6AD4">
            <w:pPr>
              <w:rPr>
                <w:rFonts w:hint="eastAsia" w:ascii="宋体" w:hAnsi="宋体"/>
              </w:rPr>
            </w:pPr>
          </w:p>
          <w:p w14:paraId="2C7A695B">
            <w:pPr>
              <w:rPr>
                <w:rFonts w:hint="eastAsia" w:ascii="宋体" w:hAnsi="宋体"/>
              </w:rPr>
            </w:pPr>
          </w:p>
          <w:p w14:paraId="66D6E535">
            <w:pPr>
              <w:rPr>
                <w:rFonts w:hint="eastAsia" w:ascii="宋体" w:hAnsi="宋体"/>
              </w:rPr>
            </w:pPr>
          </w:p>
          <w:p w14:paraId="074B51EB">
            <w:pPr>
              <w:rPr>
                <w:rFonts w:hint="eastAsia" w:ascii="宋体" w:hAnsi="宋体"/>
              </w:rPr>
            </w:pPr>
          </w:p>
          <w:p w14:paraId="50FFECD8">
            <w:pPr>
              <w:rPr>
                <w:rFonts w:hint="eastAsia" w:ascii="宋体" w:hAnsi="宋体"/>
              </w:rPr>
            </w:pPr>
          </w:p>
          <w:p w14:paraId="640BAFDD">
            <w:pPr>
              <w:rPr>
                <w:rFonts w:hint="eastAsia" w:ascii="宋体" w:hAnsi="宋体"/>
              </w:rPr>
            </w:pPr>
          </w:p>
          <w:p w14:paraId="5C0F4163">
            <w:pPr>
              <w:rPr>
                <w:rFonts w:hint="eastAsia" w:ascii="宋体" w:hAnsi="宋体"/>
              </w:rPr>
            </w:pPr>
          </w:p>
          <w:p w14:paraId="2AF6DA9D">
            <w:pPr>
              <w:rPr>
                <w:rFonts w:hint="eastAsia" w:ascii="宋体" w:hAnsi="宋体"/>
              </w:rPr>
            </w:pPr>
          </w:p>
          <w:p w14:paraId="66B808B7">
            <w:pPr>
              <w:rPr>
                <w:rFonts w:hint="eastAsia" w:ascii="宋体" w:hAnsi="宋体"/>
              </w:rPr>
            </w:pPr>
          </w:p>
          <w:p w14:paraId="36DB72CE">
            <w:pPr>
              <w:spacing w:before="156" w:beforeLines="50"/>
              <w:rPr>
                <w:rFonts w:hint="eastAsia" w:ascii="黑体" w:hAnsi="黑体" w:eastAsia="黑体" w:cs="Times New Roman"/>
                <w:sz w:val="22"/>
                <w:szCs w:val="28"/>
              </w:rPr>
            </w:pPr>
            <w:r>
              <w:rPr>
                <w:rFonts w:hint="eastAsia" w:ascii="宋体" w:hAnsi="宋体"/>
                <w:szCs w:val="21"/>
              </w:rPr>
              <w:t xml:space="preserve">                                                </w:t>
            </w:r>
            <w:r>
              <w:rPr>
                <w:rFonts w:hint="eastAsia" w:ascii="黑体" w:hAnsi="黑体" w:eastAsia="黑体" w:cs="Times New Roman"/>
                <w:sz w:val="22"/>
                <w:szCs w:val="28"/>
              </w:rPr>
              <w:t xml:space="preserve">签名盖章： </w:t>
            </w:r>
          </w:p>
          <w:p w14:paraId="67650883">
            <w:pPr>
              <w:spacing w:before="156" w:beforeLines="50"/>
              <w:ind w:firstLine="6600" w:firstLineChars="3000"/>
              <w:rPr>
                <w:rFonts w:hint="eastAsia"/>
                <w:b/>
              </w:rPr>
            </w:pPr>
            <w:r>
              <w:rPr>
                <w:rFonts w:hint="eastAsia" w:ascii="黑体" w:hAnsi="黑体" w:eastAsia="黑体" w:cs="Times New Roman"/>
                <w:sz w:val="22"/>
                <w:szCs w:val="28"/>
              </w:rPr>
              <w:t>年     月     日</w:t>
            </w:r>
          </w:p>
        </w:tc>
      </w:tr>
      <w:tr w14:paraId="2B56C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6" w:hRule="atLeast"/>
          <w:jc w:val="center"/>
        </w:trPr>
        <w:tc>
          <w:tcPr>
            <w:tcW w:w="9286" w:type="dxa"/>
            <w:gridSpan w:val="9"/>
            <w:noWrap w:val="0"/>
            <w:vAlign w:val="top"/>
          </w:tcPr>
          <w:p w14:paraId="2707C132">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学校意见：</w:t>
            </w:r>
          </w:p>
          <w:p w14:paraId="57B53D99">
            <w:pPr>
              <w:spacing w:before="156" w:beforeLines="50"/>
              <w:rPr>
                <w:rFonts w:hint="eastAsia" w:ascii="黑体" w:hAnsi="黑体" w:eastAsia="黑体" w:cs="Times New Roman"/>
                <w:sz w:val="22"/>
                <w:szCs w:val="28"/>
              </w:rPr>
            </w:pPr>
          </w:p>
          <w:p w14:paraId="50BABC85">
            <w:pPr>
              <w:spacing w:before="156" w:beforeLines="50"/>
              <w:rPr>
                <w:rFonts w:hint="eastAsia" w:ascii="黑体" w:hAnsi="黑体" w:eastAsia="黑体" w:cs="Times New Roman"/>
                <w:sz w:val="22"/>
                <w:szCs w:val="28"/>
              </w:rPr>
            </w:pPr>
          </w:p>
          <w:p w14:paraId="7F132DBF">
            <w:pPr>
              <w:spacing w:before="156" w:beforeLines="50"/>
              <w:rPr>
                <w:rFonts w:hint="eastAsia" w:ascii="黑体" w:hAnsi="黑体" w:eastAsia="黑体" w:cs="Times New Roman"/>
                <w:sz w:val="22"/>
                <w:szCs w:val="28"/>
              </w:rPr>
            </w:pPr>
          </w:p>
          <w:p w14:paraId="1274ED38">
            <w:pPr>
              <w:spacing w:before="156" w:beforeLines="50"/>
              <w:rPr>
                <w:rFonts w:hint="eastAsia" w:ascii="黑体" w:hAnsi="黑体" w:eastAsia="黑体" w:cs="Times New Roman"/>
                <w:sz w:val="22"/>
                <w:szCs w:val="28"/>
              </w:rPr>
            </w:pPr>
            <w:r>
              <w:rPr>
                <w:rFonts w:hint="eastAsia" w:ascii="黑体" w:hAnsi="黑体" w:eastAsia="黑体" w:cs="Times New Roman"/>
                <w:sz w:val="22"/>
                <w:szCs w:val="28"/>
                <w:lang/>
              </w:rPr>
              <w:pict>
                <v:shape id="_x0000_s1030" o:spid="_x0000_s1030" o:spt="202" type="#_x0000_t202" style="position:absolute;left:0pt;margin-left:123.75pt;margin-top:6.15pt;height:15.6pt;width:18pt;z-index:251659264;mso-width-relative:page;mso-height-relative:page;" coordsize="21600,21600">
                  <v:path/>
                  <v:fill focussize="0,0"/>
                  <v:stroke/>
                  <v:imagedata o:title=""/>
                  <o:lock v:ext="edit"/>
                  <v:textbox>
                    <w:txbxContent>
                      <w:p w14:paraId="69E67DC4"/>
                    </w:txbxContent>
                  </v:textbox>
                </v:shape>
              </w:pict>
            </w:r>
            <w:r>
              <w:rPr>
                <w:rFonts w:hint="eastAsia" w:ascii="黑体" w:hAnsi="黑体" w:eastAsia="黑体" w:cs="Times New Roman"/>
                <w:sz w:val="22"/>
                <w:szCs w:val="28"/>
                <w:lang/>
              </w:rPr>
              <w:pict>
                <v:shape id="_x0000_s1031" o:spid="_x0000_s1031" o:spt="202" type="#_x0000_t202" style="position:absolute;left:0pt;margin-left:250.6pt;margin-top:5.6pt;height:15.6pt;width:18pt;z-index:251660288;mso-width-relative:page;mso-height-relative:page;" coordsize="21600,21600">
                  <v:path/>
                  <v:fill focussize="0,0"/>
                  <v:stroke/>
                  <v:imagedata o:title=""/>
                  <o:lock v:ext="edit"/>
                  <v:textbox>
                    <w:txbxContent>
                      <w:p w14:paraId="14CF1147"/>
                    </w:txbxContent>
                  </v:textbox>
                </v:shape>
              </w:pict>
            </w:r>
            <w:r>
              <w:rPr>
                <w:rFonts w:hint="eastAsia" w:ascii="黑体" w:hAnsi="黑体" w:eastAsia="黑体" w:cs="Times New Roman"/>
                <w:sz w:val="22"/>
                <w:szCs w:val="28"/>
              </w:rPr>
              <w:t>同意立项级别：   校级                  国家级</w:t>
            </w:r>
          </w:p>
          <w:p w14:paraId="299B5899">
            <w:pPr>
              <w:rPr>
                <w:rFonts w:hint="eastAsia"/>
                <w:b/>
              </w:rPr>
            </w:pPr>
          </w:p>
          <w:p w14:paraId="7E62B676">
            <w:pPr>
              <w:spacing w:before="156" w:beforeLines="50"/>
              <w:rPr>
                <w:rFonts w:hint="eastAsia" w:ascii="黑体" w:hAnsi="黑体" w:eastAsia="黑体" w:cs="Times New Roman"/>
                <w:sz w:val="22"/>
                <w:szCs w:val="28"/>
              </w:rPr>
            </w:pPr>
          </w:p>
          <w:p w14:paraId="254A894D">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 xml:space="preserve">                                                签名盖章： </w:t>
            </w:r>
          </w:p>
          <w:p w14:paraId="14DB8061">
            <w:pPr>
              <w:spacing w:before="156" w:beforeLines="50"/>
              <w:ind w:firstLine="6600" w:firstLineChars="3000"/>
              <w:rPr>
                <w:rFonts w:hint="eastAsia"/>
                <w:b/>
              </w:rPr>
            </w:pPr>
            <w:r>
              <w:rPr>
                <w:rFonts w:hint="eastAsia" w:ascii="黑体" w:hAnsi="黑体" w:eastAsia="黑体" w:cs="Times New Roman"/>
                <w:sz w:val="22"/>
                <w:szCs w:val="28"/>
              </w:rPr>
              <w:t>年     月     日</w:t>
            </w:r>
          </w:p>
        </w:tc>
      </w:tr>
    </w:tbl>
    <w:p w14:paraId="03BF8C7D">
      <w:pPr>
        <w:spacing w:line="360" w:lineRule="auto"/>
        <w:rPr>
          <w:rFonts w:hint="eastAsia"/>
        </w:rPr>
      </w:pPr>
    </w:p>
    <w:sectPr>
      <w:footerReference r:id="rId3" w:type="default"/>
      <w:pgSz w:w="11906" w:h="16838"/>
      <w:pgMar w:top="1418" w:right="1418" w:bottom="1418" w:left="1418" w:header="851" w:footer="992" w:gutter="0"/>
      <w:pgBorders>
        <w:top w:val="none" w:sz="0" w:space="0"/>
        <w:left w:val="none" w:sz="0" w:space="0"/>
        <w:bottom w:val="none" w:sz="0" w:space="0"/>
        <w:right w:val="none" w:sz="0" w:space="0"/>
      </w:pgBorders>
      <w:pgNumType w:fmt="numberInDash"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2"/>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4AA643E1-97A0-46F6-8824-EFFC07B0CEAD}"/>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panose1 w:val="02000000000000000000"/>
    <w:charset w:val="86"/>
    <w:family w:val="auto"/>
    <w:pitch w:val="default"/>
    <w:sig w:usb0="00000001" w:usb1="08000000" w:usb2="00000000" w:usb3="00000000" w:csb0="00040000" w:csb1="00000000"/>
    <w:embedRegular r:id="rId2" w:fontKey="{77990AB6-4AC9-4062-8FF5-7634C38B02A7}"/>
  </w:font>
  <w:font w:name="小标宋">
    <w:altName w:val="微软雅黑"/>
    <w:panose1 w:val="03000509000000000000"/>
    <w:charset w:val="86"/>
    <w:family w:val="auto"/>
    <w:pitch w:val="default"/>
    <w:sig w:usb0="00000001" w:usb1="080E0000" w:usb2="00000000" w:usb3="00000000" w:csb0="00040000" w:csb1="00000000"/>
    <w:embedRegular r:id="rId3" w:fontKey="{57D134F4-AB92-438C-9C57-68CE2DAEA581}"/>
  </w:font>
  <w:font w:name="楷体_GB2312">
    <w:altName w:val="楷体"/>
    <w:panose1 w:val="02010609030101010101"/>
    <w:charset w:val="86"/>
    <w:family w:val="modern"/>
    <w:pitch w:val="default"/>
    <w:sig w:usb0="00000001" w:usb1="080E0000" w:usb2="00000000" w:usb3="00000000" w:csb0="00040000" w:csb1="00000000"/>
    <w:embedRegular r:id="rId4" w:fontKey="{FAAD725C-D458-450A-BEB7-3B7D8C5634BA}"/>
  </w:font>
  <w:font w:name="仿宋_GB2312">
    <w:altName w:val="仿宋"/>
    <w:panose1 w:val="02010609030101010101"/>
    <w:charset w:val="86"/>
    <w:family w:val="modern"/>
    <w:pitch w:val="default"/>
    <w:sig w:usb0="00000001" w:usb1="080E0000" w:usb2="00000000" w:usb3="00000000" w:csb0="00040000" w:csb1="00000000"/>
    <w:embedRegular r:id="rId5" w:fontKey="{35940CA1-F31C-432F-AB03-AC413621C641}"/>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DCE0B">
    <w:pPr>
      <w:pStyle w:val="2"/>
    </w:pPr>
    <w:r>
      <w:rPr>
        <w:sz w:val="18"/>
      </w:rPr>
      <w:pict>
        <v:shape id="_x0000_s2049" o:spid="_x0000_s2049" o:spt="202" type="#_x0000_t202" style="position:absolute;left:0pt;margin-top:0pt;height:144pt;width:144pt;mso-position-horizontal:outside;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3CEC165B">
                <w:pPr>
                  <w:pStyle w:val="2"/>
                  <w:rPr>
                    <w:rStyle w:val="8"/>
                    <w:sz w:val="21"/>
                    <w:szCs w:val="21"/>
                  </w:rPr>
                </w:pPr>
                <w:r>
                  <w:rPr>
                    <w:sz w:val="21"/>
                    <w:szCs w:val="21"/>
                  </w:rPr>
                  <w:fldChar w:fldCharType="begin"/>
                </w:r>
                <w:r>
                  <w:rPr>
                    <w:rStyle w:val="8"/>
                    <w:sz w:val="21"/>
                    <w:szCs w:val="21"/>
                  </w:rPr>
                  <w:instrText xml:space="preserve">PAGE  </w:instrText>
                </w:r>
                <w:r>
                  <w:rPr>
                    <w:sz w:val="21"/>
                    <w:szCs w:val="21"/>
                  </w:rPr>
                  <w:fldChar w:fldCharType="separate"/>
                </w:r>
                <w:r>
                  <w:rPr>
                    <w:rStyle w:val="8"/>
                    <w:sz w:val="21"/>
                    <w:szCs w:val="21"/>
                  </w:rPr>
                  <w:t>1</w:t>
                </w:r>
                <w:r>
                  <w:rPr>
                    <w:sz w:val="21"/>
                    <w:szCs w:val="21"/>
                  </w:rPr>
                  <w:fldChar w:fldCharType="end"/>
                </w:r>
              </w:p>
            </w:txbxContent>
          </v:textbox>
        </v:shape>
      </w:pic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embedTrueTypeFonts/>
  <w:saveSubset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OTMzYjIwYzMzODc2NjE0NzQwOTYwODUwNWRkNGVkZmIifQ=="/>
  </w:docVars>
  <w:rsids>
    <w:rsidRoot w:val="00C848A6"/>
    <w:rsid w:val="00007206"/>
    <w:rsid w:val="00094439"/>
    <w:rsid w:val="000B0BBE"/>
    <w:rsid w:val="001321B4"/>
    <w:rsid w:val="001558B9"/>
    <w:rsid w:val="0016391F"/>
    <w:rsid w:val="001A4A23"/>
    <w:rsid w:val="0021063B"/>
    <w:rsid w:val="00227945"/>
    <w:rsid w:val="00227EF5"/>
    <w:rsid w:val="002C5B40"/>
    <w:rsid w:val="00346C40"/>
    <w:rsid w:val="0036480C"/>
    <w:rsid w:val="00366E15"/>
    <w:rsid w:val="00376DDE"/>
    <w:rsid w:val="003B5EBD"/>
    <w:rsid w:val="003D34BA"/>
    <w:rsid w:val="003D4D06"/>
    <w:rsid w:val="004369A3"/>
    <w:rsid w:val="00440A03"/>
    <w:rsid w:val="00466C07"/>
    <w:rsid w:val="004746B0"/>
    <w:rsid w:val="004F22DA"/>
    <w:rsid w:val="00500FB0"/>
    <w:rsid w:val="005168B9"/>
    <w:rsid w:val="00540D59"/>
    <w:rsid w:val="005A367C"/>
    <w:rsid w:val="005A3C70"/>
    <w:rsid w:val="00617FD6"/>
    <w:rsid w:val="0065045A"/>
    <w:rsid w:val="0067113C"/>
    <w:rsid w:val="00673330"/>
    <w:rsid w:val="00695972"/>
    <w:rsid w:val="006B759E"/>
    <w:rsid w:val="006D5FED"/>
    <w:rsid w:val="006F599E"/>
    <w:rsid w:val="00792927"/>
    <w:rsid w:val="00793754"/>
    <w:rsid w:val="007B1B7E"/>
    <w:rsid w:val="00825FB4"/>
    <w:rsid w:val="00875D37"/>
    <w:rsid w:val="00894C41"/>
    <w:rsid w:val="008B5C9F"/>
    <w:rsid w:val="00906023"/>
    <w:rsid w:val="00981B0B"/>
    <w:rsid w:val="009A1991"/>
    <w:rsid w:val="009B2B37"/>
    <w:rsid w:val="009C01DA"/>
    <w:rsid w:val="009C0D1E"/>
    <w:rsid w:val="00A15C74"/>
    <w:rsid w:val="00A4021B"/>
    <w:rsid w:val="00A53F98"/>
    <w:rsid w:val="00A74A96"/>
    <w:rsid w:val="00AA3B49"/>
    <w:rsid w:val="00AC1F0A"/>
    <w:rsid w:val="00B128D9"/>
    <w:rsid w:val="00B56C05"/>
    <w:rsid w:val="00BD7EF6"/>
    <w:rsid w:val="00C25CC3"/>
    <w:rsid w:val="00C314D5"/>
    <w:rsid w:val="00C52A54"/>
    <w:rsid w:val="00C57E77"/>
    <w:rsid w:val="00C848A6"/>
    <w:rsid w:val="00CC794E"/>
    <w:rsid w:val="00CE5CF8"/>
    <w:rsid w:val="00D34D58"/>
    <w:rsid w:val="00D54048"/>
    <w:rsid w:val="00D84D7E"/>
    <w:rsid w:val="00DD0614"/>
    <w:rsid w:val="00DD15E9"/>
    <w:rsid w:val="00E60B11"/>
    <w:rsid w:val="00EB3A75"/>
    <w:rsid w:val="00EC5E67"/>
    <w:rsid w:val="00F12D65"/>
    <w:rsid w:val="00F2648B"/>
    <w:rsid w:val="00F33FF4"/>
    <w:rsid w:val="00F75A7A"/>
    <w:rsid w:val="00FB2D8D"/>
    <w:rsid w:val="00FE3393"/>
    <w:rsid w:val="010E6BD3"/>
    <w:rsid w:val="05C375FE"/>
    <w:rsid w:val="0B0419E3"/>
    <w:rsid w:val="0F8A271E"/>
    <w:rsid w:val="18A40355"/>
    <w:rsid w:val="19F92A7C"/>
    <w:rsid w:val="2B7175E9"/>
    <w:rsid w:val="391E4B76"/>
    <w:rsid w:val="46006614"/>
    <w:rsid w:val="50BC0C37"/>
    <w:rsid w:val="532474A3"/>
    <w:rsid w:val="59A6479A"/>
    <w:rsid w:val="5C4F0B22"/>
    <w:rsid w:val="5DAE1817"/>
    <w:rsid w:val="5FC33C0F"/>
    <w:rsid w:val="61892ED4"/>
    <w:rsid w:val="62864897"/>
    <w:rsid w:val="63F4655B"/>
    <w:rsid w:val="7A0F27A6"/>
    <w:rsid w:val="7C076AB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unhideWhenUsed="0" w:uiPriority="0" w:semiHidden="0" w:name="heading 7"/>
    <w:lsdException w:unhideWhenUsed="0" w:uiPriority="0" w:semiHidden="0" w:name="heading 8"/>
    <w:lsdException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jc w:val="both"/>
    </w:pPr>
    <w:rPr>
      <w:rFonts w:eastAsia="宋体"/>
      <w:kern w:val="2"/>
      <w:sz w:val="21"/>
      <w:szCs w:val="24"/>
      <w:lang w:val="en-US" w:eastAsia="zh-CN" w:bidi="ar-SA"/>
    </w:rPr>
  </w:style>
  <w:style w:type="character" w:default="1" w:styleId="7">
    <w:name w:val="Default Paragraph Font"/>
    <w:semiHidden/>
    <w:uiPriority w:val="0"/>
  </w:style>
  <w:style w:type="table" w:default="1" w:styleId="5">
    <w:name w:val="Normal Table"/>
    <w:semiHidden/>
    <w:uiPriority w:val="0"/>
    <w:tblPr>
      <w:tblStyle w:val="5"/>
      <w:tblCellMar>
        <w:top w:w="0" w:type="dxa"/>
        <w:left w:w="108" w:type="dxa"/>
        <w:bottom w:w="0" w:type="dxa"/>
        <w:right w:w="108" w:type="dxa"/>
      </w:tblCellMar>
    </w:tblPr>
  </w:style>
  <w:style w:type="paragraph" w:styleId="2">
    <w:name w:val="footer"/>
    <w:basedOn w:val="1"/>
    <w:uiPriority w:val="0"/>
    <w:pPr>
      <w:tabs>
        <w:tab w:val="center" w:pos="4153"/>
        <w:tab w:val="right" w:pos="8306"/>
      </w:tabs>
      <w:snapToGrid w:val="0"/>
      <w:jc w:val="left"/>
    </w:pPr>
    <w:rPr>
      <w:sz w:val="18"/>
      <w:szCs w:val="18"/>
    </w:rPr>
  </w:style>
  <w:style w:type="paragraph" w:styleId="3">
    <w:name w:val="header"/>
    <w:basedOn w:val="1"/>
    <w:uiPriority w:val="0"/>
    <w:pPr>
      <w:pBdr>
        <w:bottom w:val="single" w:color="auto" w:sz="6" w:space="1"/>
      </w:pBdr>
      <w:tabs>
        <w:tab w:val="center" w:pos="4153"/>
        <w:tab w:val="right" w:pos="8306"/>
      </w:tabs>
      <w:snapToGrid w:val="0"/>
      <w:jc w:val="center"/>
    </w:pPr>
    <w:rPr>
      <w:sz w:val="18"/>
      <w:szCs w:val="18"/>
    </w:rPr>
  </w:style>
  <w:style w:type="paragraph" w:styleId="4">
    <w:name w:val="Normal (Web)"/>
    <w:basedOn w:val="1"/>
    <w:uiPriority w:val="0"/>
    <w:pPr>
      <w:spacing w:before="100" w:beforeAutospacing="1" w:after="100" w:afterAutospacing="1"/>
      <w:ind w:left="0" w:right="0"/>
      <w:jc w:val="left"/>
    </w:pPr>
    <w:rPr>
      <w:kern w:val="0"/>
      <w:sz w:val="24"/>
      <w:lang w:val="en-US" w:eastAsia="zh-CN" w:bidi="ar"/>
    </w:rPr>
  </w:style>
  <w:style w:type="table" w:styleId="6">
    <w:name w:val="Table Grid"/>
    <w:basedOn w:val="5"/>
    <w:uiPriority w:val="0"/>
    <w:pPr>
      <w:widowControl w:val="0"/>
      <w:jc w:val="both"/>
    </w:pPr>
    <w:rPr>
      <w:rFonts w:eastAsia="宋体"/>
    </w:rPr>
    <w:tblPr>
      <w:tblStyle w:val="5"/>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page number"/>
    <w:basedOn w:val="7"/>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textRotate="1"/>
    <customShpInfo spid="_x0000_s1030"/>
    <customShpInfo spid="_x0000_s103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Lenovo</Company>
  <Pages>22</Pages>
  <Words>477</Words>
  <Characters>481</Characters>
  <Lines>7</Lines>
  <Paragraphs>2</Paragraphs>
  <TotalTime>0</TotalTime>
  <ScaleCrop>false</ScaleCrop>
  <LinksUpToDate>false</LinksUpToDate>
  <CharactersWithSpaces>761</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2012-03-22T01:26:00Z</dcterms:created>
  <dc:creator>liangqs</dc:creator>
  <cp:lastModifiedBy>当问春风</cp:lastModifiedBy>
  <cp:lastPrinted>2022-10-26T02:38:36Z</cp:lastPrinted>
  <dcterms:modified xsi:type="dcterms:W3CDTF">2026-10-03T20:01:19Z</dcterms:modified>
  <dc:title>华南理工大学</dc:title>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92DF7B0AB4D0495093862D0D0B3805AE_13</vt:lpwstr>
  </property>
</Properties>
</file>