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Times New Roman" w:hAnsi="Times New Roman" w:eastAsia="宋体"/>
                      <w:sz w:val="21"/>
                      <w:szCs w:val="21"/>
                    </w:rPr>
                    <w:t>本项目面向南疆规模化棉田膜下滴灌的支管巡检，研制集双压力—流量感知、异常诊断、LoRa传输和巡检管理于一体的物联网原型系统。围绕泄漏、局部过流受限与正常供压变化容易混淆的问题，研究健康参照约束下的联合诊断，形成支管及测点区段的异常提示。以固定频率采集建立测量基线，设置短窗关注与主窗确认，并研究事件触发分级采集的响应与开销取舍；采用事件优先缓存、接收确认和有界恢复传输，保持测量质量及事件身份的一致性。通过双支路清水台架、独立参考测量和无线对照评价误报、漏检、有效提前量及远端延迟，完成原型、实验数据、研究报告和控制请求演示，为多支管协同监测及后续隔离控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将传感测量、嵌入式采集、无线通信与巡检管理结合起来，形成从支管状态感知到异常核查的完整研制任务。前期已完成台架概念设计、集中参数模型和离线平台，具备开展测点布置、方法选择与软件联调的基础。实施过程中拟依次完成独立标定、节点开发和台架试验，建立观测数据与故障操作记录的对应关系，研制能够提供核查依据的原型系统，为南疆棉田支管巡检提供可复用的技术方案。</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总体目标是研制能够采集支管状态、形成异常线索、可靠接收事件并支持巡检复核的物联网原型系统。系统由双压力—流量感知节点、LoRa接收端和本地Web平台组成，依次完成参考标定、健康建模、质量检查、异常诊断、无线接收及处置复测。研究围绕联合观测的可辨识边界和采集通信策略的响应代价展开：先建立固定1Hz测量基线，再比较分级采集及事件优先传输。双支路清水台架承担可重复验证；控制采用软件模拟和执行接口预留，使感知、诊断与处置在同一系统中衔接。</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职责和数据交互。节点承担采集调度、初步诊断、事件缓存和模拟控制输出；接收模块以串口桥接方式连接计算机，接收服务完成校验、去重和SQLite事务存储，Web平台保存巡检及指令状态。参考测量和故障操作标签独立于诊断程序，用于检验输出是否正确。数据提交后的接收确认、模拟指令反馈和人工维护归档分别记录，避免将信息到达解释为实际阀门动作或维护完成。</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886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224.7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E364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225.1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2F6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312.9pt;width:42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验证台架三维布局设计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感知节点设计与测量依据</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台架采用共地采集，24V压力回路经150Ω精密电阻转换为0.6—3.0V信号，经保护与滤波接入3.3V供电的ADS1115，两路结果通过I²C送至主控；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830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315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基线采用1Hz采集和连续脉冲计数，十秒主窗由十一处有效累计端点形成，三秒短窗用于提示需要加密观察的变化。SEN0549按540脉冲/L计算，十秒计数窗口的单脉冲分辨率为0.01111L/min；窗口长度与确认条件共同影响提示时间。每帧保存两路压力转换时刻及计数锁存时刻，迟到、缺测或复位分别记录，窗口仅使用真实有效端点。压力、流量分别采用不少于五个工作点标定，每点至少三次独立读取，并增加升降压、共同压力和容积或称量计时对照，随批次保存参考值及标定残差。</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事件触发采集在固定频率基线通过后开展。正常阶段连续计数并按候选周期读取压力，累计偏离或持续变化触发较短周期；恢复稳定并满足保持时间后返回原周期。触发用于调度采集，不直接认定故障。针对低频观测可能错过短时变化的问题，分别记录未观测区间、触发时刻和实际读取次数，分析渐进故障与短时异常的响应差异，确定策略适用范围。</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采集、完整原始记录与无线发送分别设置。固定1秒读取为当前基线，2秒、5秒为首轮间隔对照，并以更长周期分析迟检边界；正常状态上报采用60秒候选。分级采集使用实际时间窗和真实观测次数判断，不以保持值补齐未测数据。周期根据故障发展时间和误触发约束选择，不能仅按消息数量决定。图5为拟研究的分级采集与模拟处置流程；其采集调度将独立于固定1Hz诊断基线验收。</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BE0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85.6pt;width:420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拟研究的事件触发采集与模拟控制流程</w:t>
                  </w:r>
                </w:p>
              </w:tc>
            </w:tr>
          </w:tbl>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策略采用固定高频、固定低频、仅改变上报周期和分级采集四组对照。使用相同健康参照、特征阈值和故障操作，改变故障相对于监测周期的出现时刻，分别评价误触发、漏检、首次正确提示及有效提前量。记录压力转换、计数窗口更新、完整记录和发送次数，将持续监测开销计入比较；实物阶段以相同供电和运行时长测量整机电流或能量。减少记录或发送次数的结论与能耗结论分别给出，依据独立批次确定适用范围。</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渐进故障诊断方法与验证目标</w:t>
                  </w:r>
                  <w:r>
                    <w:br w:type="textWrapping"/>
                  </w:r>
                  <w:r>
                    <w:rPr>
                      <w:rFonts w:ascii="Times New Roman" w:hAnsi="Times New Roman" w:eastAsia="宋体"/>
                      <w:sz w:val="21"/>
                      <w:szCs w:val="21"/>
                    </w:rPr>
                    <w:t>诊断方法以压力与流量的联合变化为依据。在非压力补偿的等效负载下，采用</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Times New Roman" w:hAnsi="Times New Roman" w:eastAsia="宋体"/>
                      <w:sz w:val="21"/>
                      <w:szCs w:val="21"/>
                    </w:rPr>
                    <w:t>描述下游负载，用</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Times New Roman" w:hAnsi="Times New Roman" w:eastAsia="宋体"/>
                      <w:sz w:val="21"/>
                      <w:szCs w:val="21"/>
                    </w:rPr>
                    <w:t>估计测点区段阻力。K增加而</w:t>
                  </w:r>
                  <m:oMath>
                    <m:acc>
                      <m:accPr/>
                      <m:e>
                        <m:r>
                          <m:rPr/>
                          <w:rPr>
                            <w:rFonts w:ascii="Cambria Math" w:hAnsi="Cambria Math" w:eastAsia="Cambria Math"/>
                            <w:sz w:val="21"/>
                            <w:szCs w:val="21"/>
                          </w:rPr>
                          <m:t>R</m:t>
                        </m:r>
                      </m:e>
                    </m:acc>
                  </m:oMath>
                  <w:r>
                    <w:rPr>
                      <w:rFonts w:ascii="Times New Roman" w:hAnsi="Times New Roman" w:eastAsia="宋体"/>
                      <w:sz w:val="21"/>
                      <w:szCs w:val="21"/>
                    </w:rPr>
                    <w:t>基本稳定时重点检查附加出流，</w:t>
                  </w:r>
                  <m:oMath>
                    <m:acc>
                      <m:accPr/>
                      <m:e>
                        <m:r>
                          <m:rPr/>
                          <w:rPr>
                            <w:rFonts w:ascii="Cambria Math" w:hAnsi="Cambria Math" w:eastAsia="Cambria Math"/>
                            <w:sz w:val="21"/>
                            <w:szCs w:val="21"/>
                          </w:rPr>
                          <m:t>R</m:t>
                        </m:r>
                      </m:e>
                    </m:acc>
                  </m:oMath>
                  <w:r>
                    <w:rPr>
                      <w:rFonts w:ascii="Times New Roman" w:hAnsi="Times New Roman" w:eastAsia="宋体"/>
                      <w:sz w:val="21"/>
                      <w:szCs w:val="21"/>
                    </w:rPr>
                    <w:t>持续增加时重点检查区段受限。在此基础上，针对正常供压调整与实际负载变化，建立经验健康参照并引入稳健门限，形成可解释的故障候选。图6展示节点从测量检查、双时间窗判断到事件记录的处理流程。</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健康参照采用经验幂函数，流量与相对偏离为：</w:t>
                  </w:r>
                  <m:oMath>
                    <m:sSub>
                      <m:e>
                        <m:r>
                          <w:rPr>
                            <w:rFonts w:ascii="Cambria Math" w:hAnsi="Cambria Math"/>
                            <w:sz w:val="21"/>
                          </w:rPr>
                          <m:t>Q</m:t>
                        </m:r>
                      </m:e>
                      <m:sub>
                        <m:r>
                          <w:rPr>
                            <w:rFonts w:ascii="Cambria Math" w:hAnsi="Cambria Math"/>
                            <w:sz w:val="21"/>
                          </w:rPr>
                          <m:t>ref</m:t>
                        </m:r>
                      </m:sub>
                    </m:sSub>
                    <m:r>
                      <w:rPr>
                        <w:rFonts w:ascii="Cambria Math" w:hAnsi="Cambria Math"/>
                        <w:sz w:val="21"/>
                      </w:rPr>
                      <m:t>=</m:t>
                    </m:r>
                    <m:r>
                      <w:rPr>
                        <w:rFonts w:ascii="Cambria Math" w:hAnsi="Cambria Math"/>
                        <w:sz w:val="21"/>
                      </w:rPr>
                      <m:t>g</m:t>
                    </m:r>
                    <m:r>
                      <w:rPr>
                        <w:rFonts w:ascii="Cambria Math" w:hAnsi="Cambria Math"/>
                        <w:sz w:val="21"/>
                      </w:rPr>
                      <m:t>a</m:t>
                    </m:r>
                    <m:sSup>
                      <m:e>
                        <m:r>
                          <w:rPr>
                            <w:rFonts w:ascii="Cambria Math" w:hAnsi="Cambria Math"/>
                            <w:sz w:val="21"/>
                          </w:rPr>
                          <m:t>(</m:t>
                        </m:r>
                        <m:f>
                          <m:num>
                            <m:sSub>
                              <m:e>
                                <m:r>
                                  <w:rPr>
                                    <w:rFonts w:ascii="Cambria Math" w:hAnsi="Cambria Math"/>
                                    <w:sz w:val="21"/>
                                  </w:rPr>
                                  <m:t>P</m:t>
                                </m:r>
                              </m:e>
                              <m:sub>
                                <m:r>
                                  <w:rPr>
                                    <w:rFonts w:ascii="Cambria Math" w:hAnsi="Cambria Math"/>
                                    <w:sz w:val="21"/>
                                  </w:rPr>
                                  <m:t>1</m:t>
                                </m:r>
                              </m:sub>
                            </m:sSub>
                          </m:num>
                          <m:den>
                            <m:sSub>
                              <m:e>
                                <m:r>
                                  <w:rPr>
                                    <w:rFonts w:ascii="Cambria Math" w:hAnsi="Cambria Math"/>
                                    <w:sz w:val="21"/>
                                  </w:rPr>
                                  <m:t>P</m:t>
                                </m:r>
                              </m:e>
                              <m:sub>
                                <m:r>
                                  <w:rPr>
                                    <w:rFonts w:ascii="Cambria Math" w:hAnsi="Cambria Math"/>
                                    <w:sz w:val="21"/>
                                  </w:rPr>
                                  <m:t>*</m:t>
                                </m:r>
                              </m:sub>
                            </m:sSub>
                          </m:den>
                        </m:f>
                        <m:r>
                          <w:rPr>
                            <w:rFonts w:ascii="Cambria Math" w:hAnsi="Cambria Math"/>
                            <w:sz w:val="21"/>
                          </w:rPr>
                          <m:t>)</m:t>
                        </m:r>
                      </m:e>
                      <m:sup>
                        <m:r>
                          <w:rPr>
                            <w:rFonts w:ascii="Cambria Math" w:hAnsi="Cambria Math"/>
                            <w:sz w:val="21"/>
                          </w:rPr>
                          <m:t>n</m:t>
                        </m:r>
                      </m:sup>
                    </m:sSup>
                  </m:oMath>
                  <w:r>
                    <w:rPr>
                      <w:rFonts w:ascii="Times New Roman" w:hAnsi="Times New Roman" w:eastAsia="宋体"/>
                      <w:sz w:val="21"/>
                      <w:szCs w:val="21"/>
                    </w:rPr>
                    <w:t>，</w:t>
                  </w:r>
                  <m:oMath>
                    <m:sSub>
                      <m:e>
                        <m:r>
                          <w:rPr>
                            <w:rFonts w:ascii="Cambria Math" w:hAnsi="Cambria Math"/>
                            <w:sz w:val="21"/>
                          </w:rPr>
                          <m:t>e</m:t>
                        </m:r>
                      </m:e>
                      <m:sub>
                        <m:r>
                          <w:rPr>
                            <w:rFonts w:ascii="Cambria Math" w:hAnsi="Cambria Math"/>
                            <w:sz w:val="21"/>
                          </w:rPr>
                          <m:t>Q</m:t>
                        </m:r>
                      </m:sub>
                    </m:sSub>
                    <m:r>
                      <w:rPr>
                        <w:rFonts w:ascii="Cambria Math" w:hAnsi="Cambria Math"/>
                        <w:sz w:val="21"/>
                      </w:rPr>
                      <m:t>=</m:t>
                    </m:r>
                    <m:f>
                      <m:num>
                        <m:r>
                          <w:rPr>
                            <w:rFonts w:ascii="Cambria Math" w:hAnsi="Cambria Math"/>
                            <w:sz w:val="21"/>
                          </w:rPr>
                          <m:t>Q</m:t>
                        </m:r>
                      </m:num>
                      <m:den>
                        <m:sSub>
                          <m:e>
                            <m:r>
                              <w:rPr>
                                <w:rFonts w:ascii="Cambria Math" w:hAnsi="Cambria Math"/>
                                <w:sz w:val="21"/>
                              </w:rPr>
                              <m:t>Q</m:t>
                            </m:r>
                          </m:e>
                          <m:sub>
                            <m:r>
                              <w:rPr>
                                <w:rFonts w:ascii="Cambria Math" w:hAnsi="Cambria Math"/>
                                <w:sz w:val="21"/>
                              </w:rPr>
                              <m:t>ref</m:t>
                            </m:r>
                          </m:sub>
                        </m:sSub>
                      </m:den>
                    </m:f>
                    <m:r>
                      <w:rPr>
                        <w:rFonts w:ascii="Cambria Math" w:hAnsi="Cambria Math"/>
                        <w:sz w:val="21"/>
                      </w:rPr>
                      <m:t>−</m:t>
                    </m:r>
                    <m:r>
                      <w:rPr>
                        <w:rFonts w:ascii="Cambria Math" w:hAnsi="Cambria Math"/>
                        <w:sz w:val="21"/>
                      </w:rPr>
                      <m:t>1</m:t>
                    </m:r>
                  </m:oMath>
                  <w:r>
                    <w:rPr>
                      <w:rFonts w:ascii="Times New Roman" w:hAnsi="Times New Roman" w:eastAsia="宋体"/>
                      <w:sz w:val="21"/>
                      <w:szCs w:val="21"/>
                    </w:rPr>
                    <w:t>。参考压力取100kPa，a、n由独立标定拟合，g由监测前已核验健康区段的实测与预测流量比值中位数确定。按同一时间窗计算压力均值与累计计数流量，使两类观测对应同一运行过程。健康参照、参数和工作范围随节点配置保存，在正式故障试验中保持固定；操作记录用于解释正常调节及复核异常候选。</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在健康参照基础上，计算阻力残差</w:t>
                  </w:r>
                  <m:oMath>
                    <m:sSub>
                      <m:e>
                        <m:r>
                          <w:rPr>
                            <w:rFonts w:ascii="Cambria Math" w:hAnsi="Cambria Math"/>
                            <w:sz w:val="21"/>
                          </w:rPr>
                          <m:t>e</m:t>
                        </m:r>
                      </m:e>
                      <m:sub>
                        <m:r>
                          <w:rPr>
                            <w:rFonts w:ascii="Cambria Math" w:hAnsi="Cambria Math"/>
                            <w:sz w:val="21"/>
                          </w:rPr>
                          <m:t>R</m:t>
                        </m:r>
                      </m:sub>
                    </m:sSub>
                    <m:r>
                      <w:rPr>
                        <w:rFonts w:ascii="Cambria Math" w:hAnsi="Cambria Math"/>
                        <w:sz w:val="21"/>
                      </w:rPr>
                      <m:t>=</m:t>
                    </m:r>
                    <m:acc>
                      <m:accPr>
                        <m:chr m:val="̂"/>
                      </m:accPr>
                      <m:e>
                        <m:r>
                          <w:rPr>
                            <w:rFonts w:ascii="Cambria Math" w:hAnsi="Cambria Math"/>
                            <w:sz w:val="21"/>
                          </w:rPr>
                          <m:t>R</m:t>
                        </m:r>
                      </m:e>
                    </m:acc>
                    <m:r>
                      <w:rPr>
                        <w:rFonts w:ascii="Cambria Math" w:hAnsi="Cambria Math"/>
                        <w:sz w:val="21"/>
                      </w:rPr>
                      <m:t>−</m:t>
                    </m:r>
                    <m:sSub>
                      <m:e>
                        <m:r>
                          <w:rPr>
                            <w:rFonts w:ascii="Cambria Math" w:hAnsi="Cambria Math"/>
                            <w:sz w:val="21"/>
                          </w:rPr>
                          <m:t>R</m:t>
                        </m:r>
                      </m:e>
                      <m:sub>
                        <m:r>
                          <w:rPr>
                            <w:rFonts w:ascii="Cambria Math" w:hAnsi="Cambria Math"/>
                            <w:sz w:val="21"/>
                          </w:rPr>
                          <m:t>0</m:t>
                        </m:r>
                      </m:sub>
                    </m:sSub>
                  </m:oMath>
                  <w:r>
                    <w:rPr>
                      <w:rFonts w:ascii="Times New Roman" w:hAnsi="Times New Roman" w:eastAsia="宋体"/>
                      <w:sz w:val="21"/>
                      <w:szCs w:val="21"/>
                    </w:rPr>
                    <w:t>，R₀为同一健康区段阻力估计的中位数。采用中位数绝对偏差MAD描述正常波动，取1.4826倍MAD并设置尺度下限，按</w:t>
                  </w:r>
                  <m:oMath>
                    <m:sSub>
                      <m:e>
                        <m:r>
                          <w:rPr>
                            <w:rFonts w:ascii="Cambria Math" w:hAnsi="Cambria Math"/>
                            <w:sz w:val="21"/>
                          </w:rPr>
                          <m:t>T</m:t>
                        </m:r>
                      </m:e>
                      <m:sub>
                        <m:r>
                          <w:rPr>
                            <w:rFonts w:ascii="Cambria Math" w:hAnsi="Cambria Math"/>
                            <w:sz w:val="21"/>
                          </w:rPr>
                          <m:t>j</m:t>
                        </m:r>
                      </m:sub>
                    </m:sSub>
                    <m:r>
                      <w:rPr>
                        <w:rFonts w:ascii="Cambria Math" w:hAnsi="Cambria Math"/>
                        <w:sz w:val="21"/>
                      </w:rPr>
                      <m:t>=</m:t>
                    </m:r>
                    <m:r>
                      <m:rPr>
                        <m:sty m:val="p"/>
                      </m:rPr>
                      <w:rPr>
                        <w:rFonts w:ascii="Cambria Math" w:hAnsi="Cambria Math"/>
                        <w:sz w:val="21"/>
                      </w:rPr>
                      <m:t>max</m:t>
                    </m:r>
                    <m:r>
                      <w:rPr>
                        <w:rFonts w:ascii="Cambria Math" w:hAnsi="Cambria Math"/>
                        <w:sz w:val="21"/>
                      </w:rPr>
                      <m:t>(</m:t>
                    </m:r>
                    <m:sSub>
                      <m:e>
                        <m:r>
                          <w:rPr>
                            <w:rFonts w:ascii="Cambria Math" w:hAnsi="Cambria Math"/>
                            <w:sz w:val="21"/>
                          </w:rPr>
                          <m:t>τ</m:t>
                        </m:r>
                      </m:e>
                      <m:sub>
                        <m:r>
                          <w:rPr>
                            <w:rFonts w:ascii="Cambria Math" w:hAnsi="Cambria Math"/>
                            <w:sz w:val="21"/>
                          </w:rPr>
                          <m:t>j</m:t>
                        </m:r>
                      </m:sub>
                    </m:sSub>
                    <m:r>
                      <w:rPr>
                        <w:rFonts w:ascii="Cambria Math" w:hAnsi="Cambria Math"/>
                        <w:sz w:val="21"/>
                      </w:rPr>
                      <m:t>,</m:t>
                    </m:r>
                    <m:r>
                      <w:rPr>
                        <w:rFonts w:ascii="Cambria Math" w:hAnsi="Cambria Math"/>
                        <w:sz w:val="21"/>
                      </w:rPr>
                      <m:t>6</m:t>
                    </m:r>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m:t>
                    </m:r>
                    <m:r>
                      <w:rPr>
                        <w:rFonts w:ascii="Cambria Math" w:hAnsi="Cambria Math"/>
                        <w:sz w:val="21"/>
                      </w:rPr>
                      <m:t>j</m:t>
                    </m:r>
                    <m:r>
                      <w:rPr>
                        <w:rFonts w:ascii="Cambria Math" w:hAnsi="Cambria Math"/>
                        <w:sz w:val="21"/>
                      </w:rPr>
                      <m:t>∈</m:t>
                    </m:r>
                    <m:r>
                      <w:rPr>
                        <w:rFonts w:ascii="Cambria Math" w:hAnsi="Cambria Math"/>
                        <w:sz w:val="21"/>
                      </w:rPr>
                      <m:t>{Q,R}</m:t>
                    </m:r>
                  </m:oMath>
                  <w:r>
                    <w:rPr>
                      <w:rFonts w:ascii="Times New Roman" w:hAnsi="Times New Roman" w:eastAsia="宋体"/>
                      <w:sz w:val="21"/>
                      <w:szCs w:val="21"/>
                    </w:rPr>
                    <w:t>确定正向判断门限。当前软件中，流量相对偏离的门限和尺度下限分别为0.06、0.003，阻力残差的对应下限分别为0.6、0.03kPa/(L/min)²。系数6及上述数值用于前期软件方案验证，实施阶段根据独立健康标定和正常误报约束复核后确定。该方法以健康波动为判断依据，兼顾小幅变化识别与稳定运行。</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采用主窗确认与短窗提示相结合的处理方式。十秒主窗包含十一处连续有效计数端点和十次压力观测：仅流量相对偏离越限时形成等效泄漏候选，仅阻力残差越限时形成局部受限候选，两者同时越限时列为异常待检查；同一候选连续五次成立后确认。三秒短窗包含四处计数端点和三次压力观测，共用健康参照、独立计算残差尺度，连续两次观测至少一路正向越限时形成待复核提示。短窗可先于主窗给出关注线索，主窗负责候选分类与确认，两类结果分别保存，控制请求另按保护条件生成。未越限表示证据不足，窗口不可用单独记录。</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使异常记录能够支持后续核查，输出同时保存测量质量、短窗提示、主窗候选及参照版本。健康参照经独立核验后启用故障判断；出现缺测、计数复位、越量程或转换时序异常时重建受影响的窗口，中断或候选改变后重新累计确认次数。五次1Hz更新首末相隔4秒，实际响应还受窗口长度影响，试验中以完整时间记录评价。对正常负载增加与泄漏观测相似、压力漂移影响候选判断等情况，结合操作记录和人工复测核查原因，明确系统能够可靠提示的故障范围。</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68FA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98.200pt;width:420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固定1Hz基线的双时间窗诊断流程</w:t>
                        </w:r>
                      </w:p>
                    </w:tc>
                  </w:tr>
                </w:tbl>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以可靠提示和可核查记录作为原型研制目标。在标定确认的工作范围内，力争使10%和15%故障组首次持续候选正确比例达到90%，正常运行确认误报不高于1次/小时，并评估到达15%参照前的有效早期比例；5%程度用于探索小幅变化的识别边界。正式试验采用固定的健康参照、诊断门限和评价规则，分别统计检出、漏检、首次正确提示及误报。通过这些指标评价系统何时能够提供有效巡检线索，并将结论与独立参考测量对应。</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软件拟采用便携C诊断内核，将健康曲线拟合与在线判断分开：计算机端生成查找表，节点通过整数定标与线性插值计算预测流量，减少在线运算负担。采集适配层记录实际转换时刻、计数锁存与有效性，将诊断结果连同原采集信息映射为通信快照。开发中重点完成定标与插值核对、异常观测处理、资源占用检查及STM32目标编译，再开展传感器与真实时序联调。由此形成可复用的采集、诊断和事件输出程序，为后续增加监测节点提供基础。</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7展示正常接收及确认丢失后的处理过程。前期主机协议已设置遥测、事件和确认三类消息，采用CRC校验和COBS定界，分别为55、57和24字节。缓存优先保留已接纳的异常事件，普通遥测保留最新状态；结合有限次数重发和300秒保留期，在链路中断后恢复发送，并分别记录过期及容量拒绝。实施阶段将完成节点日志、接收服务和真实串口的联调，核对采集、发送、存储与确认时刻，使远端事件能够追溯到同一次原始观测。</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9FE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66.7pt;width:420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通信试验比较快周期、慢周期、事件与周期状态、事件优先有界恢复四种方案，统一本地诊断轨迹、事件定义、载荷和接收确认规则。普通遥测的替代与事件的保存分别评价，不通过删减故障事件降低开销。统计远端告警延迟P50/P95、期限内送达比例、未送达数量、重传、容量拒绝和源端过期，并保留FIFO等待61秒的历史反例。无线发送次数、字节数及占用表示通信开销；整机能量用独立电流测量评价，长中断和确认全丢条件下报告真实缺口。</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Times New Roman" w:hAnsi="Times New Roman"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Times New Roman" w:hAnsi="Times New Roman" w:eastAsia="宋体"/>
                      <w:sz w:val="21"/>
                      <w:szCs w:val="21"/>
                    </w:rPr>
                    <w:t>、Q及健康参照偏离，分别呈现测量质量、短窗提示和主窗候选；事件页面关联支管编号、测点区段和核查记录。设备页面观察通信、掉线及恢复，历史页面支持按时间和事件检索与导出。断连或数据无效时显示最近有效时刻，避免旧数据被误读为当前正常。</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0A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205.8pt;width:420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前期巡检界面（K/R合成数据回放）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平台将“已查看、处置、复测”作为独立维护步骤。核查人员记录实际发现和处理方式，在同类工况下复测压力与流量，据此确认是否恢复。接收确认与人工维护归档在数据库中分别记录。图8为前期K/R合成回放界面，用于验证信息组织和操作流程；实施阶段接入稳定后的诊断结果、质量状态及短窗提示，由Python串口服务写入SQLite，再与真实采集数据联调。</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并核对自动与人工模拟请求的状态，形成可检查的测量、通信及操作记录。</w:t>
            </w:r>
          </w:p>
          <w:p w14:paraId="770EA95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联动用于验证异常提示与处置流程的衔接，本期以LED或蜂鸣器演示，保留人工操作。普通候选告警提供巡检依据；数据有效、工况明确并满足另行设置的保护条件时，生成包含支管身份、原因和唯一序号的自动请求。人工与自动请求使用同一状态记录，接收确认、演示输出和人工复位分别核验，重复命令不产生重复输出。页面与日志标明模拟模式，未接入真实节点时仅显示请求已生成，不显示已下发或阀门已关闭。</w:t>
            </w:r>
          </w:p>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节点预留控制输出、驱动接口与反馈输入，接口方案用于后续接入执行器。真实阀门作为延伸任务，依据管径、工作压力和反馈方式匹配驱动，在A支路入口、上游压力测点之前布置隔离执行器；核验到位反馈、实际止流和对B支路的影响后，再开展保护效果评价。诊断数据采集与控制验证分开组织，不以原有15%水力参照直接设定农业关阀标准，使原诊断路线和独立实验条件保持可比。</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Times New Roman" w:hAnsi="Times New Roman" w:eastAsia="宋体"/>
                      <w:sz w:val="21"/>
                      <w:szCs w:val="21"/>
                    </w:rPr>
                    <w:t>项目按照测量建模、诊断验证、可靠告警和平台集成四个工作包推进，交付内容及验收要求见表1。首先完成台架与节点的独立标定，建立健康状态参照；随后开展故障及正常调节对照，确定诊断方法与适用范围；在本地判断和原始记录稳定后，验证无线接收与事件恢复，最后完成巡检平台和模拟控制联调。各工作包保留程序、配置及原始记录，以实验批次对应图表与结论，保证研究任务能够逐项检查。</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bookmarkStart w:id="0" w:name="_GoBack"/>
                        <w:bookmarkEnd w:id="0"/>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对照设置固定流量阈值、健康参照固定门限、健康参照稳健门限三组，使用同一测量前端、时间窗、确认条件及训练与验证划分。补充稳健门限与有界累积判据结合的候选方法，检验是否获得稳定增益；通过保留或去除区段阻力</w:t>
            </w:r>
            <m:oMath>
              <m:acc>
                <m:accPr/>
                <m:e>
                  <m:r>
                    <m:rPr/>
                    <w:rPr>
                      <w:rFonts w:ascii="Cambria Math" w:hAnsi="Cambria Math" w:eastAsia="Cambria Math"/>
                      <w:sz w:val="21"/>
                      <w:szCs w:val="21"/>
                    </w:rPr>
                    <m:t>R</m:t>
                  </m:r>
                </m:e>
              </m:acc>
            </m:oMath>
            <w:r>
              <w:rPr>
                <w:rFonts w:ascii="Times New Roman" w:hAnsi="Times New Roman" w:eastAsia="宋体"/>
                <w:sz w:val="21"/>
                <w:szCs w:val="21"/>
              </w:rPr>
              <w:t>（对应上游压力</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观测）及已知操作信息的组合进行消融，区分附加测点与工况约束的贡献。各方法仅在健康训练批次和预实验中选取参数，并按相同正常误报约束评价留出试次；短窗单独统计提示延迟和无故障提示次数。统计以独立操作及批次为单位，完整报告负载未知、压力漂移和模型失配条件下的失败。</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Times New Roman" w:hAnsi="Times New Roman" w:eastAsia="宋体"/>
                      <w:sz w:val="21"/>
                      <w:szCs w:val="21"/>
                    </w:rPr>
                    <w:t>（1）健康参照约束下的支管联合诊断。针对供压变化与渐进故障混淆的问题，将双压力—流量观测转换为相对流量偏离和区段阻力变化，以独立健康标定、稳健尺度门限及持续确认形成可解释的异常线索。短窗用于及时关注，主窗用于候选确认，分别评价时效与误报。输出关联支管编号及测点区段，通过同信息基线和测点消融检验联合观测的实际增量，对负载未知等歧义保留人工核查依据。</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小幅故障变化的识别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事件触发采集与可靠传输。拟将健康参照偏离、运行变化及持续确认用于采集调度，分别评价周期监测、完整记录和无线发送的开销。以固定周期和仅调整上报等方案为对照，研究记录及通信负担与有效提前量、误触发、漏检之间的取舍；事件持久化、接收确认和队列调度共同影响远端告警的及时性。以同一事件贯穿观测、模拟请求、人工核查和复测，为真实隔离控制与多支管巡检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Times New Roman" w:hAnsi="Times New Roman" w:eastAsia="宋体"/>
                      <w:sz w:val="21"/>
                      <w:szCs w:val="21"/>
                    </w:rPr>
                    <w:t>预期研制1套支管故障诊断物联网原型，包括双压力—流量感知节点、LoRa接收端、双支路清水台架及本地Web平台。实现数据采集、分级调度、异常提示、可靠接收、巡检复测和控制请求模拟，形成从现场观测到维护记录的完整流程。配套提交接口与结构设计、程序、使用说明及结题报告，采用LED或蜂鸣器演示控制输出并核验日志，以一个监测单元完成可演示、可复测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采集策略、无线对照和连续恢复等实验数据。按计划完成54次主要故障操作及表2所列对照，保存参考值、配置、缺失和失败记录；建立图表与原始批次的对应关系，形成测量适用范围、故障识别及采集通信取舍的研究报告。数据采集与分析遵循正式验证前确定方法和评价规则的要求。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围绕跨工况故障辨识或事件采集策略开展分析，完成基线、消融及统计评价后投稿。项目按2027年3月至2028年2月完成原型和研究报告，论文按真实进度投稿与修订，录用、发表结果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和验证方法，以可复现模型、接口设计及现有软件支撑可行性；立项后以台架和真实链路形成工程与研究证据；论文阶段围绕已验证的问题提炼贡献。三个阶段保持任务递进，仿真用于前期分析，实测用于原型验收和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系统设计与前期论证</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9比较健康参照固定门限、稳健门限及稳健门限与有界累积组合。三组使用相同压力—累计脉冲前端、十秒主窗及五次确认，负载指数设为0.5，两路压力噪声假设独立，流量噪声为0.02L/min。按0.3、3、10kPa压力噪声，在泄漏、受限及长时正常场景使用全部12个固定测试种子；参数仅依据健康训练确定。随机序列跨场景复用，结果反映该合成模型的候选差异，不作为独立实物重复。</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718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378.000pt;width:42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候选判据的有效早期与正常误报对照（合成回放）</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三组在0.3、3kPa时，两类故障均为12/12条有效早期；10kPa时固定门限两组均为1/12，稳健门限及累积组合均为12/12。长时正常对照中，稳健门限三档均无确认误报；固定门限在10kPa有12/12条误报，累积组合在3kPa为1/12。该对照支持优先部署稳健门限；其他场景的失败按完整数据保留，不据此认定实测准确率或普适优势。</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初始K/R模型曾在高噪声下出现明显故障前误报，促使后续研究引入健康残差尺度。另完成288个静态有界误差组合分析，将特征区间分离与在线触发分别检查；采集回放同时检验真实观测窗是否完整，不以插值或保持值补齐缺测。不同阶段模型分别保存参数和结果，现阶段已有成果提供方案选择及失败分析依据，主要性能结论将由台架独立操作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诊断方法与可行性分析</w:t>
                  </w:r>
                  <w:r>
                    <w:br w:type="textWrapping"/>
                  </w:r>
                  <w:r>
                    <w:rPr>
                      <w:rFonts w:ascii="Times New Roman" w:hAnsi="Times New Roman" w:eastAsia="宋体"/>
                      <w:sz w:val="21"/>
                      <w:szCs w:val="21"/>
                    </w:rPr>
                    <w:t>针对水力观测歧义，已构造未知正常负载、压力漂移和负载指数失配反例。图10保留初始K/R模型的两类失败：未知正常负载增加与等效泄漏可生成相同观测，上游压力</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偏移可能产生受限候选。更新门限有助于抑制随机波动，无法凭现有三通道观测消除负载同形或确定故障原因。因此，项目将已知操作记录、独立健康标定和维护复测纳入实验，并开展跨负载留出评价，明确可辨识范围。</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FC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初始K/R判据的负载歧义与压力漂移反例（仿真）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针对早期固定门限在高噪声下的误报，已建立健康经验参照、稳健门限和质量门控，并保留区段阻力</w:t>
            </w:r>
            <m:oMath>
              <m:acc>
                <m:accPr/>
                <m:e>
                  <m:r>
                    <m:rPr/>
                    <w:rPr>
                      <w:rFonts w:ascii="Cambria Math" w:hAnsi="Cambria Math" w:eastAsia="Cambria Math"/>
                      <w:sz w:val="21"/>
                      <w:szCs w:val="21"/>
                    </w:rPr>
                    <m:t>R</m:t>
                  </m:r>
                </m:e>
              </m:acc>
            </m:oMath>
            <w:r>
              <w:rPr>
                <w:rFonts w:ascii="宋体" w:hAnsi="宋体" w:eastAsia="宋体"/>
                <w:sz w:val="21"/>
                <w:szCs w:val="21"/>
              </w:rPr>
              <w:t>的联合判断。固定1Hz、十秒主窗和五次确认作为当前基线，三秒短窗仅输出待复核。已建立压力整数定标、健康曲线查表和边界舍入检查。便携C整数内核与独立有理数参考在216条合成轨迹、130,896次更新中输出一致；另构造的压力舍入、预测表插值及工作域边界样例存在差异，已保存为验证边界，不据此宣称任意输入等价或实物识别准确率。采集引脚、电平及20,000组理想计数枚举为接口准备，脉冲抖动与实物时序在台架测定。</w:t>
            </w:r>
          </w:p>
          <w:p w14:paraId="3BEB3391">
            <w:pPr>
              <w:keepNext w:val="1"/>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3 协议与平台软件</w:t>
            </w:r>
          </w:p>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Times New Roman" w:hAnsi="Times New Roman" w:eastAsia="宋体"/>
                <w:sz w:val="21"/>
                <w:szCs w:val="21"/>
              </w:rPr>
              <w:t>已完成采集适配、C诊断与快照联调，覆盖迟到、缺测、越量程、重复及重叠转换、计数复位和序号中断。216条合成轨迹与冻结的九字段输出一致；80组回放覆盖正常、随机丢失、60秒中断及确认全丢，20组正常链路收到全部生成事件。丢失、拒绝与过期分别记录，重传不作新采集。上述为主机软件验证；STM32目标编译、真实无线与节点掉电持久化在实施阶段验收。</w:t>
            </w:r>
          </w:p>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分级采集已完成四策略合成回放，检查调度不使用未来或未采样观测。既有模型中，固定60秒读取的泄漏组为0/20有效早期；更长周期的相位分析也出现明显迟检。该结果支持保留1Hz工程基线，并将分级采集作为独立研究任务：围绕2秒、5秒等候选间隔检验覆盖与触发，再根据真实故障发展时间扩展。读取和发送减少量与实测能耗分别评价，不能把回放次数写成独立物理实验。</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模型还显示正常B支路切换会增加触发开销，短时变化可能在主窗确认前恢复，量程内漂移和未知健康负载仍可造成模式歧义。因此，正式实验同时保存正常干扰、短时异常和跨负载失败实例，采用相同误报约束、独立操作标签及留出批次评价改进。当前软件具备保存质量与候选模式的条件，故障原因、最优采集周期和整机节电须由实测进一步核验。</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方面已完成12项主机模拟检查，覆盖正常运行及证据不足时不生成自动请求、命令去重、内容冲突、支管身份核对、接收与演示输出区分及人工复位。当前程序仅验证主机端的模拟状态，不涉及真实STM32固件、IO输出或阀门动作；节点控制与页面接入将在原型联调中实现。采集回放和控制检查分别保存参数、结果及程序版本，作为实施前的逻辑验证依据。</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E87212D-A25A-469A-BE39-11C3A4729B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4C66298D-21F8-46CE-A9C7-3BA1B71FFEB1}"/>
  </w:font>
  <w:font w:name="楷体_GB2312">
    <w:altName w:val="楷体"/>
    <w:panose1 w:val="02010609030101010101"/>
    <w:charset w:val="86"/>
    <w:family w:val="modern"/>
    <w:pitch w:val="default"/>
    <w:sig w:usb0="00000000" w:usb1="00000000" w:usb2="00000000" w:usb3="00000000" w:csb0="00040000" w:csb1="00000000"/>
    <w:embedRegular r:id="rId3" w:fontKey="{DE2F7A07-34D7-4B88-B098-59E2FFB68F8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E7B69FFC-9A8A-4629-82A3-FABBFA3911C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36051386-C84A-4025-BE64-D932D579A0FA}"/>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8EDFCD21-34F6-4757-90B2-B6547408B47B}"/>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477</Words>
  <Characters>481</Characters>
  <Lines>7</Lines>
  <Paragraphs>2</Paragraphs>
  <TotalTime>14</TotalTime>
  <ScaleCrop>false</ScaleCrop>
  <LinksUpToDate>false</LinksUpToDate>
  <CharactersWithSpaces>493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2026-10-05T17:20:18Z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