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49142C">
      <w:pPr>
        <w:rPr>
          <w:rFonts w:hint="eastAsia" w:eastAsia="宋体"/>
          <w:lang w:eastAsia="zh-CN"/>
        </w:rPr>
      </w:pPr>
      <w:bookmarkStart w:id="0" w:name="_GoBack"/>
      <w:bookmarkEnd w:id="0"/>
    </w:p>
    <w:p w14:paraId="7E94CCB5">
      <w:pPr>
        <w:rPr>
          <w:rFonts w:hint="eastAsia" w:eastAsia="宋体"/>
          <w:lang w:eastAsia="zh-CN"/>
        </w:rPr>
      </w:pPr>
    </w:p>
    <w:p w14:paraId="38005437">
      <w:pPr>
        <w:jc w:val="left"/>
        <w:rPr>
          <w:rFonts w:hint="eastAsia" w:eastAsia="宋体"/>
          <w:lang w:eastAsia="zh-CN"/>
        </w:rPr>
      </w:pPr>
      <w:r>
        <w:rPr>
          <w:rFonts w:hint="eastAsia" w:eastAsia="宋体"/>
          <w:lang w:eastAsia="zh-CN"/>
        </w:rPr>
        <w:pict>
          <v:shape id="_x0000_i1025" o:spt="75" alt="塔里木大学VI-基础部分_A4.01标志标准中英文全称横式使用规范与不可入侵范围" type="#_x0000_t75" style="height:61.5pt;width:178pt;" filled="f" o:preferrelative="t" stroked="f" coordsize="21600,21600">
            <v:path/>
            <v:fill on="f" focussize="0,0"/>
            <v:stroke on="f"/>
            <v:imagedata r:id="rId5" o:title="塔里木大学VI-基础部分_A4.01标志标准中英文全称横式使用规范与不可入侵范围"/>
            <o:lock v:ext="edit" aspectratio="t"/>
            <w10:wrap type="none"/>
            <w10:anchorlock/>
          </v:shape>
        </w:pict>
      </w:r>
    </w:p>
    <w:p w14:paraId="46668543">
      <w:pPr>
        <w:rPr>
          <w:rFonts w:hint="eastAsia"/>
        </w:rPr>
      </w:pPr>
    </w:p>
    <w:p w14:paraId="2BE8828F">
      <w:pPr>
        <w:rPr>
          <w:rFonts w:hint="eastAsia"/>
        </w:rPr>
      </w:pPr>
    </w:p>
    <w:p w14:paraId="7B711F71">
      <w:pPr>
        <w:rPr>
          <w:rFonts w:hint="eastAsia"/>
        </w:rPr>
      </w:pPr>
    </w:p>
    <w:p w14:paraId="2DE91F37">
      <w:pPr>
        <w:rPr>
          <w:rFonts w:hint="eastAsia"/>
        </w:rPr>
      </w:pPr>
    </w:p>
    <w:p w14:paraId="765C4172">
      <w:pPr>
        <w:jc w:val="center"/>
        <w:rPr>
          <w:rFonts w:hint="eastAsia" w:ascii="方正小标宋简体" w:hAnsi="方正小标宋简体" w:eastAsia="方正小标宋简体" w:cs="方正小标宋简体"/>
          <w:b w:val="0"/>
          <w:bCs/>
          <w:sz w:val="52"/>
          <w:szCs w:val="52"/>
        </w:rPr>
      </w:pPr>
      <w:r>
        <w:rPr>
          <w:rFonts w:hint="eastAsia" w:ascii="方正小标宋简体" w:hAnsi="方正小标宋简体" w:eastAsia="方正小标宋简体" w:cs="方正小标宋简体"/>
          <w:b w:val="0"/>
          <w:bCs/>
          <w:sz w:val="52"/>
          <w:szCs w:val="52"/>
        </w:rPr>
        <w:t>大学生创新训练</w:t>
      </w:r>
      <w:r>
        <w:rPr>
          <w:rFonts w:hint="eastAsia" w:ascii="方正小标宋简体" w:hAnsi="方正小标宋简体" w:eastAsia="方正小标宋简体" w:cs="方正小标宋简体"/>
          <w:b w:val="0"/>
          <w:bCs/>
          <w:sz w:val="52"/>
          <w:szCs w:val="52"/>
          <w:lang w:val="en-US" w:eastAsia="zh-CN"/>
        </w:rPr>
        <w:t>计划</w:t>
      </w:r>
      <w:r>
        <w:rPr>
          <w:rFonts w:hint="eastAsia" w:ascii="方正小标宋简体" w:hAnsi="方正小标宋简体" w:eastAsia="方正小标宋简体" w:cs="方正小标宋简体"/>
          <w:b w:val="0"/>
          <w:bCs/>
          <w:sz w:val="52"/>
          <w:szCs w:val="52"/>
        </w:rPr>
        <w:t>申报书</w:t>
      </w:r>
    </w:p>
    <w:p w14:paraId="11D85DFD">
      <w:pPr>
        <w:jc w:val="center"/>
        <w:rPr>
          <w:rFonts w:hint="eastAsia" w:ascii="黑体" w:hAnsi="黑体" w:eastAsia="黑体"/>
          <w:sz w:val="36"/>
          <w:szCs w:val="36"/>
        </w:rPr>
      </w:pPr>
      <w:r>
        <w:rPr>
          <w:rFonts w:hint="eastAsia" w:ascii="方正小标宋简体" w:hAnsi="方正小标宋简体" w:eastAsia="方正小标宋简体" w:cs="方正小标宋简体"/>
          <w:color w:val="000000"/>
          <w:sz w:val="36"/>
          <w:szCs w:val="36"/>
          <w:lang w:eastAsia="zh-CN"/>
        </w:rPr>
        <w:t>（</w:t>
      </w:r>
      <w:r>
        <w:rPr>
          <w:rFonts w:hint="eastAsia" w:ascii="方正小标宋简体" w:hAnsi="方正小标宋简体" w:eastAsia="方正小标宋简体" w:cs="方正小标宋简体"/>
          <w:color w:val="000000"/>
          <w:sz w:val="36"/>
          <w:szCs w:val="36"/>
          <w:lang w:val="en-US" w:eastAsia="zh-CN"/>
        </w:rPr>
        <w:t>创新训练项目</w:t>
      </w:r>
      <w:r>
        <w:rPr>
          <w:rFonts w:hint="eastAsia" w:ascii="方正小标宋简体" w:hAnsi="方正小标宋简体" w:eastAsia="方正小标宋简体" w:cs="方正小标宋简体"/>
          <w:color w:val="000000"/>
          <w:sz w:val="36"/>
          <w:szCs w:val="36"/>
          <w:lang w:eastAsia="zh-CN"/>
        </w:rPr>
        <w:t>）</w:t>
      </w:r>
    </w:p>
    <w:p w14:paraId="1F15043C">
      <w:pPr>
        <w:jc w:val="both"/>
        <w:rPr>
          <w:rFonts w:hint="eastAsia" w:ascii="黑体" w:hAnsi="黑体" w:eastAsia="黑体"/>
          <w:sz w:val="36"/>
          <w:szCs w:val="36"/>
        </w:rPr>
      </w:pPr>
    </w:p>
    <w:p w14:paraId="39B572BD">
      <w:pPr>
        <w:keepNext w:val="0"/>
        <w:keepLines w:val="0"/>
        <w:pageBreakBefore w:val="0"/>
        <w:widowControl w:val="0"/>
        <w:kinsoku/>
        <w:wordWrap/>
        <w:overflowPunct/>
        <w:topLinePunct w:val="0"/>
        <w:autoSpaceDE/>
        <w:autoSpaceDN/>
        <w:bidi w:val="0"/>
        <w:adjustRightInd/>
        <w:snapToGrid/>
        <w:ind w:left="0" w:right="0" w:firstLine="840" w:firstLineChars="400"/>
        <w:jc w:val="center"/>
        <w:textAlignment w:val="auto"/>
        <w:rPr>
          <w:rFonts w:hint="eastAsia" w:ascii="黑体" w:hAnsi="黑体" w:eastAsia="黑体" w:cs="黑体"/>
          <w:b w:val="0"/>
          <w:bCs w:val="0"/>
          <w:sz w:val="21"/>
          <w:szCs w:val="30"/>
          <w:lang w:val="en-US" w:eastAsia="zh-CN"/>
        </w:rPr>
      </w:pPr>
      <w:r>
        <w:rPr>
          <w:rFonts w:hint="eastAsia" w:ascii="黑体" w:hAnsi="黑体" w:eastAsia="黑体" w:cs="黑体"/>
          <w:b w:val="0"/>
          <w:bCs w:val="0"/>
          <w:sz w:val="21"/>
          <w:szCs w:val="30"/>
          <w:lang w:val="en-US" w:eastAsia="zh-CN"/>
        </w:rPr>
        <w:t>项目名称：基于 LoRa 的南疆滴灌支管道早期故障诊断物联网原型系统</w:t>
      </w:r>
    </w:p>
    <w:p w14:paraId="7078BE46">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项目负责人：</w:t>
      </w:r>
      <w:r>
        <w:rPr>
          <w:rFonts w:hint="eastAsia" w:ascii="黑体" w:hAnsi="黑体" w:eastAsia="黑体" w:cs="黑体"/>
          <w:b w:val="0"/>
          <w:bCs w:val="0"/>
          <w:sz w:val="30"/>
          <w:szCs w:val="30"/>
          <w:u w:val="single"/>
          <w:lang w:val="en-US" w:eastAsia="zh-CN"/>
        </w:rPr>
        <w:t xml:space="preserve">                            </w:t>
      </w:r>
    </w:p>
    <w:p w14:paraId="0D008332">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学    号：</w:t>
      </w:r>
      <w:r>
        <w:rPr>
          <w:rFonts w:hint="eastAsia" w:ascii="黑体" w:hAnsi="黑体" w:eastAsia="黑体" w:cs="黑体"/>
          <w:b w:val="0"/>
          <w:bCs w:val="0"/>
          <w:sz w:val="30"/>
          <w:szCs w:val="30"/>
          <w:u w:val="single"/>
          <w:lang w:val="en-US" w:eastAsia="zh-CN"/>
        </w:rPr>
        <w:t xml:space="preserve">                              </w:t>
      </w:r>
    </w:p>
    <w:p w14:paraId="6AE3CC58">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班    级：</w:t>
      </w:r>
      <w:r>
        <w:rPr>
          <w:rFonts w:hint="eastAsia" w:ascii="黑体" w:hAnsi="黑体" w:eastAsia="黑体" w:cs="黑体"/>
          <w:b w:val="0"/>
          <w:bCs w:val="0"/>
          <w:sz w:val="30"/>
          <w:szCs w:val="30"/>
          <w:u w:val="single"/>
          <w:lang w:val="en-US" w:eastAsia="zh-CN"/>
        </w:rPr>
        <w:t xml:space="preserve">                              </w:t>
      </w:r>
    </w:p>
    <w:p w14:paraId="18AE97DB">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联系电话：</w:t>
      </w:r>
      <w:r>
        <w:rPr>
          <w:rFonts w:hint="eastAsia" w:ascii="黑体" w:hAnsi="黑体" w:eastAsia="黑体" w:cs="黑体"/>
          <w:b w:val="0"/>
          <w:bCs w:val="0"/>
          <w:sz w:val="30"/>
          <w:szCs w:val="30"/>
          <w:u w:val="single"/>
          <w:lang w:val="en-US" w:eastAsia="zh-CN"/>
        </w:rPr>
        <w:t xml:space="preserve">                              </w:t>
      </w:r>
    </w:p>
    <w:p w14:paraId="134097C7">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所属学院：信息工程学院</w:t>
      </w:r>
    </w:p>
    <w:p w14:paraId="66D4CD3C">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eastAsia" w:ascii="黑体" w:hAnsi="黑体" w:eastAsia="黑体" w:cs="黑体"/>
          <w:b w:val="0"/>
          <w:bCs w:val="0"/>
          <w:sz w:val="30"/>
          <w:szCs w:val="30"/>
          <w:u w:val="single"/>
          <w:lang w:val="en-US" w:eastAsia="zh-CN"/>
        </w:rPr>
      </w:pPr>
      <w:r>
        <w:rPr>
          <w:rFonts w:hint="eastAsia" w:ascii="黑体" w:hAnsi="黑体" w:eastAsia="黑体" w:cs="黑体"/>
          <w:b w:val="0"/>
          <w:bCs w:val="0"/>
          <w:sz w:val="30"/>
          <w:szCs w:val="30"/>
          <w:lang w:val="en-US" w:eastAsia="zh-CN"/>
        </w:rPr>
        <w:t>指导教师：</w:t>
      </w:r>
      <w:r>
        <w:rPr>
          <w:rFonts w:hint="eastAsia" w:ascii="黑体" w:hAnsi="黑体" w:eastAsia="黑体" w:cs="黑体"/>
          <w:b w:val="0"/>
          <w:bCs w:val="0"/>
          <w:sz w:val="30"/>
          <w:szCs w:val="30"/>
          <w:u w:val="single"/>
          <w:lang w:val="en-US" w:eastAsia="zh-CN"/>
        </w:rPr>
        <w:t xml:space="preserve">                              </w:t>
      </w:r>
    </w:p>
    <w:p w14:paraId="39320AA8">
      <w:pPr>
        <w:keepNext w:val="0"/>
        <w:keepLines w:val="0"/>
        <w:pageBreakBefore w:val="0"/>
        <w:widowControl w:val="0"/>
        <w:kinsoku/>
        <w:wordWrap/>
        <w:overflowPunct/>
        <w:topLinePunct w:val="0"/>
        <w:autoSpaceDE/>
        <w:autoSpaceDN/>
        <w:bidi w:val="0"/>
        <w:adjustRightInd/>
        <w:snapToGrid/>
        <w:ind w:firstLine="1200" w:firstLineChars="400"/>
        <w:jc w:val="left"/>
        <w:textAlignment w:val="auto"/>
        <w:rPr>
          <w:rFonts w:hint="default" w:ascii="黑体" w:hAnsi="黑体" w:eastAsia="黑体" w:cs="黑体"/>
          <w:b w:val="0"/>
          <w:bCs w:val="0"/>
          <w:sz w:val="30"/>
          <w:szCs w:val="30"/>
          <w:u w:val="single"/>
          <w:lang w:val="en-US" w:eastAsia="zh-CN"/>
        </w:rPr>
      </w:pPr>
      <w:r>
        <w:rPr>
          <w:rFonts w:hint="eastAsia" w:ascii="黑体" w:hAnsi="黑体" w:eastAsia="黑体" w:cs="黑体"/>
          <w:b w:val="0"/>
          <w:bCs w:val="0"/>
          <w:sz w:val="30"/>
          <w:szCs w:val="30"/>
          <w:u w:val="none"/>
          <w:lang w:val="en-US" w:eastAsia="zh-CN"/>
        </w:rPr>
        <w:t>联系电话：</w:t>
      </w:r>
      <w:r>
        <w:rPr>
          <w:rFonts w:hint="eastAsia" w:ascii="黑体" w:hAnsi="黑体" w:eastAsia="黑体" w:cs="黑体"/>
          <w:b w:val="0"/>
          <w:bCs w:val="0"/>
          <w:sz w:val="30"/>
          <w:szCs w:val="30"/>
          <w:u w:val="single"/>
          <w:lang w:val="en-US" w:eastAsia="zh-CN"/>
        </w:rPr>
        <w:t xml:space="preserve">                              </w:t>
      </w:r>
    </w:p>
    <w:p w14:paraId="2C70B0A4">
      <w:pPr>
        <w:spacing w:line="480" w:lineRule="auto"/>
        <w:rPr>
          <w:rFonts w:hint="eastAsia" w:ascii="黑体" w:hAnsi="黑体" w:eastAsia="黑体" w:cs="黑体"/>
          <w:b w:val="0"/>
          <w:bCs w:val="0"/>
          <w:sz w:val="30"/>
          <w:szCs w:val="30"/>
          <w:lang w:val="en-US" w:eastAsia="zh-CN"/>
        </w:rPr>
      </w:pPr>
      <w:r>
        <w:rPr>
          <w:rFonts w:hint="eastAsia" w:ascii="黑体" w:hAnsi="黑体" w:eastAsia="黑体" w:cs="黑体"/>
          <w:b w:val="0"/>
          <w:bCs w:val="0"/>
          <w:sz w:val="30"/>
          <w:szCs w:val="30"/>
          <w:lang w:val="en-US" w:eastAsia="zh-CN"/>
        </w:rPr>
        <w:t>起止时间：2027年3月至2028年2月</w:t>
      </w:r>
    </w:p>
    <w:p w14:paraId="37EBB5CD">
      <w:pPr>
        <w:spacing w:line="480" w:lineRule="auto"/>
        <w:rPr>
          <w:rFonts w:hint="eastAsia" w:ascii="黑体" w:hAnsi="黑体" w:eastAsia="黑体" w:cs="黑体"/>
          <w:b w:val="0"/>
          <w:bCs w:val="0"/>
          <w:sz w:val="30"/>
          <w:szCs w:val="30"/>
          <w:lang w:val="en-US" w:eastAsia="zh-CN"/>
        </w:rPr>
      </w:pPr>
    </w:p>
    <w:p w14:paraId="124B44A9">
      <w:pPr>
        <w:rPr>
          <w:rFonts w:hint="eastAsia" w:ascii="黑体" w:hAnsi="黑体" w:eastAsia="黑体" w:cs="黑体"/>
          <w:sz w:val="36"/>
        </w:rPr>
      </w:pPr>
    </w:p>
    <w:p w14:paraId="43044B48">
      <w:pPr>
        <w:rPr>
          <w:rFonts w:hint="eastAsia" w:ascii="黑体" w:hAnsi="黑体" w:eastAsia="黑体" w:cs="黑体"/>
          <w:sz w:val="36"/>
        </w:rPr>
      </w:pPr>
    </w:p>
    <w:p w14:paraId="27440564">
      <w:pPr>
        <w:keepNext w:val="0"/>
        <w:keepLines w:val="0"/>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b w:val="0"/>
          <w:bCs w:val="0"/>
          <w:sz w:val="28"/>
          <w:szCs w:val="24"/>
          <w:lang w:val="en-US" w:eastAsia="zh-CN"/>
        </w:rPr>
      </w:pPr>
      <w:r>
        <w:rPr>
          <w:rFonts w:hint="eastAsia" w:ascii="黑体" w:hAnsi="黑体" w:eastAsia="黑体" w:cs="黑体"/>
          <w:b w:val="0"/>
          <w:bCs w:val="0"/>
          <w:sz w:val="28"/>
          <w:szCs w:val="24"/>
          <w:lang w:val="en-US" w:eastAsia="zh-CN"/>
        </w:rPr>
        <w:t>塔里木大学教务处制</w:t>
      </w:r>
    </w:p>
    <w:p w14:paraId="6C091412">
      <w:pPr>
        <w:pageBreakBefore/>
        <w:jc w:val="center"/>
        <w:rPr>
          <w:rFonts w:eastAsia="楷体_GB2312"/>
          <w:b/>
          <w:bCs/>
          <w:sz w:val="36"/>
        </w:rPr>
      </w:pPr>
      <w:r>
        <w:rPr>
          <w:rFonts w:hint="eastAsia" w:ascii="小标宋" w:hAnsi="小标宋" w:eastAsia="小标宋" w:cs="小标宋"/>
          <w:b w:val="0"/>
          <w:bCs w:val="0"/>
          <w:sz w:val="44"/>
        </w:rPr>
        <w:t>填 写 须 知</w:t>
      </w:r>
    </w:p>
    <w:p w14:paraId="66B7B3B4">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一、项目分类说明：</w:t>
      </w:r>
    </w:p>
    <w:p w14:paraId="12332A5B">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1.创新训练项目是本科生个人或团队，在导师指导下，自主完成创新性实验方法的设计、设备和材料的准备、实验的实施、数据处理与分析、总结报告撰写等工作。</w:t>
      </w:r>
    </w:p>
    <w:p w14:paraId="08992604">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2.创业训练项目是本科生团队，在导师指导下，团队中每个学生在项目实施过程中扮演一个或多个具体的角色，通过编制商业计划书、开展可行性研究、模拟企业运行、进行一定程度的验证试验，撰写创业报告等工作。</w:t>
      </w:r>
    </w:p>
    <w:p w14:paraId="19E176F4">
      <w:pPr>
        <w:pStyle w:val="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20" w:lineRule="exact"/>
        <w:ind w:left="0" w:right="0" w:firstLine="560" w:firstLineChars="200"/>
        <w:textAlignment w:val="auto"/>
        <w:rPr>
          <w:rFonts w:hint="default" w:ascii="仿宋_GB2312" w:eastAsia="仿宋_GB2312"/>
          <w:sz w:val="28"/>
          <w:szCs w:val="28"/>
          <w:lang w:val="en-US" w:eastAsia="zh-CN"/>
        </w:rPr>
      </w:pPr>
      <w:r>
        <w:rPr>
          <w:rFonts w:hint="eastAsia" w:ascii="仿宋_GB2312" w:hAnsi="Times New Roman" w:eastAsia="仿宋_GB2312" w:cs="Times New Roman"/>
          <w:kern w:val="2"/>
          <w:sz w:val="28"/>
          <w:szCs w:val="28"/>
          <w:lang w:val="en-US" w:eastAsia="zh-CN" w:bidi="ar-SA"/>
        </w:rPr>
        <w:t>3.创业实践项目是学生团队，在学校导师和企业导师共同指导下，采用创新训练项目或创新性实验等成果，提出具有市场前景的创新性产品或服务，以此为基础开展创业实践活动。</w:t>
      </w:r>
    </w:p>
    <w:p w14:paraId="05E9B33A">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hAnsi="Times New Roman" w:eastAsia="仿宋_GB2312" w:cs="Times New Roman"/>
          <w:kern w:val="2"/>
          <w:sz w:val="28"/>
          <w:szCs w:val="28"/>
          <w:lang w:val="en-US" w:eastAsia="zh-CN" w:bidi="ar-SA"/>
        </w:rPr>
      </w:pPr>
      <w:r>
        <w:rPr>
          <w:rFonts w:hint="eastAsia" w:ascii="仿宋_GB2312" w:eastAsia="仿宋_GB2312"/>
          <w:sz w:val="28"/>
          <w:szCs w:val="28"/>
        </w:rPr>
        <w:t>二、申报书请按顺序逐项填写，填写内容必须实事求是，表达明确严谨。空缺项要填“无”。</w:t>
      </w:r>
      <w:r>
        <w:rPr>
          <w:rFonts w:hint="eastAsia" w:ascii="仿宋_GB2312" w:hAnsi="Times New Roman" w:eastAsia="仿宋_GB2312" w:cs="Times New Roman"/>
          <w:kern w:val="2"/>
          <w:sz w:val="28"/>
          <w:szCs w:val="28"/>
          <w:lang w:val="en-US" w:eastAsia="zh-CN" w:bidi="ar-SA"/>
        </w:rPr>
        <w:t xml:space="preserve">正文填写需采用宋体五号字体、单倍行距、双面印刷、左侧装订成册，注意排版和打印的美观。 </w:t>
      </w:r>
    </w:p>
    <w:p w14:paraId="65475D16">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三、申请参加大学生创新创业训练计划项目团队的人数含负责人在内不得超过5人。</w:t>
      </w:r>
    </w:p>
    <w:p w14:paraId="47732FC8">
      <w:pPr>
        <w:keepNext w:val="0"/>
        <w:keepLines w:val="0"/>
        <w:pageBreakBefore w:val="0"/>
        <w:widowControl w:val="0"/>
        <w:kinsoku/>
        <w:wordWrap/>
        <w:overflowPunct/>
        <w:topLinePunct w:val="0"/>
        <w:autoSpaceDE/>
        <w:autoSpaceDN/>
        <w:bidi w:val="0"/>
        <w:adjustRightInd/>
        <w:snapToGrid/>
        <w:spacing w:line="520" w:lineRule="exact"/>
        <w:ind w:left="107" w:leftChars="51" w:right="227" w:firstLine="560" w:firstLineChars="200"/>
        <w:textAlignment w:val="auto"/>
        <w:rPr>
          <w:rFonts w:hint="eastAsia" w:ascii="仿宋_GB2312" w:eastAsia="仿宋_GB2312"/>
          <w:sz w:val="28"/>
          <w:szCs w:val="28"/>
        </w:rPr>
      </w:pPr>
      <w:r>
        <w:rPr>
          <w:rFonts w:hint="eastAsia" w:ascii="仿宋_GB2312" w:eastAsia="仿宋_GB2312"/>
          <w:sz w:val="28"/>
          <w:szCs w:val="28"/>
        </w:rPr>
        <w:t>四、填写完后用A4纸张双面打印，不得随意涂改。</w:t>
      </w:r>
    </w:p>
    <w:p w14:paraId="22163010">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ascii="仿宋_GB2312" w:eastAsia="仿宋_GB2312"/>
          <w:b/>
          <w:sz w:val="28"/>
        </w:rPr>
        <w:sectPr>
          <w:pgSz w:w="11906" w:h="16838"/>
          <w:pgMar w:top="1440" w:right="1800" w:bottom="1440" w:left="1800" w:header="851" w:footer="992" w:gutter="0"/>
          <w:pgBorders>
            <w:top w:val="none" w:sz="0" w:space="0"/>
            <w:left w:val="none" w:sz="0" w:space="0"/>
            <w:bottom w:val="none" w:sz="0" w:space="0"/>
            <w:right w:val="none" w:sz="0" w:space="0"/>
          </w:pgBorders>
          <w:cols w:space="720" w:num="1"/>
          <w:docGrid w:type="lines" w:linePitch="312" w:charSpace="0"/>
        </w:sectPr>
      </w:pPr>
    </w:p>
    <w:tbl>
      <w:tblPr>
        <w:tblStyle w:val="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6"/>
        <w:gridCol w:w="360"/>
        <w:gridCol w:w="722"/>
        <w:gridCol w:w="719"/>
        <w:gridCol w:w="548"/>
        <w:gridCol w:w="2335"/>
        <w:gridCol w:w="715"/>
        <w:gridCol w:w="732"/>
        <w:gridCol w:w="2689"/>
      </w:tblGrid>
      <w:tr w14:paraId="4EA7D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548" w:type="dxa"/>
            <w:gridSpan w:val="3"/>
            <w:noWrap w:val="0"/>
            <w:vAlign w:val="center"/>
          </w:tcPr>
          <w:p w14:paraId="07710379">
            <w:pPr>
              <w:jc w:val="center"/>
              <w:rPr>
                <w:rFonts w:hint="eastAsia" w:ascii="黑体" w:hAnsi="黑体" w:eastAsia="黑体"/>
              </w:rPr>
            </w:pPr>
            <w:r>
              <w:rPr>
                <w:rFonts w:hint="eastAsia" w:ascii="黑体" w:hAnsi="黑体" w:eastAsia="黑体"/>
              </w:rPr>
              <w:t>项目名称</w:t>
            </w:r>
          </w:p>
        </w:tc>
        <w:tc>
          <w:tcPr>
            <w:tcW w:w="7738" w:type="dxa"/>
            <w:gridSpan w:val="6"/>
            <w:noWrap w:val="0"/>
            <w:vAlign w:val="center"/>
          </w:tcPr>
          <w:p w14:paraId="1ECC522A">
            <w:pPr>
              <w:jc w:val="center"/>
              <w:rPr>
                <w:rFonts w:hint="eastAsia" w:eastAsia="宋体"/>
                <w:lang w:eastAsia="zh-CN"/>
              </w:rPr>
            </w:pPr>
            <w:r>
              <w:rPr>
                <w:rFonts w:hint="eastAsia"/>
                <w:lang w:eastAsia="zh-CN"/>
              </w:rPr>
              <w:t>基于 LoRa 的南疆滴灌支管道早期故障诊断物联网原型系统</w:t>
            </w:r>
          </w:p>
        </w:tc>
      </w:tr>
      <w:tr w14:paraId="56CA0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548" w:type="dxa"/>
            <w:gridSpan w:val="3"/>
            <w:noWrap w:val="0"/>
            <w:vAlign w:val="center"/>
          </w:tcPr>
          <w:p w14:paraId="185CA917">
            <w:pPr>
              <w:jc w:val="center"/>
              <w:rPr>
                <w:rFonts w:hint="default" w:ascii="黑体" w:hAnsi="黑体" w:eastAsia="黑体"/>
                <w:lang w:val="en-US" w:eastAsia="zh-CN"/>
              </w:rPr>
            </w:pPr>
            <w:r>
              <w:rPr>
                <w:rFonts w:hint="eastAsia" w:ascii="黑体" w:hAnsi="黑体" w:eastAsia="黑体"/>
                <w:lang w:val="en-US" w:eastAsia="zh-CN"/>
              </w:rPr>
              <w:t>项目所属专业大类及代码</w:t>
            </w:r>
          </w:p>
        </w:tc>
        <w:tc>
          <w:tcPr>
            <w:tcW w:w="7738" w:type="dxa"/>
            <w:gridSpan w:val="6"/>
            <w:noWrap w:val="0"/>
            <w:vAlign w:val="center"/>
          </w:tcPr>
          <w:p w14:paraId="5D4B4D59">
            <w:pPr>
              <w:jc w:val="left"/>
              <w:rPr>
                <w:rFonts w:hint="default" w:eastAsia="宋体"/>
                <w:lang w:val="en-US" w:eastAsia="zh-CN"/>
              </w:rPr>
            </w:pPr>
            <w:r>
              <w:rPr>
                <w:rFonts w:hint="eastAsia" w:ascii="黑体" w:hAnsi="黑体" w:eastAsia="黑体" w:cs="Times New Roman"/>
                <w:lang w:val="en-US" w:eastAsia="zh-CN"/>
              </w:rPr>
              <w:t>电子信息类 0807（提交前按附件6核对）</w:t>
            </w:r>
          </w:p>
        </w:tc>
      </w:tr>
      <w:tr w14:paraId="4D5D1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1548" w:type="dxa"/>
            <w:gridSpan w:val="3"/>
            <w:noWrap w:val="0"/>
            <w:vAlign w:val="center"/>
          </w:tcPr>
          <w:p w14:paraId="2434E3E3">
            <w:pPr>
              <w:jc w:val="center"/>
              <w:rPr>
                <w:rFonts w:ascii="黑体" w:hAnsi="黑体" w:eastAsia="黑体"/>
              </w:rPr>
            </w:pPr>
            <w:r>
              <w:rPr>
                <w:rFonts w:hint="eastAsia" w:ascii="黑体" w:hAnsi="黑体" w:eastAsia="黑体"/>
              </w:rPr>
              <w:t>项目起止时间</w:t>
            </w:r>
          </w:p>
        </w:tc>
        <w:tc>
          <w:tcPr>
            <w:tcW w:w="7738" w:type="dxa"/>
            <w:gridSpan w:val="6"/>
            <w:noWrap w:val="0"/>
            <w:vAlign w:val="center"/>
          </w:tcPr>
          <w:p w14:paraId="14862718">
            <w:pPr>
              <w:jc w:val="center"/>
              <w:rPr>
                <w:rFonts w:hint="eastAsia" w:eastAsia="宋体"/>
                <w:lang w:eastAsia="zh-CN"/>
              </w:rPr>
            </w:pPr>
            <w:r>
              <w:rPr>
                <w:rFonts w:hint="eastAsia" w:ascii="黑体" w:hAnsi="黑体" w:eastAsia="黑体" w:cs="Times New Roman"/>
                <w:lang w:eastAsia="zh-CN"/>
              </w:rPr>
              <w:t>2027年3月至2028年2月</w:t>
            </w:r>
          </w:p>
        </w:tc>
      </w:tr>
      <w:tr w14:paraId="4A25FA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restart"/>
            <w:noWrap w:val="0"/>
            <w:textDirection w:val="tbRlV"/>
            <w:vAlign w:val="center"/>
          </w:tcPr>
          <w:p w14:paraId="553B7073">
            <w:pPr>
              <w:ind w:left="113" w:right="113"/>
              <w:jc w:val="center"/>
              <w:rPr>
                <w:rFonts w:ascii="黑体" w:hAnsi="黑体" w:eastAsia="黑体"/>
              </w:rPr>
            </w:pPr>
            <w:r>
              <w:rPr>
                <w:rFonts w:hint="eastAsia" w:ascii="黑体" w:hAnsi="黑体" w:eastAsia="黑体"/>
              </w:rPr>
              <w:t>负责人</w:t>
            </w:r>
          </w:p>
        </w:tc>
        <w:tc>
          <w:tcPr>
            <w:tcW w:w="1082" w:type="dxa"/>
            <w:gridSpan w:val="2"/>
            <w:noWrap w:val="0"/>
            <w:vAlign w:val="center"/>
          </w:tcPr>
          <w:p w14:paraId="426A8F03">
            <w:pPr>
              <w:jc w:val="center"/>
              <w:rPr>
                <w:rFonts w:ascii="黑体" w:hAnsi="黑体" w:eastAsia="黑体"/>
              </w:rPr>
            </w:pPr>
            <w:r>
              <w:rPr>
                <w:rFonts w:hint="eastAsia" w:ascii="黑体" w:hAnsi="黑体" w:eastAsia="黑体"/>
              </w:rPr>
              <w:t>姓名</w:t>
            </w:r>
          </w:p>
        </w:tc>
        <w:tc>
          <w:tcPr>
            <w:tcW w:w="719" w:type="dxa"/>
            <w:noWrap w:val="0"/>
            <w:vAlign w:val="center"/>
          </w:tcPr>
          <w:p w14:paraId="046564D7">
            <w:pPr>
              <w:jc w:val="center"/>
              <w:rPr>
                <w:rFonts w:ascii="黑体" w:hAnsi="黑体" w:eastAsia="黑体"/>
              </w:rPr>
            </w:pPr>
            <w:r>
              <w:rPr>
                <w:rFonts w:hint="eastAsia" w:ascii="黑体" w:hAnsi="黑体" w:eastAsia="黑体"/>
              </w:rPr>
              <w:t>年级</w:t>
            </w:r>
          </w:p>
        </w:tc>
        <w:tc>
          <w:tcPr>
            <w:tcW w:w="2883" w:type="dxa"/>
            <w:gridSpan w:val="2"/>
            <w:noWrap w:val="0"/>
            <w:vAlign w:val="center"/>
          </w:tcPr>
          <w:p w14:paraId="4CE74F09">
            <w:pPr>
              <w:jc w:val="center"/>
              <w:rPr>
                <w:rFonts w:ascii="黑体" w:hAnsi="黑体" w:eastAsia="黑体"/>
              </w:rPr>
            </w:pPr>
            <w:r>
              <w:rPr>
                <w:rFonts w:hint="eastAsia" w:ascii="黑体" w:hAnsi="黑体" w:eastAsia="黑体"/>
              </w:rPr>
              <w:t>所在学院、专业</w:t>
            </w:r>
          </w:p>
        </w:tc>
        <w:tc>
          <w:tcPr>
            <w:tcW w:w="1447" w:type="dxa"/>
            <w:gridSpan w:val="2"/>
            <w:noWrap w:val="0"/>
            <w:vAlign w:val="center"/>
          </w:tcPr>
          <w:p w14:paraId="1D3D03E6">
            <w:pPr>
              <w:jc w:val="center"/>
              <w:rPr>
                <w:rFonts w:ascii="黑体" w:hAnsi="黑体" w:eastAsia="黑体"/>
              </w:rPr>
            </w:pPr>
            <w:r>
              <w:rPr>
                <w:rFonts w:hint="eastAsia" w:ascii="黑体" w:hAnsi="黑体" w:eastAsia="黑体"/>
              </w:rPr>
              <w:t>联系电话</w:t>
            </w:r>
          </w:p>
        </w:tc>
        <w:tc>
          <w:tcPr>
            <w:tcW w:w="2689" w:type="dxa"/>
            <w:noWrap w:val="0"/>
            <w:vAlign w:val="center"/>
          </w:tcPr>
          <w:p w14:paraId="3D42A54B">
            <w:pPr>
              <w:jc w:val="center"/>
              <w:rPr>
                <w:rFonts w:hint="eastAsia" w:ascii="黑体" w:hAnsi="黑体" w:eastAsia="黑体"/>
              </w:rPr>
            </w:pPr>
            <w:r>
              <w:rPr>
                <w:rFonts w:hint="eastAsia" w:ascii="黑体" w:hAnsi="黑体" w:eastAsia="黑体"/>
              </w:rPr>
              <w:t>E-mail</w:t>
            </w:r>
          </w:p>
        </w:tc>
      </w:tr>
      <w:tr w14:paraId="4D232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5516D002">
            <w:pPr>
              <w:ind w:left="113" w:right="113"/>
              <w:jc w:val="center"/>
              <w:rPr>
                <w:rFonts w:hint="eastAsia" w:ascii="黑体" w:hAnsi="黑体" w:eastAsia="黑体"/>
              </w:rPr>
            </w:pPr>
          </w:p>
        </w:tc>
        <w:tc>
          <w:tcPr>
            <w:tcW w:w="1082" w:type="dxa"/>
            <w:gridSpan w:val="2"/>
            <w:tcBorders>
              <w:bottom w:val="single" w:color="auto" w:sz="4" w:space="0"/>
            </w:tcBorders>
            <w:noWrap w:val="0"/>
            <w:vAlign w:val="center"/>
          </w:tcPr>
          <w:p w14:paraId="66761A96">
            <w:pPr>
              <w:jc w:val="center"/>
              <w:rPr>
                <w:rFonts w:hint="eastAsia" w:eastAsia="宋体"/>
                <w:lang w:eastAsia="zh-CN"/>
              </w:rPr>
            </w:pPr>
            <w:r>
              <w:rPr>
                <w:rFonts w:hint="eastAsia"/>
                <w:lang w:eastAsia="zh-CN"/>
              </w:rPr>
              <w:t>待本人填写</w:t>
            </w:r>
          </w:p>
        </w:tc>
        <w:tc>
          <w:tcPr>
            <w:tcW w:w="719" w:type="dxa"/>
            <w:tcBorders>
              <w:bottom w:val="single" w:color="auto" w:sz="4" w:space="0"/>
            </w:tcBorders>
            <w:noWrap w:val="0"/>
            <w:vAlign w:val="center"/>
          </w:tcPr>
          <w:p w14:paraId="6FAF2C89">
            <w:pPr>
              <w:jc w:val="center"/>
              <w:rPr>
                <w:rFonts w:hint="eastAsia" w:eastAsia="宋体"/>
                <w:lang w:eastAsia="zh-CN"/>
              </w:rPr>
            </w:pPr>
            <w:r>
              <w:rPr>
                <w:rFonts w:hint="eastAsia"/>
                <w:lang w:eastAsia="zh-CN"/>
              </w:rPr>
              <w:t>大二</w:t>
            </w:r>
          </w:p>
        </w:tc>
        <w:tc>
          <w:tcPr>
            <w:tcW w:w="2883" w:type="dxa"/>
            <w:gridSpan w:val="2"/>
            <w:tcBorders>
              <w:top w:val="nil"/>
              <w:bottom w:val="single" w:color="auto" w:sz="4" w:space="0"/>
            </w:tcBorders>
            <w:noWrap w:val="0"/>
            <w:vAlign w:val="center"/>
          </w:tcPr>
          <w:p w14:paraId="63C36BC8">
            <w:pPr>
              <w:jc w:val="center"/>
              <w:rPr>
                <w:rFonts w:hint="eastAsia" w:eastAsia="宋体"/>
                <w:lang w:eastAsia="zh-CN"/>
              </w:rPr>
            </w:pPr>
            <w:r>
              <w:rPr>
                <w:rFonts w:hint="eastAsia"/>
                <w:lang w:eastAsia="zh-CN"/>
              </w:rPr>
              <w:t>信息工程学院 通信专业</w:t>
            </w:r>
          </w:p>
        </w:tc>
        <w:tc>
          <w:tcPr>
            <w:tcW w:w="1447" w:type="dxa"/>
            <w:gridSpan w:val="2"/>
            <w:tcBorders>
              <w:bottom w:val="single" w:color="auto" w:sz="4" w:space="0"/>
            </w:tcBorders>
            <w:noWrap w:val="0"/>
            <w:vAlign w:val="center"/>
          </w:tcPr>
          <w:p w14:paraId="397FE7BB">
            <w:pPr>
              <w:jc w:val="center"/>
              <w:rPr>
                <w:rFonts w:hint="eastAsia" w:eastAsia="宋体"/>
                <w:lang w:eastAsia="zh-CN"/>
              </w:rPr>
            </w:pPr>
            <w:r>
              <w:rPr>
                <w:rFonts w:hint="eastAsia"/>
                <w:lang w:eastAsia="zh-CN"/>
              </w:rPr>
              <w:t>待填写</w:t>
            </w:r>
          </w:p>
        </w:tc>
        <w:tc>
          <w:tcPr>
            <w:tcW w:w="2689" w:type="dxa"/>
            <w:tcBorders>
              <w:bottom w:val="single" w:color="auto" w:sz="4" w:space="0"/>
            </w:tcBorders>
            <w:noWrap w:val="0"/>
            <w:vAlign w:val="center"/>
          </w:tcPr>
          <w:p w14:paraId="09AE1F96">
            <w:pPr>
              <w:jc w:val="center"/>
              <w:rPr>
                <w:rFonts w:hint="eastAsia" w:eastAsia="宋体"/>
                <w:lang w:eastAsia="zh-CN"/>
              </w:rPr>
            </w:pPr>
            <w:r>
              <w:rPr>
                <w:rFonts w:hint="eastAsia"/>
                <w:lang w:eastAsia="zh-CN"/>
              </w:rPr>
              <w:t>待填写</w:t>
            </w:r>
          </w:p>
        </w:tc>
      </w:tr>
      <w:tr w14:paraId="2CAAD6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856" w:hRule="atLeast"/>
          <w:jc w:val="center"/>
        </w:trPr>
        <w:tc>
          <w:tcPr>
            <w:tcW w:w="826" w:type="dxa"/>
            <w:gridSpan w:val="2"/>
            <w:noWrap w:val="0"/>
            <w:vAlign w:val="center"/>
          </w:tcPr>
          <w:p w14:paraId="39EDBB2E">
            <w:pPr>
              <w:jc w:val="center"/>
              <w:rPr>
                <w:rFonts w:hint="eastAsia" w:ascii="黑体" w:hAnsi="黑体" w:eastAsia="黑体"/>
              </w:rPr>
            </w:pPr>
            <w:r>
              <w:rPr>
                <w:rFonts w:hint="eastAsia" w:ascii="黑体" w:hAnsi="黑体" w:eastAsia="黑体"/>
              </w:rPr>
              <w:t>参与</w:t>
            </w:r>
            <w:r>
              <w:rPr>
                <w:rFonts w:hint="eastAsia" w:ascii="黑体" w:hAnsi="黑体" w:eastAsia="黑体"/>
                <w:lang w:val="en-US" w:eastAsia="zh-CN"/>
              </w:rPr>
              <w:t>创新创业或科研</w:t>
            </w:r>
            <w:r>
              <w:rPr>
                <w:rFonts w:hint="eastAsia" w:ascii="黑体" w:hAnsi="黑体" w:eastAsia="黑体"/>
              </w:rPr>
              <w:t>情况</w:t>
            </w:r>
          </w:p>
        </w:tc>
        <w:tc>
          <w:tcPr>
            <w:tcW w:w="8460" w:type="dxa"/>
            <w:gridSpan w:val="7"/>
            <w:tcBorders>
              <w:bottom w:val="single" w:color="auto" w:sz="4" w:space="0"/>
            </w:tcBorders>
            <w:noWrap w:val="0"/>
            <w:vAlign w:val="top"/>
          </w:tcPr>
          <w:p w14:paraId="302DDF36">
            <w:pPr>
              <w:jc w:val="both"/>
              <w:rPr>
                <w:rFonts w:hint="eastAsia" w:eastAsia="宋体"/>
                <w:lang w:val="en-US" w:eastAsia="zh-CN"/>
              </w:rPr>
            </w:pPr>
            <w:r>
              <w:rPr>
                <w:rFonts w:hint="eastAsia" w:ascii="黑体" w:hAnsi="黑体" w:eastAsia="黑体" w:cs="Times New Roman"/>
                <w:lang w:val="en-US" w:eastAsia="zh-CN"/>
              </w:rPr>
              <w:t>由负责人据实填写专业学习、实践经历及实际成果。</w:t>
            </w:r>
          </w:p>
        </w:tc>
      </w:tr>
      <w:tr w14:paraId="2EA70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restart"/>
            <w:noWrap w:val="0"/>
            <w:textDirection w:val="tbRlV"/>
            <w:vAlign w:val="center"/>
          </w:tcPr>
          <w:p w14:paraId="1B9D3AE4">
            <w:pPr>
              <w:ind w:left="113" w:right="113"/>
              <w:jc w:val="center"/>
              <w:rPr>
                <w:rFonts w:hint="eastAsia" w:ascii="黑体" w:hAnsi="黑体" w:eastAsia="黑体"/>
              </w:rPr>
            </w:pPr>
            <w:r>
              <w:rPr>
                <w:rFonts w:hint="eastAsia" w:ascii="黑体" w:hAnsi="黑体" w:eastAsia="黑体"/>
              </w:rPr>
              <w:t>项目组成员</w:t>
            </w:r>
          </w:p>
        </w:tc>
        <w:tc>
          <w:tcPr>
            <w:tcW w:w="1082" w:type="dxa"/>
            <w:gridSpan w:val="2"/>
            <w:tcBorders>
              <w:top w:val="single" w:color="auto" w:sz="4" w:space="0"/>
              <w:bottom w:val="single" w:color="auto" w:sz="4" w:space="0"/>
            </w:tcBorders>
            <w:noWrap w:val="0"/>
            <w:vAlign w:val="center"/>
          </w:tcPr>
          <w:p w14:paraId="105DC008">
            <w:pPr>
              <w:jc w:val="center"/>
              <w:rPr>
                <w:rFonts w:ascii="黑体" w:hAnsi="黑体" w:eastAsia="黑体"/>
              </w:rPr>
            </w:pPr>
            <w:r>
              <w:rPr>
                <w:rFonts w:hint="eastAsia" w:ascii="黑体" w:hAnsi="黑体" w:eastAsia="黑体"/>
              </w:rPr>
              <w:t>姓名</w:t>
            </w:r>
          </w:p>
        </w:tc>
        <w:tc>
          <w:tcPr>
            <w:tcW w:w="719" w:type="dxa"/>
            <w:tcBorders>
              <w:top w:val="single" w:color="auto" w:sz="4" w:space="0"/>
              <w:bottom w:val="single" w:color="auto" w:sz="4" w:space="0"/>
            </w:tcBorders>
            <w:noWrap w:val="0"/>
            <w:vAlign w:val="center"/>
          </w:tcPr>
          <w:p w14:paraId="52E90046">
            <w:pPr>
              <w:jc w:val="center"/>
              <w:rPr>
                <w:rFonts w:ascii="黑体" w:hAnsi="黑体" w:eastAsia="黑体"/>
              </w:rPr>
            </w:pPr>
            <w:r>
              <w:rPr>
                <w:rFonts w:hint="eastAsia" w:ascii="黑体" w:hAnsi="黑体" w:eastAsia="黑体"/>
              </w:rPr>
              <w:t>年级</w:t>
            </w:r>
          </w:p>
        </w:tc>
        <w:tc>
          <w:tcPr>
            <w:tcW w:w="2883" w:type="dxa"/>
            <w:gridSpan w:val="2"/>
            <w:tcBorders>
              <w:top w:val="single" w:color="auto" w:sz="4" w:space="0"/>
              <w:bottom w:val="single" w:color="auto" w:sz="4" w:space="0"/>
            </w:tcBorders>
            <w:noWrap w:val="0"/>
            <w:vAlign w:val="center"/>
          </w:tcPr>
          <w:p w14:paraId="4D6CC1DA">
            <w:pPr>
              <w:jc w:val="center"/>
              <w:rPr>
                <w:rFonts w:ascii="黑体" w:hAnsi="黑体" w:eastAsia="黑体"/>
              </w:rPr>
            </w:pPr>
            <w:r>
              <w:rPr>
                <w:rFonts w:hint="eastAsia" w:ascii="黑体" w:hAnsi="黑体" w:eastAsia="黑体"/>
              </w:rPr>
              <w:t>所在学院、专业</w:t>
            </w:r>
          </w:p>
        </w:tc>
        <w:tc>
          <w:tcPr>
            <w:tcW w:w="1447" w:type="dxa"/>
            <w:gridSpan w:val="2"/>
            <w:tcBorders>
              <w:top w:val="single" w:color="auto" w:sz="4" w:space="0"/>
              <w:bottom w:val="single" w:color="auto" w:sz="4" w:space="0"/>
            </w:tcBorders>
            <w:noWrap w:val="0"/>
            <w:vAlign w:val="center"/>
          </w:tcPr>
          <w:p w14:paraId="7A6686AE">
            <w:pPr>
              <w:jc w:val="center"/>
              <w:rPr>
                <w:rFonts w:ascii="黑体" w:hAnsi="黑体" w:eastAsia="黑体"/>
              </w:rPr>
            </w:pPr>
            <w:r>
              <w:rPr>
                <w:rFonts w:hint="eastAsia" w:ascii="黑体" w:hAnsi="黑体" w:eastAsia="黑体"/>
              </w:rPr>
              <w:t>联系电话</w:t>
            </w:r>
          </w:p>
        </w:tc>
        <w:tc>
          <w:tcPr>
            <w:tcW w:w="2689" w:type="dxa"/>
            <w:tcBorders>
              <w:top w:val="single" w:color="auto" w:sz="4" w:space="0"/>
              <w:bottom w:val="single" w:color="auto" w:sz="4" w:space="0"/>
            </w:tcBorders>
            <w:noWrap w:val="0"/>
            <w:vAlign w:val="center"/>
          </w:tcPr>
          <w:p w14:paraId="1D7F7791">
            <w:pPr>
              <w:jc w:val="center"/>
              <w:rPr>
                <w:rFonts w:hint="eastAsia" w:ascii="黑体" w:hAnsi="黑体" w:eastAsia="黑体"/>
              </w:rPr>
            </w:pPr>
            <w:r>
              <w:rPr>
                <w:rFonts w:hint="eastAsia" w:ascii="黑体" w:hAnsi="黑体" w:eastAsia="黑体"/>
              </w:rPr>
              <w:t>项目分工</w:t>
            </w:r>
          </w:p>
        </w:tc>
      </w:tr>
      <w:tr w14:paraId="0CC14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195DD217">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77A68174">
            <w:pPr>
              <w:jc w:val="center"/>
            </w:pPr>
          </w:p>
        </w:tc>
        <w:tc>
          <w:tcPr>
            <w:tcW w:w="719" w:type="dxa"/>
            <w:tcBorders>
              <w:top w:val="single" w:color="auto" w:sz="4" w:space="0"/>
              <w:bottom w:val="single" w:color="auto" w:sz="4" w:space="0"/>
            </w:tcBorders>
            <w:noWrap w:val="0"/>
            <w:vAlign w:val="center"/>
          </w:tcPr>
          <w:p w14:paraId="4110B4DD">
            <w:pPr>
              <w:jc w:val="center"/>
              <w:rPr>
                <w:rFonts w:hint="eastAsia"/>
              </w:rPr>
            </w:pPr>
          </w:p>
        </w:tc>
        <w:tc>
          <w:tcPr>
            <w:tcW w:w="2883" w:type="dxa"/>
            <w:gridSpan w:val="2"/>
            <w:tcBorders>
              <w:top w:val="single" w:color="auto" w:sz="4" w:space="0"/>
              <w:bottom w:val="single" w:color="auto" w:sz="4" w:space="0"/>
            </w:tcBorders>
            <w:noWrap w:val="0"/>
            <w:vAlign w:val="center"/>
          </w:tcPr>
          <w:p w14:paraId="48A59ECD">
            <w:pPr>
              <w:jc w:val="center"/>
              <w:rPr>
                <w:rFonts w:hint="eastAsia"/>
              </w:rPr>
            </w:pPr>
          </w:p>
        </w:tc>
        <w:tc>
          <w:tcPr>
            <w:tcW w:w="1447" w:type="dxa"/>
            <w:gridSpan w:val="2"/>
            <w:tcBorders>
              <w:top w:val="single" w:color="auto" w:sz="4" w:space="0"/>
              <w:bottom w:val="single" w:color="auto" w:sz="4" w:space="0"/>
            </w:tcBorders>
            <w:noWrap w:val="0"/>
            <w:vAlign w:val="center"/>
          </w:tcPr>
          <w:p w14:paraId="23C78465">
            <w:pPr>
              <w:jc w:val="center"/>
              <w:rPr>
                <w:rFonts w:hint="eastAsia"/>
              </w:rPr>
            </w:pPr>
          </w:p>
        </w:tc>
        <w:tc>
          <w:tcPr>
            <w:tcW w:w="2689" w:type="dxa"/>
            <w:tcBorders>
              <w:top w:val="single" w:color="auto" w:sz="4" w:space="0"/>
              <w:bottom w:val="single" w:color="auto" w:sz="4" w:space="0"/>
            </w:tcBorders>
            <w:noWrap w:val="0"/>
            <w:vAlign w:val="center"/>
          </w:tcPr>
          <w:p w14:paraId="34DC5751">
            <w:pPr>
              <w:jc w:val="center"/>
              <w:rPr>
                <w:rFonts w:hint="eastAsia"/>
              </w:rPr>
            </w:pPr>
          </w:p>
        </w:tc>
      </w:tr>
      <w:tr w14:paraId="64717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4C1EC961">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39F3793F">
            <w:pPr>
              <w:jc w:val="center"/>
            </w:pPr>
          </w:p>
        </w:tc>
        <w:tc>
          <w:tcPr>
            <w:tcW w:w="719" w:type="dxa"/>
            <w:tcBorders>
              <w:top w:val="single" w:color="auto" w:sz="4" w:space="0"/>
              <w:bottom w:val="single" w:color="auto" w:sz="4" w:space="0"/>
            </w:tcBorders>
            <w:noWrap w:val="0"/>
            <w:vAlign w:val="center"/>
          </w:tcPr>
          <w:p w14:paraId="4E2935D7">
            <w:pPr>
              <w:jc w:val="center"/>
              <w:rPr>
                <w:rFonts w:hint="eastAsia"/>
              </w:rPr>
            </w:pPr>
          </w:p>
        </w:tc>
        <w:tc>
          <w:tcPr>
            <w:tcW w:w="2883" w:type="dxa"/>
            <w:gridSpan w:val="2"/>
            <w:tcBorders>
              <w:top w:val="single" w:color="auto" w:sz="4" w:space="0"/>
              <w:bottom w:val="single" w:color="auto" w:sz="4" w:space="0"/>
            </w:tcBorders>
            <w:noWrap w:val="0"/>
            <w:vAlign w:val="center"/>
          </w:tcPr>
          <w:p w14:paraId="2C12CD40">
            <w:pPr>
              <w:jc w:val="center"/>
              <w:rPr>
                <w:rFonts w:hint="eastAsia"/>
              </w:rPr>
            </w:pPr>
          </w:p>
        </w:tc>
        <w:tc>
          <w:tcPr>
            <w:tcW w:w="1447" w:type="dxa"/>
            <w:gridSpan w:val="2"/>
            <w:tcBorders>
              <w:top w:val="single" w:color="auto" w:sz="4" w:space="0"/>
              <w:bottom w:val="single" w:color="auto" w:sz="4" w:space="0"/>
            </w:tcBorders>
            <w:noWrap w:val="0"/>
            <w:vAlign w:val="center"/>
          </w:tcPr>
          <w:p w14:paraId="61A9CF93">
            <w:pPr>
              <w:jc w:val="center"/>
              <w:rPr>
                <w:rFonts w:hint="eastAsia"/>
              </w:rPr>
            </w:pPr>
          </w:p>
        </w:tc>
        <w:tc>
          <w:tcPr>
            <w:tcW w:w="2689" w:type="dxa"/>
            <w:tcBorders>
              <w:top w:val="single" w:color="auto" w:sz="4" w:space="0"/>
              <w:bottom w:val="single" w:color="auto" w:sz="4" w:space="0"/>
            </w:tcBorders>
            <w:noWrap w:val="0"/>
            <w:vAlign w:val="center"/>
          </w:tcPr>
          <w:p w14:paraId="6621812E">
            <w:pPr>
              <w:jc w:val="center"/>
              <w:rPr>
                <w:rFonts w:hint="eastAsia"/>
              </w:rPr>
            </w:pPr>
          </w:p>
        </w:tc>
      </w:tr>
      <w:tr w14:paraId="442F4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6FC64300">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5EAE1DA0">
            <w:pPr>
              <w:jc w:val="center"/>
            </w:pPr>
          </w:p>
        </w:tc>
        <w:tc>
          <w:tcPr>
            <w:tcW w:w="719" w:type="dxa"/>
            <w:tcBorders>
              <w:top w:val="single" w:color="auto" w:sz="4" w:space="0"/>
              <w:bottom w:val="single" w:color="auto" w:sz="4" w:space="0"/>
            </w:tcBorders>
            <w:noWrap w:val="0"/>
            <w:vAlign w:val="center"/>
          </w:tcPr>
          <w:p w14:paraId="2F9E9714">
            <w:pPr>
              <w:jc w:val="center"/>
              <w:rPr>
                <w:rFonts w:hint="eastAsia"/>
              </w:rPr>
            </w:pPr>
          </w:p>
        </w:tc>
        <w:tc>
          <w:tcPr>
            <w:tcW w:w="2883" w:type="dxa"/>
            <w:gridSpan w:val="2"/>
            <w:tcBorders>
              <w:top w:val="single" w:color="auto" w:sz="4" w:space="0"/>
              <w:bottom w:val="single" w:color="auto" w:sz="4" w:space="0"/>
            </w:tcBorders>
            <w:noWrap w:val="0"/>
            <w:vAlign w:val="center"/>
          </w:tcPr>
          <w:p w14:paraId="4FC0314A">
            <w:pPr>
              <w:jc w:val="center"/>
              <w:rPr>
                <w:rFonts w:hint="eastAsia"/>
              </w:rPr>
            </w:pPr>
          </w:p>
        </w:tc>
        <w:tc>
          <w:tcPr>
            <w:tcW w:w="1447" w:type="dxa"/>
            <w:gridSpan w:val="2"/>
            <w:tcBorders>
              <w:top w:val="single" w:color="auto" w:sz="4" w:space="0"/>
              <w:bottom w:val="single" w:color="auto" w:sz="4" w:space="0"/>
            </w:tcBorders>
            <w:noWrap w:val="0"/>
            <w:vAlign w:val="center"/>
          </w:tcPr>
          <w:p w14:paraId="3C39198F">
            <w:pPr>
              <w:jc w:val="center"/>
              <w:rPr>
                <w:rFonts w:hint="eastAsia"/>
              </w:rPr>
            </w:pPr>
          </w:p>
        </w:tc>
        <w:tc>
          <w:tcPr>
            <w:tcW w:w="2689" w:type="dxa"/>
            <w:tcBorders>
              <w:top w:val="single" w:color="auto" w:sz="4" w:space="0"/>
              <w:bottom w:val="single" w:color="auto" w:sz="4" w:space="0"/>
            </w:tcBorders>
            <w:noWrap w:val="0"/>
            <w:vAlign w:val="center"/>
          </w:tcPr>
          <w:p w14:paraId="4D67154B">
            <w:pPr>
              <w:jc w:val="center"/>
              <w:rPr>
                <w:rFonts w:hint="eastAsia"/>
              </w:rPr>
            </w:pPr>
          </w:p>
        </w:tc>
      </w:tr>
      <w:tr w14:paraId="6C142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35" w:hRule="atLeast"/>
          <w:jc w:val="center"/>
        </w:trPr>
        <w:tc>
          <w:tcPr>
            <w:tcW w:w="466" w:type="dxa"/>
            <w:vMerge w:val="continue"/>
            <w:noWrap w:val="0"/>
            <w:textDirection w:val="tbRlV"/>
            <w:vAlign w:val="center"/>
          </w:tcPr>
          <w:p w14:paraId="6DBDF252">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58D599B0">
            <w:pPr>
              <w:jc w:val="center"/>
            </w:pPr>
          </w:p>
        </w:tc>
        <w:tc>
          <w:tcPr>
            <w:tcW w:w="719" w:type="dxa"/>
            <w:tcBorders>
              <w:top w:val="single" w:color="auto" w:sz="4" w:space="0"/>
              <w:bottom w:val="single" w:color="auto" w:sz="4" w:space="0"/>
            </w:tcBorders>
            <w:noWrap w:val="0"/>
            <w:vAlign w:val="center"/>
          </w:tcPr>
          <w:p w14:paraId="0DC74226">
            <w:pPr>
              <w:jc w:val="center"/>
              <w:rPr>
                <w:rFonts w:hint="eastAsia"/>
              </w:rPr>
            </w:pPr>
          </w:p>
        </w:tc>
        <w:tc>
          <w:tcPr>
            <w:tcW w:w="2883" w:type="dxa"/>
            <w:gridSpan w:val="2"/>
            <w:tcBorders>
              <w:top w:val="single" w:color="auto" w:sz="4" w:space="0"/>
              <w:bottom w:val="single" w:color="auto" w:sz="4" w:space="0"/>
            </w:tcBorders>
            <w:noWrap w:val="0"/>
            <w:vAlign w:val="center"/>
          </w:tcPr>
          <w:p w14:paraId="4643C6EA">
            <w:pPr>
              <w:jc w:val="center"/>
              <w:rPr>
                <w:rFonts w:hint="eastAsia"/>
              </w:rPr>
            </w:pPr>
          </w:p>
        </w:tc>
        <w:tc>
          <w:tcPr>
            <w:tcW w:w="1447" w:type="dxa"/>
            <w:gridSpan w:val="2"/>
            <w:tcBorders>
              <w:top w:val="single" w:color="auto" w:sz="4" w:space="0"/>
              <w:bottom w:val="single" w:color="auto" w:sz="4" w:space="0"/>
            </w:tcBorders>
            <w:noWrap w:val="0"/>
            <w:vAlign w:val="center"/>
          </w:tcPr>
          <w:p w14:paraId="22142B06">
            <w:pPr>
              <w:jc w:val="center"/>
              <w:rPr>
                <w:rFonts w:hint="eastAsia"/>
              </w:rPr>
            </w:pPr>
          </w:p>
        </w:tc>
        <w:tc>
          <w:tcPr>
            <w:tcW w:w="2689" w:type="dxa"/>
            <w:tcBorders>
              <w:top w:val="single" w:color="auto" w:sz="4" w:space="0"/>
              <w:bottom w:val="single" w:color="auto" w:sz="4" w:space="0"/>
            </w:tcBorders>
            <w:noWrap w:val="0"/>
            <w:vAlign w:val="center"/>
          </w:tcPr>
          <w:p w14:paraId="4701B932">
            <w:pPr>
              <w:jc w:val="center"/>
              <w:rPr>
                <w:rFonts w:hint="eastAsia"/>
              </w:rPr>
            </w:pPr>
          </w:p>
        </w:tc>
      </w:tr>
      <w:tr w14:paraId="10D18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jc w:val="center"/>
        </w:trPr>
        <w:tc>
          <w:tcPr>
            <w:tcW w:w="466" w:type="dxa"/>
            <w:vMerge w:val="restart"/>
            <w:noWrap w:val="0"/>
            <w:textDirection w:val="tbRlV"/>
            <w:vAlign w:val="center"/>
          </w:tcPr>
          <w:p w14:paraId="40741FE5">
            <w:pPr>
              <w:ind w:left="113" w:right="113"/>
              <w:jc w:val="center"/>
              <w:rPr>
                <w:rFonts w:hint="eastAsia" w:ascii="黑体" w:hAnsi="黑体" w:eastAsia="黑体"/>
              </w:rPr>
            </w:pPr>
            <w:r>
              <w:rPr>
                <w:rFonts w:hint="eastAsia" w:ascii="黑体" w:hAnsi="黑体" w:eastAsia="黑体"/>
              </w:rPr>
              <w:t>指导教师</w:t>
            </w:r>
          </w:p>
        </w:tc>
        <w:tc>
          <w:tcPr>
            <w:tcW w:w="1082" w:type="dxa"/>
            <w:gridSpan w:val="2"/>
            <w:tcBorders>
              <w:top w:val="single" w:color="auto" w:sz="4" w:space="0"/>
              <w:bottom w:val="single" w:color="auto" w:sz="4" w:space="0"/>
            </w:tcBorders>
            <w:noWrap w:val="0"/>
            <w:vAlign w:val="center"/>
          </w:tcPr>
          <w:p w14:paraId="4810A360">
            <w:pPr>
              <w:jc w:val="center"/>
              <w:rPr>
                <w:rFonts w:hint="eastAsia" w:ascii="黑体" w:hAnsi="黑体" w:eastAsia="黑体"/>
              </w:rPr>
            </w:pPr>
            <w:r>
              <w:rPr>
                <w:rFonts w:hint="eastAsia" w:ascii="黑体" w:hAnsi="黑体" w:eastAsia="黑体"/>
              </w:rPr>
              <w:t>姓名</w:t>
            </w:r>
          </w:p>
        </w:tc>
        <w:tc>
          <w:tcPr>
            <w:tcW w:w="3602" w:type="dxa"/>
            <w:gridSpan w:val="3"/>
            <w:tcBorders>
              <w:top w:val="single" w:color="auto" w:sz="4" w:space="0"/>
              <w:bottom w:val="single" w:color="auto" w:sz="4" w:space="0"/>
            </w:tcBorders>
            <w:noWrap w:val="0"/>
            <w:vAlign w:val="center"/>
          </w:tcPr>
          <w:p w14:paraId="4B1A407D">
            <w:pPr>
              <w:jc w:val="center"/>
              <w:rPr>
                <w:rFonts w:hint="eastAsia"/>
              </w:rPr>
            </w:pPr>
          </w:p>
        </w:tc>
        <w:tc>
          <w:tcPr>
            <w:tcW w:w="1447" w:type="dxa"/>
            <w:gridSpan w:val="2"/>
            <w:tcBorders>
              <w:top w:val="single" w:color="auto" w:sz="4" w:space="0"/>
              <w:bottom w:val="single" w:color="auto" w:sz="4" w:space="0"/>
            </w:tcBorders>
            <w:noWrap w:val="0"/>
            <w:vAlign w:val="center"/>
          </w:tcPr>
          <w:p w14:paraId="5CADD8ED">
            <w:pPr>
              <w:jc w:val="center"/>
              <w:rPr>
                <w:rFonts w:hint="eastAsia" w:ascii="黑体" w:hAnsi="黑体" w:eastAsia="黑体"/>
              </w:rPr>
            </w:pPr>
            <w:r>
              <w:rPr>
                <w:rFonts w:hint="eastAsia" w:ascii="黑体" w:hAnsi="黑体" w:eastAsia="黑体"/>
              </w:rPr>
              <w:t>职务/职称</w:t>
            </w:r>
          </w:p>
        </w:tc>
        <w:tc>
          <w:tcPr>
            <w:tcW w:w="2689" w:type="dxa"/>
            <w:tcBorders>
              <w:top w:val="single" w:color="auto" w:sz="4" w:space="0"/>
              <w:bottom w:val="single" w:color="auto" w:sz="4" w:space="0"/>
            </w:tcBorders>
            <w:noWrap w:val="0"/>
            <w:vAlign w:val="center"/>
          </w:tcPr>
          <w:p w14:paraId="6519FA63">
            <w:pPr>
              <w:jc w:val="center"/>
              <w:rPr>
                <w:rFonts w:hint="eastAsia"/>
              </w:rPr>
            </w:pPr>
          </w:p>
        </w:tc>
      </w:tr>
      <w:tr w14:paraId="7B025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0" w:hRule="atLeast"/>
          <w:jc w:val="center"/>
        </w:trPr>
        <w:tc>
          <w:tcPr>
            <w:tcW w:w="466" w:type="dxa"/>
            <w:vMerge w:val="continue"/>
            <w:noWrap w:val="0"/>
            <w:textDirection w:val="tbRlV"/>
            <w:vAlign w:val="center"/>
          </w:tcPr>
          <w:p w14:paraId="7927B7C0">
            <w:pPr>
              <w:ind w:left="113" w:right="113"/>
              <w:jc w:val="center"/>
              <w:rPr>
                <w:rFonts w:hint="eastAsia" w:ascii="黑体" w:hAnsi="黑体" w:eastAsia="黑体"/>
              </w:rPr>
            </w:pPr>
          </w:p>
        </w:tc>
        <w:tc>
          <w:tcPr>
            <w:tcW w:w="1082" w:type="dxa"/>
            <w:gridSpan w:val="2"/>
            <w:tcBorders>
              <w:top w:val="single" w:color="auto" w:sz="4" w:space="0"/>
              <w:bottom w:val="single" w:color="auto" w:sz="4" w:space="0"/>
            </w:tcBorders>
            <w:noWrap w:val="0"/>
            <w:vAlign w:val="center"/>
          </w:tcPr>
          <w:p w14:paraId="6292DD98">
            <w:pPr>
              <w:jc w:val="center"/>
              <w:rPr>
                <w:rFonts w:hint="eastAsia" w:ascii="黑体" w:hAnsi="黑体" w:eastAsia="黑体"/>
              </w:rPr>
            </w:pPr>
            <w:r>
              <w:rPr>
                <w:rFonts w:hint="eastAsia" w:ascii="黑体" w:hAnsi="黑体" w:eastAsia="黑体"/>
              </w:rPr>
              <w:t>所在学院</w:t>
            </w:r>
          </w:p>
        </w:tc>
        <w:tc>
          <w:tcPr>
            <w:tcW w:w="3602" w:type="dxa"/>
            <w:gridSpan w:val="3"/>
            <w:tcBorders>
              <w:top w:val="single" w:color="auto" w:sz="4" w:space="0"/>
              <w:bottom w:val="single" w:color="auto" w:sz="4" w:space="0"/>
            </w:tcBorders>
            <w:noWrap w:val="0"/>
            <w:vAlign w:val="center"/>
          </w:tcPr>
          <w:p w14:paraId="6EDACEF6">
            <w:pPr>
              <w:jc w:val="center"/>
              <w:rPr>
                <w:rFonts w:hint="eastAsia"/>
              </w:rPr>
            </w:pPr>
          </w:p>
        </w:tc>
        <w:tc>
          <w:tcPr>
            <w:tcW w:w="1447" w:type="dxa"/>
            <w:gridSpan w:val="2"/>
            <w:tcBorders>
              <w:top w:val="single" w:color="auto" w:sz="4" w:space="0"/>
              <w:bottom w:val="single" w:color="auto" w:sz="4" w:space="0"/>
            </w:tcBorders>
            <w:noWrap w:val="0"/>
            <w:vAlign w:val="center"/>
          </w:tcPr>
          <w:p w14:paraId="08974125">
            <w:pPr>
              <w:jc w:val="center"/>
              <w:rPr>
                <w:rFonts w:hint="eastAsia" w:ascii="黑体" w:hAnsi="黑体" w:eastAsia="黑体"/>
                <w:lang w:val="en-US" w:eastAsia="zh-CN"/>
              </w:rPr>
            </w:pPr>
            <w:r>
              <w:rPr>
                <w:rFonts w:hint="eastAsia" w:ascii="黑体" w:hAnsi="黑体" w:eastAsia="黑体"/>
                <w:lang w:val="en-US" w:eastAsia="zh-CN"/>
              </w:rPr>
              <w:t>学历</w:t>
            </w:r>
          </w:p>
        </w:tc>
        <w:tc>
          <w:tcPr>
            <w:tcW w:w="2689" w:type="dxa"/>
            <w:tcBorders>
              <w:top w:val="single" w:color="auto" w:sz="4" w:space="0"/>
              <w:bottom w:val="single" w:color="auto" w:sz="4" w:space="0"/>
            </w:tcBorders>
            <w:noWrap w:val="0"/>
            <w:vAlign w:val="center"/>
          </w:tcPr>
          <w:p w14:paraId="7FAEFA22">
            <w:pPr>
              <w:jc w:val="center"/>
              <w:rPr>
                <w:rFonts w:hint="eastAsia"/>
              </w:rPr>
            </w:pPr>
          </w:p>
        </w:tc>
      </w:tr>
      <w:tr w14:paraId="453E7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8" w:hRule="atLeast"/>
          <w:jc w:val="center"/>
        </w:trPr>
        <w:tc>
          <w:tcPr>
            <w:tcW w:w="466" w:type="dxa"/>
            <w:vMerge w:val="continue"/>
            <w:noWrap w:val="0"/>
            <w:textDirection w:val="tbRlV"/>
            <w:vAlign w:val="center"/>
          </w:tcPr>
          <w:p w14:paraId="5B3D90EE">
            <w:pPr>
              <w:ind w:left="113" w:right="113"/>
              <w:jc w:val="center"/>
              <w:rPr>
                <w:rFonts w:hint="eastAsia"/>
              </w:rPr>
            </w:pPr>
          </w:p>
        </w:tc>
        <w:tc>
          <w:tcPr>
            <w:tcW w:w="1082" w:type="dxa"/>
            <w:gridSpan w:val="2"/>
            <w:tcBorders>
              <w:top w:val="single" w:color="auto" w:sz="4" w:space="0"/>
              <w:bottom w:val="single" w:color="auto" w:sz="4" w:space="0"/>
            </w:tcBorders>
            <w:noWrap w:val="0"/>
            <w:vAlign w:val="center"/>
          </w:tcPr>
          <w:p w14:paraId="4D7044CA">
            <w:pPr>
              <w:jc w:val="center"/>
              <w:rPr>
                <w:rFonts w:hint="eastAsia" w:ascii="黑体" w:hAnsi="黑体" w:eastAsia="黑体"/>
              </w:rPr>
            </w:pPr>
            <w:r>
              <w:rPr>
                <w:rFonts w:hint="eastAsia" w:ascii="黑体" w:hAnsi="黑体" w:eastAsia="黑体"/>
              </w:rPr>
              <w:t>联系电话</w:t>
            </w:r>
          </w:p>
        </w:tc>
        <w:tc>
          <w:tcPr>
            <w:tcW w:w="3602" w:type="dxa"/>
            <w:gridSpan w:val="3"/>
            <w:tcBorders>
              <w:top w:val="single" w:color="auto" w:sz="4" w:space="0"/>
              <w:bottom w:val="single" w:color="auto" w:sz="4" w:space="0"/>
            </w:tcBorders>
            <w:noWrap w:val="0"/>
            <w:vAlign w:val="center"/>
          </w:tcPr>
          <w:p w14:paraId="41B904E1">
            <w:pPr>
              <w:jc w:val="center"/>
              <w:rPr>
                <w:rFonts w:hint="eastAsia"/>
              </w:rPr>
            </w:pPr>
          </w:p>
        </w:tc>
        <w:tc>
          <w:tcPr>
            <w:tcW w:w="1447" w:type="dxa"/>
            <w:gridSpan w:val="2"/>
            <w:tcBorders>
              <w:top w:val="single" w:color="auto" w:sz="4" w:space="0"/>
              <w:bottom w:val="single" w:color="auto" w:sz="4" w:space="0"/>
            </w:tcBorders>
            <w:noWrap w:val="0"/>
            <w:vAlign w:val="center"/>
          </w:tcPr>
          <w:p w14:paraId="460DA8F7">
            <w:pPr>
              <w:jc w:val="center"/>
              <w:rPr>
                <w:rFonts w:hint="eastAsia" w:ascii="黑体" w:hAnsi="黑体" w:eastAsia="黑体"/>
              </w:rPr>
            </w:pPr>
            <w:r>
              <w:rPr>
                <w:rFonts w:hint="eastAsia" w:ascii="黑体" w:hAnsi="黑体" w:eastAsia="黑体"/>
              </w:rPr>
              <w:t>E-mail</w:t>
            </w:r>
          </w:p>
        </w:tc>
        <w:tc>
          <w:tcPr>
            <w:tcW w:w="2689" w:type="dxa"/>
            <w:tcBorders>
              <w:top w:val="single" w:color="auto" w:sz="4" w:space="0"/>
              <w:bottom w:val="single" w:color="auto" w:sz="4" w:space="0"/>
            </w:tcBorders>
            <w:noWrap w:val="0"/>
            <w:vAlign w:val="center"/>
          </w:tcPr>
          <w:p w14:paraId="7FEFFDE3">
            <w:pPr>
              <w:jc w:val="center"/>
              <w:rPr>
                <w:rFonts w:hint="eastAsia"/>
              </w:rPr>
            </w:pPr>
          </w:p>
        </w:tc>
      </w:tr>
      <w:tr w14:paraId="128A4D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1548" w:type="dxa"/>
            <w:gridSpan w:val="3"/>
            <w:noWrap w:val="0"/>
            <w:vAlign w:val="center"/>
          </w:tcPr>
          <w:p w14:paraId="71833B44">
            <w:pPr>
              <w:jc w:val="center"/>
              <w:rPr>
                <w:rFonts w:hint="eastAsia" w:ascii="黑体" w:hAnsi="黑体" w:eastAsia="黑体"/>
              </w:rPr>
            </w:pPr>
            <w:r>
              <w:rPr>
                <w:rFonts w:hint="eastAsia" w:ascii="黑体" w:hAnsi="黑体" w:eastAsia="黑体"/>
              </w:rPr>
              <w:t>导师简介</w:t>
            </w:r>
          </w:p>
        </w:tc>
        <w:tc>
          <w:tcPr>
            <w:tcW w:w="7738" w:type="dxa"/>
            <w:gridSpan w:val="6"/>
            <w:tcBorders>
              <w:top w:val="single" w:color="auto" w:sz="4" w:space="0"/>
              <w:bottom w:val="single" w:color="auto" w:sz="4" w:space="0"/>
            </w:tcBorders>
            <w:noWrap w:val="0"/>
            <w:vAlign w:val="top"/>
          </w:tcPr>
          <w:p w14:paraId="0DDFBAEA">
            <w:pPr>
              <w:jc w:val="both"/>
              <w:rPr>
                <w:rFonts w:hint="default" w:eastAsia="宋体"/>
                <w:lang w:val="en-US" w:eastAsia="zh-CN"/>
              </w:rPr>
            </w:pPr>
            <w:r>
              <w:rPr>
                <w:rFonts w:hint="eastAsia" w:ascii="黑体" w:hAnsi="黑体" w:eastAsia="黑体" w:cs="Times New Roman"/>
                <w:lang w:val="en-US" w:eastAsia="zh-CN"/>
              </w:rPr>
              <w:t>待指导教师据实填写科研、教学及指导情况。</w:t>
            </w:r>
          </w:p>
        </w:tc>
      </w:tr>
      <w:tr w14:paraId="350C8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0" w:hRule="atLeast"/>
          <w:jc w:val="center"/>
        </w:trPr>
        <w:tc>
          <w:tcPr>
            <w:tcW w:w="1548" w:type="dxa"/>
            <w:gridSpan w:val="3"/>
            <w:noWrap w:val="0"/>
            <w:vAlign w:val="center"/>
          </w:tcPr>
          <w:p w14:paraId="72FC73B1">
            <w:pPr>
              <w:jc w:val="center"/>
              <w:rPr>
                <w:rFonts w:hint="default" w:ascii="黑体" w:hAnsi="黑体" w:eastAsia="黑体"/>
                <w:lang w:val="en-US" w:eastAsia="zh-CN"/>
              </w:rPr>
            </w:pPr>
            <w:r>
              <w:rPr>
                <w:rFonts w:hint="eastAsia" w:ascii="黑体" w:hAnsi="黑体" w:eastAsia="黑体"/>
                <w:lang w:val="en-US" w:eastAsia="zh-CN"/>
              </w:rPr>
              <w:t>指导教师可对本项目的支持情况</w:t>
            </w:r>
          </w:p>
        </w:tc>
        <w:tc>
          <w:tcPr>
            <w:tcW w:w="7738" w:type="dxa"/>
            <w:gridSpan w:val="6"/>
            <w:tcBorders>
              <w:top w:val="single" w:color="auto" w:sz="4" w:space="0"/>
              <w:bottom w:val="single" w:color="auto" w:sz="4" w:space="0"/>
            </w:tcBorders>
            <w:noWrap w:val="0"/>
            <w:vAlign w:val="top"/>
          </w:tcPr>
          <w:p w14:paraId="025219C5">
            <w:pPr>
              <w:jc w:val="both"/>
              <w:rPr>
                <w:rFonts w:hint="eastAsia" w:eastAsia="宋体"/>
                <w:lang w:eastAsia="zh-CN"/>
              </w:rPr>
            </w:pPr>
            <w:r>
              <w:rPr>
                <w:rFonts w:hint="eastAsia"/>
                <w:lang w:eastAsia="zh-CN"/>
              </w:rPr>
              <w:t>待教师确认可提供的实验空间、参考仪器、开发及研究指导条件。</w:t>
            </w:r>
          </w:p>
        </w:tc>
      </w:tr>
      <w:tr w14:paraId="73EDD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p w14:paraId="2B5799DC">
            <w:pPr>
              <w:keepNext/>
              <w:keepLines/>
              <w:spacing w:beforeLines="50" w:after="100" w:line="240" w:lineRule="auto"/>
              <w:jc w:val="left"/>
              <w:rPr>
                <w:rFonts w:hint="default" w:ascii="Times New Roman" w:hAnsi="Times New Roman" w:eastAsia="宋体" w:cs="Times New Roman"/>
                <w:b/>
                <w:sz w:val="21"/>
                <w:szCs w:val="28"/>
                <w:lang w:eastAsia="zh-CN"/>
              </w:rPr>
            </w:pPr>
            <w:r>
              <w:rPr>
                <w:rFonts w:hint="default" w:ascii="Times New Roman" w:hAnsi="Times New Roman" w:eastAsia="宋体" w:cs="Times New Roman"/>
                <w:b/>
                <w:sz w:val="21"/>
                <w:szCs w:val="28"/>
                <w:lang w:eastAsia="zh-CN"/>
              </w:rPr>
              <w:t>一、项目简介（300字左右）</w:t>
            </w:r>
          </w:p>
          <w:p w14:paraId="0D2371F7">
            <w:pPr>
              <w:keepNext w:val="0"/>
              <w:keepLines/>
              <w:spacing w:beforeLines="50" w:after="100" w:line="240" w:lineRule="auto"/>
              <w:jc w:val="left"/>
              <w:rPr>
                <w:rFonts w:hint="default" w:ascii="Times New Roman" w:hAnsi="Times New Roman" w:eastAsia="宋体" w:cs="Times New Roman"/>
                <w:sz w:val="21"/>
                <w:szCs w:val="28"/>
                <w:lang w:eastAsia="zh-CN"/>
              </w:rPr>
            </w:pPr>
            <w:r>
              <w:rPr>
                <w:rFonts w:hint="default" w:ascii="Times New Roman" w:hAnsi="Times New Roman" w:eastAsia="宋体" w:cs="Times New Roman"/>
                <w:sz w:val="21"/>
                <w:szCs w:val="28"/>
                <w:lang w:eastAsia="zh-CN"/>
              </w:rPr>
              <w:t>本项目面向南疆滴灌支管运行巡检，拟研制由双压力流量感知节点、LoRa接收端和本地管理软件构成的早期故障诊断物联网原型系统。针对供压变化、轮灌切换与渐进故障容易混淆的问题，研究入口压力、下游压力及总流量联合观测下等效泄漏、等效受限的识别条件，建立包含故障程度、独立失效参照、误报和提前量的评价方法；结合事件缓存、确认与去重，研究有限通信量下告警及时送达的取舍。项目将建设双支路清水台架，开展标定、独立重复、跨批次对照和真实无线测试，形成可演示原型、可追溯数据及研究报告，为支管检查提供位置范围、变化证据和处理记录。当前已完成文献分析、未标定水力模型、合成试验与离线网页，实物及田间验证拟在实施期开展。</w:t>
            </w:r>
          </w:p>
        </w:tc>
      </w:tr>
      <w:tr w14:paraId="2FC34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p w14:paraId="62927A3D">
            <w:pPr>
              <w:keepNext/>
              <w:keepLines/>
              <w:spacing w:beforeLines="50" w:after="100" w:line="240" w:lineRule="auto"/>
              <w:jc w:val="left"/>
              <w:rPr>
                <w:rFonts w:hint="default" w:ascii="Times New Roman" w:hAnsi="Times New Roman" w:eastAsia="宋体" w:cs="Times New Roman"/>
                <w:b/>
                <w:sz w:val="21"/>
                <w:szCs w:val="28"/>
                <w:lang w:eastAsia="zh-CN"/>
              </w:rPr>
            </w:pPr>
            <w:r>
              <w:rPr>
                <w:rFonts w:hint="default" w:ascii="Times New Roman" w:hAnsi="Times New Roman" w:eastAsia="宋体" w:cs="Times New Roman"/>
                <w:b/>
                <w:sz w:val="21"/>
                <w:szCs w:val="28"/>
                <w:lang w:eastAsia="zh-CN"/>
              </w:rPr>
              <w:t>二、申请理由（包括自身/团队具备的知识条件、特长、兴趣等）</w:t>
            </w:r>
          </w:p>
          <w:p w14:paraId="50A3E2A2">
            <w:pPr>
              <w:keepNext/>
              <w:keepLines/>
              <w:spacing w:before="140" w:beforeLines="50" w:after="100" w:line="240" w:lineRule="auto"/>
              <w:jc w:val="left"/>
              <w:rPr>
                <w:rFonts w:hint="default" w:ascii="Times New Roman" w:hAnsi="Times New Roman" w:eastAsia="宋体" w:cs="Times New Roman"/>
                <w:b w:val="0"/>
                <w:sz w:val="21"/>
                <w:szCs w:val="28"/>
                <w:lang w:eastAsia="zh-CN"/>
              </w:rPr>
            </w:pPr>
            <w:r>
              <w:rPr>
                <w:rFonts w:hint="default" w:ascii="Times New Roman" w:hAnsi="Times New Roman" w:eastAsia="宋体" w:cs="Times New Roman"/>
                <w:b/>
                <w:sz w:val="21"/>
                <w:szCs w:val="28"/>
                <w:lang w:eastAsia="zh-CN"/>
              </w:rPr>
              <w:t>1 研究目的与应用场景</w:t>
            </w:r>
            <w:r>
              <w:rPr>
                <w:rFonts w:hint="default" w:ascii="Times New Roman" w:hAnsi="Times New Roman" w:eastAsia="宋体" w:cs="Times New Roman"/>
                <w:b w:val="0"/>
                <w:sz w:val="21"/>
                <w:szCs w:val="28"/>
                <w:lang w:eastAsia="zh-CN"/>
              </w:rPr>
              <w:br w:type="textWrapping"/>
            </w:r>
            <w:r>
              <w:rPr>
                <w:rFonts w:hint="default" w:ascii="Times New Roman" w:hAnsi="Times New Roman" w:eastAsia="宋体" w:cs="Times New Roman"/>
                <w:b w:val="0"/>
                <w:sz w:val="21"/>
                <w:szCs w:val="28"/>
                <w:lang w:eastAsia="zh-CN"/>
              </w:rPr>
              <w:t>滴灌支管的渐进变化可能同时受到供压、运行负载、操作状态和故障影响。一个流量下降提示只能说明观测发生了变化，难以直接告诉管理者应检查供水、阀门还是管路。本项目把研究对象放在支管运行巡检：在可观测的变化出现后，及时提供有证据的检查线索，并保留处理前后的数据，支持管理者核查。</w:t>
            </w:r>
          </w:p>
          <w:p w14:paraId="69DC2875">
            <w:pPr>
              <w:keepNext w:val="0"/>
              <w:keepLines/>
              <w:spacing w:beforeLines="50" w:after="100" w:line="240" w:lineRule="auto"/>
              <w:jc w:val="left"/>
              <w:rPr>
                <w:rFonts w:hint="default" w:ascii="Times New Roman" w:hAnsi="Times New Roman" w:eastAsia="宋体" w:cs="Times New Roman"/>
                <w:sz w:val="21"/>
                <w:szCs w:val="28"/>
                <w:lang w:eastAsia="zh-CN"/>
              </w:rPr>
            </w:pPr>
            <w:r>
              <w:rPr>
                <w:rFonts w:hint="default" w:ascii="Times New Roman" w:hAnsi="Times New Roman" w:eastAsia="宋体" w:cs="Times New Roman"/>
                <w:sz w:val="21"/>
                <w:szCs w:val="28"/>
                <w:lang w:eastAsia="zh-CN"/>
              </w:rPr>
              <w:t>拟以支管及压力点包围区段作为位置范围，研究水力响应可观测的等效泄漏和等效受限。项目的农业意义在于辅助运行排查；节水、增产等效益还需要独立农学试验，不作为本期已证实结论。南疆场景的实际轮灌方式、供压范围、安装位置与通信条件，将通过后续联系和现场调查校核。</w:t>
            </w:r>
          </w:p>
          <w:p w14:paraId="12F4B2E8">
            <w:pPr>
              <w:keepNext/>
              <w:keepLines/>
              <w:spacing w:before="140" w:beforeLines="50" w:after="100" w:line="240" w:lineRule="auto"/>
              <w:jc w:val="left"/>
              <w:rPr>
                <w:rFonts w:hint="default" w:ascii="Times New Roman" w:hAnsi="Times New Roman" w:eastAsia="宋体" w:cs="Times New Roman"/>
                <w:b w:val="0"/>
                <w:sz w:val="21"/>
                <w:szCs w:val="28"/>
                <w:lang w:eastAsia="zh-CN"/>
              </w:rPr>
            </w:pPr>
            <w:r>
              <w:rPr>
                <w:rFonts w:hint="default" w:ascii="Times New Roman" w:hAnsi="Times New Roman" w:eastAsia="宋体" w:cs="Times New Roman"/>
                <w:b/>
                <w:sz w:val="21"/>
                <w:szCs w:val="28"/>
                <w:lang w:eastAsia="zh-CN"/>
              </w:rPr>
              <w:t>2 专业结合与人员安排</w:t>
            </w:r>
            <w:r>
              <w:rPr>
                <w:rFonts w:hint="default" w:ascii="Times New Roman" w:hAnsi="Times New Roman" w:eastAsia="宋体" w:cs="Times New Roman"/>
                <w:b w:val="0"/>
                <w:sz w:val="21"/>
                <w:szCs w:val="28"/>
                <w:lang w:eastAsia="zh-CN"/>
              </w:rPr>
              <w:br w:type="textWrapping"/>
            </w:r>
            <w:r>
              <w:rPr>
                <w:rFonts w:hint="default" w:ascii="Times New Roman" w:hAnsi="Times New Roman" w:eastAsia="宋体" w:cs="Times New Roman"/>
                <w:b w:val="0"/>
                <w:sz w:val="21"/>
                <w:szCs w:val="28"/>
                <w:lang w:eastAsia="zh-CN"/>
              </w:rPr>
              <w:t>传感采集、嵌入式处理、无线协议和管理软件共同构成通信专业可参与的系统任务。负责人为塔里木大学信息工程学院通信专业大二学生，目前确认具备焊接能力。拟按系统与实验、嵌入式与通信、数据与管理软件配置三个岗位，在导师指导下完成原理学习、程序复现、分工开发和实验审查，团队总人数不超过模板规定的5人。</w:t>
            </w:r>
          </w:p>
          <w:p w14:paraId="21F254A9">
            <w:pPr>
              <w:keepNext w:val="0"/>
              <w:keepLines/>
              <w:spacing w:beforeLines="50" w:after="100" w:line="240" w:lineRule="auto"/>
              <w:jc w:val="left"/>
              <w:rPr>
                <w:rFonts w:hint="default" w:ascii="Times New Roman" w:hAnsi="Times New Roman" w:eastAsia="宋体" w:cs="Times New Roman"/>
                <w:sz w:val="21"/>
                <w:szCs w:val="28"/>
                <w:lang w:eastAsia="zh-CN"/>
              </w:rPr>
            </w:pPr>
            <w:r>
              <w:rPr>
                <w:rFonts w:hint="default" w:ascii="Times New Roman" w:hAnsi="Times New Roman" w:eastAsia="宋体" w:cs="Times New Roman"/>
                <w:sz w:val="21"/>
                <w:szCs w:val="28"/>
                <w:lang w:eastAsia="zh-CN"/>
              </w:rPr>
              <w:t>申报前需落实实际成员及开发能力，完成一次核心模型和网页流程的现场讲解与复现。成员经历、导师简介、实验室支持及仪器借用按实际情况填写。当前生成的程序与材料是前期方案基础，成员独立掌握和实施能力仍需训练与验证。</w:t>
            </w:r>
          </w:p>
        </w:tc>
      </w:tr>
      <w:tr w14:paraId="356CE3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p w14:paraId="3C7EA8D8">
            <w:pPr>
              <w:keepNext/>
              <w:keepLines/>
              <w:spacing w:beforeLines="50" w:after="100" w:line="240" w:lineRule="auto"/>
              <w:jc w:val="left"/>
              <w:rPr>
                <w:rFonts w:hint="default" w:ascii="Times New Roman" w:hAnsi="Times New Roman" w:eastAsia="宋体" w:cs="Times New Roman"/>
                <w:b/>
                <w:sz w:val="21"/>
                <w:szCs w:val="28"/>
                <w:lang w:val="en-US" w:eastAsia="zh-CN"/>
              </w:rPr>
            </w:pPr>
            <w:r>
              <w:rPr>
                <w:rFonts w:hint="default" w:ascii="Times New Roman" w:hAnsi="Times New Roman" w:eastAsia="宋体" w:cs="Times New Roman"/>
                <w:b/>
                <w:sz w:val="21"/>
                <w:szCs w:val="28"/>
                <w:lang w:val="en-US" w:eastAsia="zh-CN"/>
              </w:rPr>
              <w:t>三、项目方案（项目内容、项目目标、技术路线、实验方案、要解决的主要问题）</w:t>
            </w:r>
          </w:p>
          <w:p w14:paraId="16FCB27B">
            <w:pPr>
              <w:keepNext/>
              <w:keepLines/>
              <w:spacing w:before="140" w:beforeLines="50" w:after="100" w:line="240" w:lineRule="auto"/>
              <w:jc w:val="left"/>
              <w:rPr>
                <w:rFonts w:hint="default" w:ascii="Times New Roman" w:hAnsi="Times New Roman" w:eastAsia="宋体" w:cs="Times New Roman"/>
                <w:b w:val="0"/>
                <w:sz w:val="21"/>
                <w:szCs w:val="28"/>
                <w:lang w:val="en-US" w:eastAsia="zh-CN"/>
              </w:rPr>
            </w:pPr>
            <w:r>
              <w:rPr>
                <w:rFonts w:hint="default" w:ascii="Times New Roman" w:hAnsi="Times New Roman" w:eastAsia="宋体" w:cs="Times New Roman"/>
                <w:b/>
                <w:sz w:val="21"/>
                <w:szCs w:val="28"/>
                <w:lang w:val="en-US" w:eastAsia="zh-CN"/>
              </w:rPr>
              <w:t>1 系统组成与任务分工</w:t>
            </w:r>
            <w:r>
              <w:rPr>
                <w:rFonts w:hint="default" w:ascii="Times New Roman" w:hAnsi="Times New Roman" w:eastAsia="宋体" w:cs="Times New Roman"/>
                <w:b w:val="0"/>
                <w:sz w:val="21"/>
                <w:szCs w:val="28"/>
                <w:lang w:val="en-US" w:eastAsia="zh-CN"/>
              </w:rPr>
              <w:br w:type="textWrapping"/>
            </w:r>
            <w:r>
              <w:rPr>
                <w:rFonts w:hint="default" w:ascii="Times New Roman" w:hAnsi="Times New Roman" w:eastAsia="宋体" w:cs="Times New Roman"/>
                <w:b w:val="0"/>
                <w:sz w:val="21"/>
                <w:szCs w:val="28"/>
                <w:lang w:val="en-US" w:eastAsia="zh-CN"/>
              </w:rPr>
              <w:t>本项目建设面向支管巡检的感知、诊断、无线告警与管理原型，基础配置为1个P0/P1/Q感知节点、1个LoRa接收端、1套双支路清水台架和1套本地Web管理软件。节点将有效测量与运行状态关联，给出有条件的故障模式或待检查提示；接收端保存事件证据，管理者据此核查并记录处理结果。独立参考测量和操作日志用于检验提示是否正确、是否提前以及何时送达，不能用检测器自己的输出替代实验标签。图1给出系统组成及评价数据的来源。</w:t>
            </w:r>
          </w:p>
          <w:p w14:paraId="0E2B79CD">
            <w:pPr>
              <w:keepNext w:val="0"/>
              <w:keepLines/>
              <w:spacing w:beforeLines="5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26" o:spt="75" alt="图1 支管巡检系统组成与独立评价关系 设计方案" type="#_x0000_t75" style="height:212.9pt;width:425pt;" filled="f" o:preferrelative="t" stroked="f" coordsize="21600,21600">
                  <v:path/>
                  <v:fill on="f" focussize="0,0"/>
                  <v:stroke on="f"/>
                  <v:imagedata r:id="rId6" o:title="system_scope"/>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18"/>
                <w:szCs w:val="28"/>
                <w:lang w:val="en-US" w:eastAsia="zh-CN"/>
              </w:rPr>
              <w:t>图1 支管巡检系统组成与独立评价关系 设计方案</w:t>
            </w:r>
          </w:p>
          <w:p w14:paraId="61088B39">
            <w:pPr>
              <w:keepNext w:val="0"/>
              <w:keepLines/>
              <w:spacing w:beforeLines="50" w:after="100" w:line="240" w:lineRule="auto"/>
              <w:jc w:val="left"/>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系统按感知测量、有限诊断、可靠告警和管理核查四项任务组织，表2分别规定其验证证据。系统闭环截至管理确认，自动阀控不列入本期基础任务。一个节点用于研究一个被监测区段，双支路用于制造共同供水与正常切换条件；它们并不代表已完成多节点田间部署。增加节点和现场适应性试验以资助、许可和测量质量为条件。</w:t>
            </w:r>
          </w:p>
          <w:p w14:paraId="75FC5BF7">
            <w:pPr>
              <w:keepNext/>
              <w:keepLines/>
              <w:spacing w:before="140" w:beforeLines="50" w:after="100" w:line="240" w:lineRule="auto"/>
              <w:jc w:val="left"/>
              <w:rPr>
                <w:rFonts w:hint="default" w:ascii="Times New Roman" w:hAnsi="Times New Roman" w:eastAsia="宋体" w:cs="Times New Roman"/>
                <w:b w:val="0"/>
                <w:sz w:val="21"/>
                <w:szCs w:val="28"/>
                <w:lang w:val="en-US" w:eastAsia="zh-CN"/>
              </w:rPr>
            </w:pPr>
            <w:r>
              <w:rPr>
                <w:rFonts w:hint="default" w:ascii="Times New Roman" w:hAnsi="Times New Roman" w:eastAsia="宋体" w:cs="Times New Roman"/>
                <w:b/>
                <w:sz w:val="21"/>
                <w:szCs w:val="28"/>
                <w:lang w:val="en-US" w:eastAsia="zh-CN"/>
              </w:rPr>
              <w:t>2 水力感知与台架设计</w:t>
            </w:r>
          </w:p>
          <w:p w14:paraId="7E4C9D50">
            <w:pPr>
              <w:keepNext/>
              <w:keepLines/>
              <w:spacing w:before="140" w:beforeLines="50" w:after="100" w:line="240" w:lineRule="auto"/>
              <w:jc w:val="left"/>
              <w:rPr>
                <w:rFonts w:hint="default" w:ascii="Times New Roman" w:hAnsi="Times New Roman" w:eastAsia="宋体" w:cs="Times New Roman"/>
                <w:b w:val="0"/>
                <w:sz w:val="21"/>
                <w:szCs w:val="28"/>
                <w:lang w:val="en-US" w:eastAsia="zh-CN"/>
              </w:rPr>
            </w:pPr>
            <w:r>
              <w:rPr>
                <w:rFonts w:hint="default" w:ascii="Times New Roman" w:hAnsi="Times New Roman" w:eastAsia="宋体" w:cs="Times New Roman"/>
                <w:b/>
                <w:sz w:val="21"/>
                <w:szCs w:val="28"/>
                <w:lang w:val="en-US" w:eastAsia="zh-CN"/>
              </w:rPr>
              <w:t>2.1 布点与故障注入</w:t>
            </w:r>
            <w:r>
              <w:rPr>
                <w:rFonts w:hint="default" w:ascii="Times New Roman" w:hAnsi="Times New Roman" w:eastAsia="宋体" w:cs="Times New Roman"/>
                <w:b w:val="0"/>
                <w:sz w:val="21"/>
                <w:szCs w:val="28"/>
                <w:lang w:val="en-US" w:eastAsia="zh-CN"/>
              </w:rPr>
              <w:br w:type="textWrapping"/>
            </w:r>
            <w:r>
              <w:rPr>
                <w:rFonts w:hint="default" w:ascii="Times New Roman" w:hAnsi="Times New Roman" w:eastAsia="宋体" w:cs="Times New Roman"/>
                <w:b w:val="0"/>
                <w:sz w:val="21"/>
                <w:szCs w:val="28"/>
                <w:lang w:val="en-US" w:eastAsia="zh-CN"/>
              </w:rPr>
              <w:t>P0位于监测区段入口，P1位于集中受限元件下游，Q位于泄漏旁路与A负载分流之前，记录两者的总流量；B支路连接同一供水源，用于模拟其他轮灌负载或正常切换。A支路逐步打开泄漏旁路模拟等效泄漏，逐步调节受限元件模拟局部阻力增加，分别记录操作、收集量和参考读数。图2用蓝色、绿色、橙色分别区分供水、正常负载与泄漏路径，限定观测区段与两种故障的注入位置。</w:t>
            </w:r>
          </w:p>
          <w:p w14:paraId="4F0536F6">
            <w:pPr>
              <w:keepNext w:val="0"/>
              <w:keepLines/>
              <w:spacing w:beforeLines="5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27" o:spt="75" alt="图2 双压力流量布点与双支路台架设计" type="#_x0000_t75" style="height:294.45pt;width:425pt;" filled="f" o:preferrelative="t" stroked="f" coordsize="21600,21600">
                  <v:path/>
                  <v:fill on="f" focussize="0,0"/>
                  <v:stroke on="f"/>
                  <v:imagedata r:id="rId7" o:title="dual_pressure_layout"/>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18"/>
                <w:szCs w:val="28"/>
                <w:lang w:val="en-US" w:eastAsia="zh-CN"/>
              </w:rPr>
              <w:t>图2 双压力流量布点与双支路台架设计</w:t>
            </w:r>
          </w:p>
          <w:p w14:paraId="6ABB16FC">
            <w:pPr>
              <w:keepNext w:val="0"/>
              <w:keepLines/>
              <w:spacing w:beforeLines="50" w:after="100" w:line="240" w:lineRule="auto"/>
              <w:jc w:val="left"/>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台架拟采用可调供水、支管、调节阀、三通、回水及泄漏收集装置。装配时先校核螺纹、密封、排气和传感器安装位置，再检查稳定供水与回水条件，最后开展切换和故障操作。泄漏支路保留独立收集与计时，以校核故障程度；B支路只承担正常负载切换，不注入第二类故障。节流阀用于模拟水力受限，所得结论不延伸到滴头沉积、生物膜或真实堵塞材料的形成机理。</w:t>
            </w:r>
          </w:p>
          <w:p w14:paraId="083EBBA1">
            <w:pPr>
              <w:keepNext w:val="0"/>
              <w:keepLines/>
              <w:spacing w:beforeLines="50" w:after="100" w:line="240" w:lineRule="auto"/>
              <w:jc w:val="left"/>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台架的物理布置与水力关系分别论证。图3按暂定900×520mm底板、140mm管中心高度建立参数化装配概念，补充弯头、三通、活接、侧向取压、管夹支撑及采集盒。正常回水与泄漏收集分开，泄漏出口高于容器口20mm。模型保留STEP实体及彩色网格，另附俯视与局部交互视图。管径、器件包络及接头尺寸暂定，采购后须核定装配、检修空间和防护；尚未制造或实测。</w:t>
            </w:r>
          </w:p>
          <w:p w14:paraId="47FAD638">
            <w:pPr>
              <w:keepNext w:val="0"/>
              <w:keepLines/>
              <w:spacing w:beforeLines="5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28" o:spt="75" alt="图3 双支路清水台架参数化装配布局 器件与安装尺寸待核定" type="#_x0000_t75" style="height:366.95pt;width:425pt;" filled="f" o:preferrelative="t" stroked="f" coordsize="21600,21600">
                  <v:path/>
                  <v:fill on="f" focussize="0,0"/>
                  <v:stroke on="f"/>
                  <v:imagedata r:id="rId8" o:title="bench_model"/>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18"/>
                <w:szCs w:val="28"/>
                <w:lang w:val="en-US" w:eastAsia="zh-CN"/>
              </w:rPr>
              <w:t>图3 双支路清水台架参数化装配布局 器件与安装尺寸待核定</w:t>
            </w:r>
          </w:p>
          <w:p w14:paraId="4D7982A7">
            <w:pPr>
              <w:keepNext/>
              <w:keepLines/>
              <w:spacing w:before="140" w:beforeLines="50" w:after="100" w:line="240" w:lineRule="auto"/>
              <w:jc w:val="left"/>
              <w:rPr>
                <w:rFonts w:hint="default" w:ascii="Times New Roman" w:hAnsi="Times New Roman" w:eastAsia="宋体" w:cs="Times New Roman"/>
                <w:b w:val="0"/>
                <w:sz w:val="21"/>
                <w:szCs w:val="28"/>
                <w:lang w:val="en-US" w:eastAsia="zh-CN"/>
              </w:rPr>
            </w:pPr>
            <w:r>
              <w:rPr>
                <w:rFonts w:hint="default" w:ascii="Times New Roman" w:hAnsi="Times New Roman" w:eastAsia="宋体" w:cs="Times New Roman"/>
                <w:b/>
                <w:sz w:val="21"/>
                <w:szCs w:val="28"/>
                <w:lang w:val="en-US" w:eastAsia="zh-CN"/>
              </w:rPr>
              <w:t>2.2 节点硬件与数据采集</w:t>
            </w:r>
            <w:r>
              <w:rPr>
                <w:rFonts w:hint="default" w:ascii="Times New Roman" w:hAnsi="Times New Roman" w:eastAsia="宋体" w:cs="Times New Roman"/>
                <w:b w:val="0"/>
                <w:sz w:val="21"/>
                <w:szCs w:val="28"/>
                <w:lang w:val="en-US" w:eastAsia="zh-CN"/>
              </w:rPr>
              <w:br w:type="textWrapping"/>
            </w:r>
            <w:r>
              <w:rPr>
                <w:rFonts w:hint="default" w:ascii="Times New Roman" w:hAnsi="Times New Roman" w:eastAsia="宋体" w:cs="Times New Roman"/>
                <w:b w:val="0"/>
                <w:sz w:val="21"/>
                <w:szCs w:val="28"/>
                <w:lang w:val="en-US" w:eastAsia="zh-CN"/>
              </w:rPr>
              <w:t>节点主控拟采用STM32F103C8T6最小系统板，压力经电流采样电阻和ADS1115接入I²C，流量经电平转换接入定时计数，LoRa经UART连接，microSD经SPI保存原始记录。接收端采用另一只LoRa模块与3.3V USB-TTL连接已有电脑，以Python串口接收、SQLite存储和本地Web提供查看确认。该配置先完成开发板原型，减少自制PCB与第二主控的开发负担。各接口及采购约束集中列于表1，图4专门论证双压力模拟前端。</w:t>
            </w:r>
          </w:p>
          <w:p w14:paraId="569551E8">
            <w:pPr>
              <w:keepNext w:val="0"/>
              <w:keepLines/>
              <w:spacing w:beforeLines="5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29" o:spt="75" alt="图4 两线制压力变送器与双通道ADC采集原理 保护元件待验证" type="#_x0000_t75" style="height:271.8pt;width:425pt;" filled="f" o:preferrelative="t" stroked="f" coordsize="21600,21600">
                  <v:path/>
                  <v:fill on="f" focussize="0,0"/>
                  <v:stroke on="f"/>
                  <v:imagedata r:id="rId9" o:title="pressure_frontend"/>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18"/>
                <w:szCs w:val="28"/>
                <w:lang w:val="en-US" w:eastAsia="zh-CN"/>
              </w:rPr>
              <w:t>图4 两线制压力变送器与双通道ADC采集原理 保护元件待验证</w:t>
            </w:r>
          </w:p>
          <w:p w14:paraId="7C4EEB2E">
            <w:pPr>
              <w:keepNext w:val="0"/>
              <w:keepLines/>
              <w:spacing w:beforeLines="50" w:after="100" w:line="240" w:lineRule="auto"/>
              <w:jc w:val="left"/>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依据MPM489选型资料的两线制4—20mA输出，拟用24V供电及150Ω精密采样电阻，把电流转换为0.6—3.0V；满量程电阻耗散为0.06W。候选电阻暂按0.1%公差、额定功率不低于0.25W选取，误差与温漂仍纳入标定。ADS1115拟以3.3V供电、±4.096V增益档分时采集，两路保留各自转换时间。增益档不扩大引脚允许电压范围，限流、保护、故障电流及共地布局需按器件手册设计并实测。图4是台架采集原理，尚非已验证PCB或现场隔离防雷设计。</w:t>
            </w:r>
          </w:p>
          <w:p w14:paraId="5057958D">
            <w:pPr>
              <w:keepNext w:val="0"/>
              <w:keepLines/>
              <w:spacing w:beforeLines="50" w:after="100" w:line="240" w:lineRule="auto"/>
              <w:jc w:val="left"/>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表1列出国内有供应资料的候选器件。型号按接口、测量范围和报价核定后冻结，尚未采购或完成接线。厂家资料、候选产品配图和国内采购入口保留在配套选型记录与网站，产品外观不作为本项目样机成果。</w:t>
            </w:r>
          </w:p>
          <w:tbl>
            <w:tblPr>
              <w:tblStyle w:val="6"/>
              <w:tblW w:w="85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500"/>
            </w:tblGrid>
            <w:tr w14:paraId="3C6D03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070" w:type="dxa"/>
                  <w:tcBorders>
                    <w:tl2br w:val="nil"/>
                    <w:tr2bl w:val="nil"/>
                  </w:tcBorders>
                </w:tcPr>
                <w:p w14:paraId="3B47C457">
                  <w:pPr>
                    <w:keepNext w:val="0"/>
                    <w:keepLines/>
                    <w:spacing w:beforeLines="50" w:after="140" w:line="240" w:lineRule="auto"/>
                    <w:jc w:val="left"/>
                    <w:rPr>
                      <w:rFonts w:hint="eastAsia" w:ascii="Times New Roman" w:hAnsi="Times New Roman" w:cs="Times New Roman"/>
                      <w:b/>
                      <w:sz w:val="21"/>
                      <w:szCs w:val="28"/>
                      <w:vertAlign w:val="baseline"/>
                      <w:lang w:val="en-US" w:eastAsia="zh-CN"/>
                    </w:rPr>
                  </w:pPr>
                  <w:r>
                    <w:rPr>
                      <w:rFonts w:hint="eastAsia" w:ascii="Times New Roman" w:hAnsi="Times New Roman" w:cs="Times New Roman"/>
                      <w:b/>
                      <w:sz w:val="21"/>
                      <w:szCs w:val="28"/>
                      <w:vertAlign w:val="baseline"/>
                      <w:lang w:val="en-US" w:eastAsia="zh-CN"/>
                    </w:rPr>
                    <w:t>表1 基础原型候选器件与接口</w:t>
                  </w:r>
                </w:p>
                <w:tbl>
                  <w:tblPr>
                    <w:tblStyle w:val="6"/>
                    <w:tblW w:w="8500" w:type="dxa"/>
                    <w:tblInd w:w="3" w:type="dxa"/>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Layout w:type="fixed"/>
                    <w:tblCellMar>
                      <w:top w:w="60" w:type="dxa"/>
                      <w:left w:w="100" w:type="dxa"/>
                      <w:bottom w:w="60" w:type="dxa"/>
                      <w:right w:w="100" w:type="dxa"/>
                    </w:tblCellMar>
                  </w:tblPr>
                  <w:tblGrid>
                    <w:gridCol w:w="1700"/>
                    <w:gridCol w:w="3300"/>
                    <w:gridCol w:w="3500"/>
                  </w:tblGrid>
                  <w:tr w14:paraId="1C039267">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blHeader/>
                    </w:trPr>
                    <w:tc>
                      <w:tcPr>
                        <w:tcW w:w="1700" w:type="dxa"/>
                        <w:tcBorders>
                          <w:tl2br w:val="nil"/>
                          <w:tr2bl w:val="nil"/>
                        </w:tcBorders>
                        <w:shd w:val="clear" w:color="auto" w:fill="EDEDED"/>
                        <w:vAlign w:val="center"/>
                      </w:tcPr>
                      <w:p w14:paraId="36A5F514">
                        <w:pPr>
                          <w:keepNext/>
                          <w:keepLines/>
                          <w:spacing w:beforeLines="50" w:after="40" w:line="240" w:lineRule="auto"/>
                          <w:jc w:val="left"/>
                          <w:rPr>
                            <w:rFonts w:hint="default" w:ascii="Times New Roman" w:hAnsi="Times New Roman" w:eastAsia="宋体" w:cs="Times New Roman"/>
                            <w:b/>
                            <w:sz w:val="19"/>
                            <w:szCs w:val="28"/>
                            <w:vertAlign w:val="baseline"/>
                            <w:lang w:val="en-US" w:eastAsia="zh-CN"/>
                          </w:rPr>
                        </w:pPr>
                        <w:r>
                          <w:rPr>
                            <w:rFonts w:hint="eastAsia" w:ascii="Times New Roman" w:hAnsi="Times New Roman" w:cs="Times New Roman"/>
                            <w:b/>
                            <w:sz w:val="19"/>
                            <w:szCs w:val="28"/>
                            <w:vertAlign w:val="baseline"/>
                            <w:lang w:val="en-US" w:eastAsia="zh-CN"/>
                          </w:rPr>
                          <w:t>器件与数量</w:t>
                        </w:r>
                      </w:p>
                    </w:tc>
                    <w:tc>
                      <w:tcPr>
                        <w:tcW w:w="3300" w:type="dxa"/>
                        <w:tcBorders>
                          <w:tl2br w:val="nil"/>
                          <w:tr2bl w:val="nil"/>
                        </w:tcBorders>
                        <w:shd w:val="clear" w:color="auto" w:fill="EDEDED"/>
                        <w:vAlign w:val="center"/>
                      </w:tcPr>
                      <w:p w14:paraId="1B898EB1">
                        <w:pPr>
                          <w:keepNext/>
                          <w:keepLines/>
                          <w:spacing w:beforeLines="50" w:after="40" w:line="240" w:lineRule="auto"/>
                          <w:jc w:val="left"/>
                          <w:rPr>
                            <w:rFonts w:hint="default" w:ascii="Times New Roman" w:hAnsi="Times New Roman" w:eastAsia="宋体" w:cs="Times New Roman"/>
                            <w:b/>
                            <w:sz w:val="19"/>
                            <w:szCs w:val="28"/>
                            <w:vertAlign w:val="baseline"/>
                            <w:lang w:val="en-US" w:eastAsia="zh-CN"/>
                          </w:rPr>
                        </w:pPr>
                        <w:r>
                          <w:rPr>
                            <w:rFonts w:hint="eastAsia" w:ascii="Times New Roman" w:hAnsi="Times New Roman" w:cs="Times New Roman"/>
                            <w:b/>
                            <w:sz w:val="19"/>
                            <w:szCs w:val="28"/>
                            <w:vertAlign w:val="baseline"/>
                            <w:lang w:val="en-US" w:eastAsia="zh-CN"/>
                          </w:rPr>
                          <w:t>候选配置</w:t>
                        </w:r>
                      </w:p>
                    </w:tc>
                    <w:tc>
                      <w:tcPr>
                        <w:tcW w:w="3500" w:type="dxa"/>
                        <w:tcBorders>
                          <w:tl2br w:val="nil"/>
                          <w:tr2bl w:val="nil"/>
                        </w:tcBorders>
                        <w:shd w:val="clear" w:color="auto" w:fill="EDEDED"/>
                        <w:vAlign w:val="center"/>
                      </w:tcPr>
                      <w:p w14:paraId="552B1A05">
                        <w:pPr>
                          <w:keepNext/>
                          <w:keepLines/>
                          <w:spacing w:beforeLines="50" w:after="40" w:line="240" w:lineRule="auto"/>
                          <w:jc w:val="left"/>
                          <w:rPr>
                            <w:rFonts w:hint="default" w:ascii="Times New Roman" w:hAnsi="Times New Roman" w:eastAsia="宋体" w:cs="Times New Roman"/>
                            <w:b/>
                            <w:sz w:val="19"/>
                            <w:szCs w:val="28"/>
                            <w:vertAlign w:val="baseline"/>
                            <w:lang w:val="en-US" w:eastAsia="zh-CN"/>
                          </w:rPr>
                        </w:pPr>
                        <w:r>
                          <w:rPr>
                            <w:rFonts w:hint="eastAsia" w:ascii="Times New Roman" w:hAnsi="Times New Roman" w:cs="Times New Roman"/>
                            <w:b/>
                            <w:sz w:val="19"/>
                            <w:szCs w:val="28"/>
                            <w:vertAlign w:val="baseline"/>
                            <w:lang w:val="en-US" w:eastAsia="zh-CN"/>
                          </w:rPr>
                          <w:t>接入与核对条件</w:t>
                        </w:r>
                      </w:p>
                    </w:tc>
                  </w:tr>
                  <w:tr w14:paraId="48A262BC">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700" w:type="dxa"/>
                        <w:tcBorders>
                          <w:tl2br w:val="nil"/>
                          <w:tr2bl w:val="nil"/>
                        </w:tcBorders>
                        <w:shd w:val="clear" w:color="auto" w:fill="FFFFFF"/>
                        <w:vAlign w:val="center"/>
                      </w:tcPr>
                      <w:p w14:paraId="129BCE53">
                        <w:pPr>
                          <w:keepNext/>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主控与日志</w:t>
                        </w:r>
                      </w:p>
                    </w:tc>
                    <w:tc>
                      <w:tcPr>
                        <w:tcW w:w="3300" w:type="dxa"/>
                        <w:tcBorders>
                          <w:tl2br w:val="nil"/>
                          <w:tr2bl w:val="nil"/>
                        </w:tcBorders>
                        <w:shd w:val="clear" w:color="auto" w:fill="FFFFFF"/>
                        <w:vAlign w:val="center"/>
                      </w:tcPr>
                      <w:p w14:paraId="1548C2EE">
                        <w:pPr>
                          <w:keepNext/>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STM32F103C8T6×1及microSD</w:t>
                        </w:r>
                      </w:p>
                    </w:tc>
                    <w:tc>
                      <w:tcPr>
                        <w:tcW w:w="3500" w:type="dxa"/>
                        <w:tcBorders>
                          <w:tl2br w:val="nil"/>
                          <w:tr2bl w:val="nil"/>
                        </w:tcBorders>
                        <w:shd w:val="clear" w:color="auto" w:fill="FFFFFF"/>
                        <w:vAlign w:val="center"/>
                      </w:tcPr>
                      <w:p w14:paraId="2F832291">
                        <w:pPr>
                          <w:keepNext/>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I²C、计数、UART、SPI资源；存储与掉电恢复</w:t>
                        </w:r>
                      </w:p>
                    </w:tc>
                  </w:tr>
                  <w:tr w14:paraId="39C196EC">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700" w:type="dxa"/>
                        <w:tcBorders>
                          <w:tl2br w:val="nil"/>
                          <w:tr2bl w:val="nil"/>
                        </w:tcBorders>
                        <w:shd w:val="clear" w:color="auto" w:fill="FFFFFF"/>
                        <w:vAlign w:val="center"/>
                      </w:tcPr>
                      <w:p w14:paraId="5E6A8552">
                        <w:pPr>
                          <w:keepNext/>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双压力</w:t>
                        </w:r>
                      </w:p>
                    </w:tc>
                    <w:tc>
                      <w:tcPr>
                        <w:tcW w:w="3300" w:type="dxa"/>
                        <w:tcBorders>
                          <w:tl2br w:val="nil"/>
                          <w:tr2bl w:val="nil"/>
                        </w:tcBorders>
                        <w:shd w:val="clear" w:color="auto" w:fill="FFFFFF"/>
                        <w:vAlign w:val="center"/>
                      </w:tcPr>
                      <w:p w14:paraId="0E4E510E">
                        <w:pPr>
                          <w:keepNext/>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MPM489系列×2，K200表压</w:t>
                        </w:r>
                      </w:p>
                    </w:tc>
                    <w:tc>
                      <w:tcPr>
                        <w:tcW w:w="3500" w:type="dxa"/>
                        <w:tcBorders>
                          <w:tl2br w:val="nil"/>
                          <w:tr2bl w:val="nil"/>
                        </w:tcBorders>
                        <w:shd w:val="clear" w:color="auto" w:fill="FFFFFF"/>
                        <w:vAlign w:val="center"/>
                      </w:tcPr>
                      <w:p w14:paraId="63B8DB10">
                        <w:pPr>
                          <w:keepNext/>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0—200kPa、4—20mA，按目录±0.25%FS核对；待询价</w:t>
                        </w:r>
                      </w:p>
                    </w:tc>
                  </w:tr>
                  <w:tr w14:paraId="52E3F608">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700" w:type="dxa"/>
                        <w:tcBorders>
                          <w:tl2br w:val="nil"/>
                          <w:tr2bl w:val="nil"/>
                        </w:tcBorders>
                        <w:shd w:val="clear" w:color="auto" w:fill="FFFFFF"/>
                        <w:vAlign w:val="center"/>
                      </w:tcPr>
                      <w:p w14:paraId="38EE6B9E">
                        <w:pPr>
                          <w:keepNext/>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流量</w:t>
                        </w:r>
                      </w:p>
                    </w:tc>
                    <w:tc>
                      <w:tcPr>
                        <w:tcW w:w="3300" w:type="dxa"/>
                        <w:tcBorders>
                          <w:tl2br w:val="nil"/>
                          <w:tr2bl w:val="nil"/>
                        </w:tcBorders>
                        <w:shd w:val="clear" w:color="auto" w:fill="FFFFFF"/>
                        <w:vAlign w:val="center"/>
                      </w:tcPr>
                      <w:p w14:paraId="406953D3">
                        <w:pPr>
                          <w:keepNext/>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SEN0549 G1/4×1</w:t>
                        </w:r>
                      </w:p>
                    </w:tc>
                    <w:tc>
                      <w:tcPr>
                        <w:tcW w:w="3500" w:type="dxa"/>
                        <w:tcBorders>
                          <w:tl2br w:val="nil"/>
                          <w:tr2bl w:val="nil"/>
                        </w:tcBorders>
                        <w:shd w:val="clear" w:color="auto" w:fill="FFFFFF"/>
                        <w:vAlign w:val="center"/>
                      </w:tcPr>
                      <w:p w14:paraId="18645729">
                        <w:pPr>
                          <w:keepNext/>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0.3—5L/min；5V脉冲需转换至3.3V</w:t>
                        </w:r>
                      </w:p>
                    </w:tc>
                  </w:tr>
                  <w:tr w14:paraId="0C8D1560">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700" w:type="dxa"/>
                        <w:tcBorders>
                          <w:tl2br w:val="nil"/>
                          <w:tr2bl w:val="nil"/>
                        </w:tcBorders>
                        <w:shd w:val="clear" w:color="auto" w:fill="FFFFFF"/>
                        <w:vAlign w:val="center"/>
                      </w:tcPr>
                      <w:p w14:paraId="0FED0FB6">
                        <w:pPr>
                          <w:keepNext/>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压力ADC</w:t>
                        </w:r>
                      </w:p>
                    </w:tc>
                    <w:tc>
                      <w:tcPr>
                        <w:tcW w:w="3300" w:type="dxa"/>
                        <w:tcBorders>
                          <w:tl2br w:val="nil"/>
                          <w:tr2bl w:val="nil"/>
                        </w:tcBorders>
                        <w:shd w:val="clear" w:color="auto" w:fill="FFFFFF"/>
                        <w:vAlign w:val="center"/>
                      </w:tcPr>
                      <w:p w14:paraId="7C78FB38">
                        <w:pPr>
                          <w:keepNext/>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ADS1115模块×1</w:t>
                        </w:r>
                      </w:p>
                    </w:tc>
                    <w:tc>
                      <w:tcPr>
                        <w:tcW w:w="3500" w:type="dxa"/>
                        <w:tcBorders>
                          <w:tl2br w:val="nil"/>
                          <w:tr2bl w:val="nil"/>
                        </w:tcBorders>
                        <w:shd w:val="clear" w:color="auto" w:fill="FFFFFF"/>
                        <w:vAlign w:val="center"/>
                      </w:tcPr>
                      <w:p w14:paraId="7F37C72B">
                        <w:pPr>
                          <w:keepNext/>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两路150Ω采样，0.6—3.0V；分时转换需记录错位</w:t>
                        </w:r>
                      </w:p>
                    </w:tc>
                  </w:tr>
                  <w:tr w14:paraId="11961445">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700" w:type="dxa"/>
                        <w:tcBorders>
                          <w:tl2br w:val="nil"/>
                          <w:tr2bl w:val="nil"/>
                        </w:tcBorders>
                        <w:shd w:val="clear" w:color="auto" w:fill="FFFFFF"/>
                        <w:vAlign w:val="center"/>
                      </w:tcPr>
                      <w:p w14:paraId="4468C955">
                        <w:pPr>
                          <w:keepNext/>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无线接收</w:t>
                        </w:r>
                      </w:p>
                    </w:tc>
                    <w:tc>
                      <w:tcPr>
                        <w:tcW w:w="3300" w:type="dxa"/>
                        <w:tcBorders>
                          <w:tl2br w:val="nil"/>
                          <w:tr2bl w:val="nil"/>
                        </w:tcBorders>
                        <w:shd w:val="clear" w:color="auto" w:fill="FFFFFF"/>
                        <w:vAlign w:val="center"/>
                      </w:tcPr>
                      <w:p w14:paraId="7702026B">
                        <w:pPr>
                          <w:keepNext/>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E220-400T22D×2及天线</w:t>
                        </w:r>
                      </w:p>
                    </w:tc>
                    <w:tc>
                      <w:tcPr>
                        <w:tcW w:w="3500" w:type="dxa"/>
                        <w:tcBorders>
                          <w:tl2br w:val="nil"/>
                          <w:tr2bl w:val="nil"/>
                        </w:tcBorders>
                        <w:shd w:val="clear" w:color="auto" w:fill="FFFFFF"/>
                        <w:vAlign w:val="center"/>
                      </w:tcPr>
                      <w:p w14:paraId="232AB6ED">
                        <w:pPr>
                          <w:keepNext/>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UART；接收端USB-TTL接电脑，射频参数实测冻结</w:t>
                        </w:r>
                      </w:p>
                    </w:tc>
                  </w:tr>
                  <w:tr w14:paraId="00E6B6CF">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700" w:type="dxa"/>
                        <w:tcBorders>
                          <w:tl2br w:val="nil"/>
                          <w:tr2bl w:val="nil"/>
                        </w:tcBorders>
                        <w:shd w:val="clear" w:color="auto" w:fill="FFFFFF"/>
                        <w:vAlign w:val="center"/>
                      </w:tcPr>
                      <w:p w14:paraId="6745CA04">
                        <w:pPr>
                          <w:keepNext w:val="0"/>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水路与参考</w:t>
                        </w:r>
                      </w:p>
                    </w:tc>
                    <w:tc>
                      <w:tcPr>
                        <w:tcW w:w="3300" w:type="dxa"/>
                        <w:tcBorders>
                          <w:tl2br w:val="nil"/>
                          <w:tr2bl w:val="nil"/>
                        </w:tcBorders>
                        <w:shd w:val="clear" w:color="auto" w:fill="FFFFFF"/>
                        <w:vAlign w:val="center"/>
                      </w:tcPr>
                      <w:p w14:paraId="29AA1DE9">
                        <w:pPr>
                          <w:keepNext w:val="0"/>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双支路、阀、回水、独立参考</w:t>
                        </w:r>
                      </w:p>
                    </w:tc>
                    <w:tc>
                      <w:tcPr>
                        <w:tcW w:w="3500" w:type="dxa"/>
                        <w:tcBorders>
                          <w:tl2br w:val="nil"/>
                          <w:tr2bl w:val="nil"/>
                        </w:tcBorders>
                        <w:shd w:val="clear" w:color="auto" w:fill="FFFFFF"/>
                        <w:vAlign w:val="center"/>
                      </w:tcPr>
                      <w:p w14:paraId="331D0A38">
                        <w:pPr>
                          <w:keepNext w:val="0"/>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优先借可调连续水源；核对工作点、精度及螺纹</w:t>
                        </w:r>
                      </w:p>
                    </w:tc>
                  </w:tr>
                </w:tbl>
                <w:p w14:paraId="6D624C5C">
                  <w:pPr>
                    <w:keepNext w:val="0"/>
                    <w:keepLines/>
                    <w:spacing w:beforeLines="50" w:after="100" w:line="240" w:lineRule="auto"/>
                    <w:jc w:val="left"/>
                    <w:rPr>
                      <w:rFonts w:hint="default" w:ascii="Times New Roman" w:hAnsi="Times New Roman" w:cs="Times New Roman"/>
                      <w:sz w:val="21"/>
                      <w:szCs w:val="28"/>
                      <w:vertAlign w:val="baseline"/>
                      <w:lang w:val="en-US" w:eastAsia="zh-CN"/>
                    </w:rPr>
                  </w:pPr>
                </w:p>
              </w:tc>
            </w:tr>
          </w:tbl>
          <w:p w14:paraId="4EB96AA9">
            <w:pPr>
              <w:keepNext w:val="0"/>
              <w:keepLines/>
              <w:spacing w:beforeLines="50" w:after="100" w:line="240" w:lineRule="auto"/>
              <w:jc w:val="left"/>
              <w:rPr>
                <w:rFonts w:hint="default" w:ascii="Times New Roman" w:hAnsi="Times New Roman" w:eastAsia="宋体" w:cs="Times New Roman"/>
                <w:sz w:val="21"/>
                <w:szCs w:val="28"/>
                <w:lang w:val="en-US" w:eastAsia="zh-CN"/>
              </w:rPr>
            </w:pPr>
          </w:p>
          <w:p w14:paraId="13697CB9">
            <w:pPr>
              <w:keepNext w:val="0"/>
              <w:keepLines/>
              <w:spacing w:beforeLines="50" w:after="100" w:line="240" w:lineRule="auto"/>
              <w:jc w:val="left"/>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软件拟以1秒为首轮记录间隔保存P0、P1、Q及阀态，记录原始值、标定后值、转换时间和无效原因。流量拟采用10秒滚动脉冲计数并保留原始计数；时间窗与压力分时采集带来的延迟、错位纳入评价。整机供电与连接按台架先实现，现场安装另做适应性检查。采购入口和厂家资料另附《国内硬件选型与可行性核对》，淘宝入口不作为已购或现货证据。</w:t>
            </w:r>
          </w:p>
          <w:p w14:paraId="4282E78C">
            <w:pPr>
              <w:keepNext w:val="0"/>
              <w:keepLines/>
              <w:spacing w:beforeLines="50" w:after="100" w:line="240" w:lineRule="auto"/>
              <w:jc w:val="left"/>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采集程序按启动恢复、定时采样、质量检查、窗口对齐、状态关联和日志追加执行，质量及状态分支与诊断统一见图6。量程外、缺测和明显非物理读数输出无效原因；状态未知或切换等待期间继续保存原始记录，暂缓单一故障原因判断。质量筛选条件、等待时间和健康参照编号均写入配置，后续评价同时报告被暂缓判断的时间比例及该时段发生的异常。</w:t>
            </w:r>
          </w:p>
          <w:p w14:paraId="4B2D50A8">
            <w:pPr>
              <w:keepNext/>
              <w:keepLines/>
              <w:spacing w:before="140" w:beforeLines="50" w:after="100" w:line="240" w:lineRule="auto"/>
              <w:jc w:val="left"/>
              <w:rPr>
                <w:rFonts w:hint="default" w:ascii="Times New Roman" w:hAnsi="Times New Roman" w:eastAsia="宋体" w:cs="Times New Roman"/>
                <w:b w:val="0"/>
                <w:sz w:val="21"/>
                <w:szCs w:val="28"/>
                <w:lang w:val="en-US" w:eastAsia="zh-CN"/>
              </w:rPr>
            </w:pPr>
            <w:r>
              <w:rPr>
                <w:rFonts w:hint="default" w:ascii="Times New Roman" w:hAnsi="Times New Roman" w:eastAsia="宋体" w:cs="Times New Roman"/>
                <w:b/>
                <w:sz w:val="21"/>
                <w:szCs w:val="28"/>
                <w:lang w:val="en-US" w:eastAsia="zh-CN"/>
              </w:rPr>
              <w:t>2.3 标定与等效模型</w:t>
            </w:r>
            <w:r>
              <w:rPr>
                <w:rFonts w:hint="default" w:ascii="Times New Roman" w:hAnsi="Times New Roman" w:eastAsia="宋体" w:cs="Times New Roman"/>
                <w:b w:val="0"/>
                <w:sz w:val="21"/>
                <w:szCs w:val="28"/>
                <w:lang w:val="en-US" w:eastAsia="zh-CN"/>
              </w:rPr>
              <w:br w:type="textWrapping"/>
            </w:r>
            <w:r>
              <w:rPr>
                <w:rFonts w:hint="default" w:ascii="Times New Roman" w:hAnsi="Times New Roman" w:eastAsia="宋体" w:cs="Times New Roman"/>
                <w:b w:val="0"/>
                <w:sz w:val="21"/>
                <w:szCs w:val="28"/>
                <w:lang w:val="en-US" w:eastAsia="zh-CN"/>
              </w:rPr>
              <w:t>压力采用参考表进行多点校核，流量采用容积或称重计时形成独立参照，记录零点、重复性、有效量程及同步误差。双压力的收益取决于健康压降是否大于差压不确定度；压差小于测量误差时，先调整量程、布点或试验程度，再进入辨识研究。</w:t>
            </w:r>
          </w:p>
          <w:p w14:paraId="584FEF70">
            <w:pPr>
              <w:keepNext w:val="0"/>
              <w:keepLines/>
              <w:spacing w:beforeLines="50" w:after="100" w:line="240" w:lineRule="auto"/>
              <w:jc w:val="left"/>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借鉴丁法龙等“建模—测压测流校核”的论证方式[2]，对图2区段采用P0−P1=R·Q²、Q=(Cₙ+Cₗ)·√P1，共同供水阻力连接A、B支路。R增加模拟受限，Cₗ增加模拟泄漏；未知正常负载Cₙ增加也可能产生同样观测。模型假定非压力补偿负载、理想同步和单故障，仅用于测点筛选、量程核对与反例分析，参数尚未实物标定。P用kPa、Q用L/min，R及C单位分别为kPa/(L/min)²、(L/min)/√kPa。</w:t>
            </w:r>
          </w:p>
          <w:p w14:paraId="5B575CE9">
            <w:pPr>
              <w:keepNext w:val="0"/>
              <w:keepLines/>
              <w:spacing w:beforeLines="50" w:after="100" w:line="240" w:lineRule="auto"/>
              <w:jc w:val="left"/>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预实验在多档健康供压和B状态下测定压力—流量关系，检验残差与重复性，再冻结健康参照及适用范围。流量计、接头和阀门压损计入测量，不沿用理想系数。负载为压力补偿型或实测不符合平方律时，修订模型及特征；本期不代替CFD、水锤或完整管网标定。</w:t>
            </w:r>
          </w:p>
          <w:p w14:paraId="4D3E4928">
            <w:pPr>
              <w:keepNext w:val="0"/>
              <w:keepLines/>
              <w:spacing w:beforeLines="50" w:after="100" w:line="240" w:lineRule="auto"/>
              <w:jc w:val="left"/>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据候选目录，200kPa、±0.25%FS压力通道单项界限为±0.5kPa，两通道差分最不利界限为1kPa，完整采集误差还须计入调理、ADC、温漂及参考条件。大量程1.6MPa、0.5—1%FS方案单通道界限达8—16kPa，不适合直接承担本项目主要差压测量。1秒流量窗的一个脉冲对应0.111L/min，10秒窗对应0.0111L/min；分辨率和窗口延迟必须同时权衡。</w:t>
            </w:r>
          </w:p>
          <w:p w14:paraId="42497618">
            <w:pPr>
              <w:keepNext w:val="0"/>
              <w:keepLines/>
              <w:spacing w:beforeLines="50" w:after="100" w:line="240" w:lineRule="auto"/>
              <w:jc w:val="left"/>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另以C=0.28作为台架健康设计负载，C至0.37、R为0.8或8.0，结合三档供压及B开关做24组模型边界计算，A流量为1.85—4.34L/min，落在候选流量计范围内，如图5。原480次合成试验仍保留原参数，不能用此计算代替实测。模型最大总流量约7.95L/min；水源需按流量—压力工作曲线核定，不能将商品开口流量与截止压力合并为工作点。基础预算以借用可调连续水源为前提，落实前不宣称已经具备台架。</w:t>
            </w:r>
          </w:p>
          <w:p w14:paraId="6D5E31B0">
            <w:pPr>
              <w:keepNext w:val="0"/>
              <w:keepLines/>
              <w:spacing w:beforeLines="5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0" o:spt="75" alt="图5 候选量程与测量界限的模型核对 非实测" type="#_x0000_t75" style="height:417.2pt;width:425pt;" filled="f" o:preferrelative="t" stroked="f" coordsize="21600,21600">
                  <v:path/>
                  <v:fill on="f" focussize="0,0"/>
                  <v:stroke on="f"/>
                  <v:imagedata r:id="rId10" o:title="hardware_feasibility"/>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18"/>
                <w:szCs w:val="28"/>
                <w:lang w:val="en-US" w:eastAsia="zh-CN"/>
              </w:rPr>
              <w:t>图5 候选量程与测量界限的模型核对 非实测</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2DADEA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100" w:type="dxa"/>
                  <w:tcBorders>
                    <w:tl2br w:val="nil"/>
                    <w:tr2bl w:val="nil"/>
                  </w:tcBorders>
                </w:tcPr>
                <w:p w14:paraId="332A4B9F">
                  <w:pPr>
                    <w:keepNext w:val="0"/>
                    <w:keepLines/>
                    <w:pageBreakBefore w:val="0"/>
                    <w:spacing w:beforeLines="50" w:after="100" w:line="240" w:lineRule="auto"/>
                    <w:jc w:val="left"/>
                    <w:rPr>
                      <w:rFonts w:hint="default" w:ascii="Times New Roman" w:hAnsi="Times New Roman" w:eastAsia="宋体" w:cs="Times New Roman"/>
                      <w:sz w:val="21"/>
                      <w:szCs w:val="28"/>
                      <w:vertAlign w:val="baseline"/>
                      <w:lang w:val="en-US" w:eastAsia="zh-CN"/>
                    </w:rPr>
                  </w:pPr>
                  <w:r>
                    <w:rPr>
                      <w:rFonts w:hint="default" w:ascii="Times New Roman" w:hAnsi="Times New Roman" w:eastAsia="宋体" w:cs="Times New Roman"/>
                      <w:b w:val="0"/>
                      <w:sz w:val="21"/>
                      <w:szCs w:val="28"/>
                      <w:vertAlign w:val="baseline"/>
                      <w:lang w:val="en-US" w:eastAsia="zh-CN"/>
                    </w:rPr>
                    <w:t>另检查两故障、三供压、B开关及三程度共36组目标，修正受限范围后均可在模型内达到。仅按压力标称界限、10秒计数量化及流量±1%读数分析，健康与故障特征区间分离；若保守按5L/min满量程的1%分析，80kPa下两个5%泄漏组合区间重叠，弱异常不保证可分。流量精度定义须进一步核对，温漂、ADC、调理及安装误差尚未计入，不能转成实物检出率。</w:t>
                  </w:r>
                </w:p>
              </w:tc>
            </w:tr>
          </w:tbl>
          <w:p w14:paraId="7AF96F95">
            <w:pPr>
              <w:keepNext w:val="0"/>
              <w:keepLines/>
              <w:spacing w:beforeLines="50" w:after="100" w:line="240" w:lineRule="auto"/>
              <w:jc w:val="left"/>
              <w:rPr>
                <w:rFonts w:hint="default" w:ascii="Times New Roman" w:hAnsi="Times New Roman" w:eastAsia="宋体" w:cs="Times New Roman"/>
                <w:sz w:val="21"/>
                <w:szCs w:val="28"/>
                <w:lang w:val="en-US" w:eastAsia="zh-CN"/>
              </w:rPr>
            </w:pPr>
          </w:p>
          <w:p w14:paraId="47C19316">
            <w:pPr>
              <w:keepNext/>
              <w:keepLines/>
              <w:pageBreakBefore/>
              <w:spacing w:before="140" w:beforeLines="50" w:after="100" w:line="240" w:lineRule="auto"/>
              <w:jc w:val="left"/>
              <w:rPr>
                <w:rFonts w:hint="default" w:ascii="Times New Roman" w:hAnsi="Times New Roman" w:eastAsia="宋体" w:cs="Times New Roman"/>
                <w:b w:val="0"/>
                <w:sz w:val="21"/>
                <w:szCs w:val="28"/>
                <w:lang w:val="en-US" w:eastAsia="zh-CN"/>
              </w:rPr>
            </w:pPr>
            <w:r>
              <w:rPr>
                <w:rFonts w:hint="default" w:ascii="Times New Roman" w:hAnsi="Times New Roman" w:eastAsia="宋体" w:cs="Times New Roman"/>
                <w:b/>
                <w:sz w:val="21"/>
                <w:szCs w:val="28"/>
                <w:lang w:val="en-US" w:eastAsia="zh-CN"/>
              </w:rPr>
              <w:t>3 渐进故障诊断与早期评价</w:t>
            </w:r>
            <w:r>
              <w:rPr>
                <w:rFonts w:hint="default" w:ascii="Times New Roman" w:hAnsi="Times New Roman" w:eastAsia="宋体" w:cs="Times New Roman"/>
                <w:b w:val="0"/>
                <w:sz w:val="21"/>
                <w:szCs w:val="28"/>
                <w:lang w:val="en-US" w:eastAsia="zh-CN"/>
              </w:rPr>
              <w:br w:type="textWrapping"/>
            </w:r>
            <w:r>
              <w:rPr>
                <w:rFonts w:hint="default" w:ascii="Times New Roman" w:hAnsi="Times New Roman" w:eastAsia="宋体" w:cs="Times New Roman"/>
                <w:b w:val="0"/>
                <w:sz w:val="21"/>
                <w:szCs w:val="28"/>
                <w:lang w:val="en-US" w:eastAsia="zh-CN"/>
              </w:rPr>
              <w:t>拟采用压力归一化流量K=Q/√P1和区段阻力估计R̂=(P0−P1)/Q²，分别描述下游等效负载及监测区段的阻力变化。程序在测量有效、P1与Q高于误差下限且运行状态明确后，比较同工况健康特征及误差区间，再检验偏离是否持续，处理分支见图6。健康参照、偏离阈值和持续条件由标定小试确定并在验证前冻结；故障期间不以自动更新参照消除异常。切换等待段仍保留原始数据，单独报告暂缓判断的时间、误报和漏检。</w:t>
            </w:r>
          </w:p>
          <w:p w14:paraId="4539F610">
            <w:pPr>
              <w:keepNext w:val="0"/>
              <w:keepLines/>
              <w:spacing w:beforeLines="5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1" o:spt="75" alt="图6 状态辅助与有限故障模式诊断流程设计" type="#_x0000_t75" style="height:294.45pt;width:425pt;" filled="f" o:preferrelative="t" stroked="f" coordsize="21600,21600">
                  <v:path/>
                  <v:fill on="f" focussize="0,0"/>
                  <v:stroke on="f"/>
                  <v:imagedata r:id="rId11" o:title="diagnosis_flow"/>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18"/>
                <w:szCs w:val="28"/>
                <w:lang w:val="en-US" w:eastAsia="zh-CN"/>
              </w:rPr>
              <w:t>图6 状态辅助与有限故障模式诊断流程设计</w:t>
            </w:r>
          </w:p>
          <w:p w14:paraId="4B59CE81">
            <w:pPr>
              <w:keepNext w:val="0"/>
              <w:keepLines/>
              <w:spacing w:beforeLines="50" w:after="100" w:line="240" w:lineRule="auto"/>
              <w:jc w:val="left"/>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输出分为等效泄漏模式、等效受限模式、异常待检查和数据无效。未知正常负载可能与泄漏同形，压力差分偏置可能与受限混淆；这类条件下保留异常证据并提示核查，不强制给出单一原因。定位精度限于被监测支管或压力点包围区段。</w:t>
            </w:r>
          </w:p>
          <w:p w14:paraId="61E4B04D">
            <w:pPr>
              <w:keepNext w:val="0"/>
              <w:keepLines/>
              <w:spacing w:beforeLines="50" w:after="100" w:line="240" w:lineRule="auto"/>
              <w:jc w:val="left"/>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模式提示附带P0/P1/Q、特征偏离、阀态、质量标志及参照编号。K增大而区段阻力稳定时检查等效泄漏或负载变化；区段阻力增大时检查等效受限，同时核查压力偏置。两个特征同时变化、状态不明或证据不足时，提示异常待检查。管理者据此确定核查顺序，真实原因最终以独立操作记录、参考测量及现场检查为依据。</w:t>
            </w:r>
          </w:p>
          <w:p w14:paraId="56AF4771">
            <w:pPr>
              <w:keepNext w:val="0"/>
              <w:keepLines/>
              <w:spacing w:beforeLines="50" w:after="100" w:line="240" w:lineRule="auto"/>
              <w:jc w:val="left"/>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早期评价以独立参考测量确定的预设失效判据为终点，同时记录故障操作起点、本地首次可靠提示和远端首次接收。考察相对同工况健康流量偏离5%、10%、15%的暂定程度，绘制检出、误报及提前量随程度变化的关系。15%目前是模型演示参照，实际程度与失效判据由导师结合预实验审核后冻结。研究目标是找出可测、可判、可提前的条件及失败边界，性能阈值由有独立标签的小试确定。</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5D38FB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100" w:type="dxa"/>
                  <w:tcBorders>
                    <w:tl2br w:val="nil"/>
                    <w:tr2bl w:val="nil"/>
                  </w:tcBorders>
                </w:tcPr>
                <w:p w14:paraId="7728518E">
                  <w:pPr>
                    <w:keepNext w:val="0"/>
                    <w:keepLines/>
                    <w:pageBreakBefore w:val="0"/>
                    <w:spacing w:beforeLines="50" w:after="100" w:line="240" w:lineRule="auto"/>
                    <w:jc w:val="left"/>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sz w:val="21"/>
                      <w:szCs w:val="28"/>
                      <w:vertAlign w:val="baseline"/>
                      <w:lang w:val="en-US" w:eastAsia="zh-CN"/>
                    </w:rPr>
                    <w:t>4 LoRa可靠告警与通信对照</w:t>
                  </w:r>
                  <w:r>
                    <w:rPr>
                      <w:rFonts w:hint="default" w:ascii="Times New Roman" w:hAnsi="Times New Roman" w:eastAsia="宋体" w:cs="Times New Roman"/>
                      <w:b w:val="0"/>
                      <w:sz w:val="21"/>
                      <w:szCs w:val="28"/>
                      <w:vertAlign w:val="baseline"/>
                      <w:lang w:val="en-US" w:eastAsia="zh-CN"/>
                    </w:rPr>
                    <w:br w:type="textWrapping"/>
                  </w:r>
                  <w:r>
                    <w:rPr>
                      <w:rFonts w:hint="default" w:ascii="Times New Roman" w:hAnsi="Times New Roman" w:eastAsia="宋体" w:cs="Times New Roman"/>
                      <w:b w:val="0"/>
                      <w:sz w:val="21"/>
                      <w:szCs w:val="28"/>
                      <w:vertAlign w:val="baseline"/>
                      <w:lang w:val="en-US" w:eastAsia="zh-CN"/>
                    </w:rPr>
                    <w:t>比较快周期、慢周期、原始事件与滤波限频事件四种上报策略，协议见图7。</w:t>
                  </w:r>
                </w:p>
              </w:tc>
            </w:tr>
          </w:tbl>
          <w:p w14:paraId="31A12A16">
            <w:pPr>
              <w:keepNext/>
              <w:keepLines/>
              <w:spacing w:before="140" w:beforeLines="50" w:after="100" w:line="240" w:lineRule="auto"/>
              <w:jc w:val="left"/>
              <w:rPr>
                <w:rFonts w:hint="default" w:ascii="Times New Roman" w:hAnsi="Times New Roman" w:eastAsia="宋体" w:cs="Times New Roman"/>
                <w:b w:val="0"/>
                <w:sz w:val="21"/>
                <w:szCs w:val="28"/>
                <w:lang w:val="en-US" w:eastAsia="zh-CN"/>
              </w:rPr>
            </w:pPr>
          </w:p>
          <w:p w14:paraId="121B7BB5">
            <w:pPr>
              <w:keepNext w:val="0"/>
              <w:keepLines/>
              <w:spacing w:beforeLines="5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2" o:spt="75" alt="图7 事件持久化、确认与重试时序设计" type="#_x0000_t75" style="height:262.75pt;width:425pt;" filled="f" o:preferrelative="t" stroked="f" coordsize="21600,21600">
                  <v:path/>
                  <v:fill on="f" focussize="0,0"/>
                  <v:stroke on="f"/>
                  <v:imagedata r:id="rId12" o:title="protocol_sequence"/>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18"/>
                <w:szCs w:val="28"/>
                <w:lang w:val="en-US" w:eastAsia="zh-CN"/>
              </w:rPr>
              <w:t>图7 事件持久化、确认与重试时序设计</w:t>
            </w:r>
          </w:p>
          <w:p w14:paraId="2A54B8F4">
            <w:pPr>
              <w:keepNext w:val="0"/>
              <w:keepLines/>
              <w:spacing w:beforeLines="50" w:after="100" w:line="240" w:lineRule="auto"/>
              <w:jc w:val="left"/>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四策略保持采样、检测器、载荷及链路设置一致。事件包含设备、会话、序号、发生时间、状态、测量及质量；本地保存原始日志，经LoRa发送摘要。实物试验冻结缓存容量、超时、重试及掉电策略，并记录发收与确认时间。回放中的1秒ACK、4秒超时及16条队列仅为模型假设，实际值须依据模块与空中时间核定。</w:t>
            </w:r>
          </w:p>
          <w:p w14:paraId="457914DF">
            <w:pPr>
              <w:keepNext w:val="0"/>
              <w:keepLines/>
              <w:spacing w:beforeLines="50" w:after="100" w:line="240" w:lineRule="auto"/>
              <w:jc w:val="left"/>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接收端持久化后发送匹配ACK，重复事件再次确认但不重复存储，管理者的处理确认另记。节点仅移除已确认事件；重试耗尽仍保留待确认状态，队列满时记录丢弃或拒绝及缺口。掉电后恢复队列和会话，或明确标记无法恢复的记录。上述拟实施要求通过丢包、阻断和重启试验核对。</w:t>
            </w:r>
          </w:p>
          <w:p w14:paraId="62E4FDB0">
            <w:pPr>
              <w:keepNext w:val="0"/>
              <w:keepLines/>
              <w:spacing w:beforeLines="50" w:after="100" w:line="240" w:lineRule="auto"/>
              <w:jc w:val="left"/>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通信评价分别测量故障至本地提示、本地提示至远端接收的延迟，统计上行与确认帧数及字节，并独立计量整机能量。射频配置、干扰、遮挡与静态功耗一并记录，不能以帧数代替续航结论。断链时显示离线及待补发，未收到事件不判为正常。</w:t>
            </w:r>
          </w:p>
          <w:p w14:paraId="4D886F77">
            <w:pPr>
              <w:keepNext/>
              <w:keepLines/>
              <w:spacing w:before="140" w:beforeLines="50" w:after="100" w:line="240" w:lineRule="auto"/>
              <w:jc w:val="left"/>
              <w:rPr>
                <w:rFonts w:hint="default" w:ascii="Times New Roman" w:hAnsi="Times New Roman" w:eastAsia="宋体" w:cs="Times New Roman"/>
                <w:b w:val="0"/>
                <w:sz w:val="21"/>
                <w:szCs w:val="28"/>
                <w:lang w:val="en-US" w:eastAsia="zh-CN"/>
              </w:rPr>
            </w:pPr>
            <w:r>
              <w:rPr>
                <w:rFonts w:hint="default" w:ascii="Times New Roman" w:hAnsi="Times New Roman" w:eastAsia="宋体" w:cs="Times New Roman"/>
                <w:b/>
                <w:sz w:val="21"/>
                <w:szCs w:val="28"/>
                <w:lang w:val="en-US" w:eastAsia="zh-CN"/>
              </w:rPr>
              <w:t>5 管理软件与系统集成</w:t>
            </w:r>
            <w:r>
              <w:rPr>
                <w:rFonts w:hint="default" w:ascii="Times New Roman" w:hAnsi="Times New Roman" w:eastAsia="宋体" w:cs="Times New Roman"/>
                <w:b w:val="0"/>
                <w:sz w:val="21"/>
                <w:szCs w:val="28"/>
                <w:lang w:val="en-US" w:eastAsia="zh-CN"/>
              </w:rPr>
              <w:br w:type="textWrapping"/>
            </w:r>
            <w:r>
              <w:rPr>
                <w:rFonts w:hint="default" w:ascii="Times New Roman" w:hAnsi="Times New Roman" w:eastAsia="宋体" w:cs="Times New Roman"/>
                <w:b w:val="0"/>
                <w:sz w:val="21"/>
                <w:szCs w:val="28"/>
                <w:lang w:val="en-US" w:eastAsia="zh-CN"/>
              </w:rPr>
              <w:t>本地Web拟提供设备档案、支管位置示意、P0/P1/Q趋势、事件证据、质量状态、处理确认、历史回放与CSV导出。网页将区分测量时间、接收时间、模型回放和实际设备状态，提示检查供压、阀态、传感器与目标管路。接收端的数据持久化和真实节点接入是实施任务；已有离线页面完成合成回放与交互演示，其实际管理面板局部截图见图8。</w:t>
            </w:r>
          </w:p>
          <w:p w14:paraId="31FA5E21">
            <w:pPr>
              <w:keepNext w:val="0"/>
              <w:keepLines/>
              <w:spacing w:beforeLines="5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3" o:spt="75" alt="图8 已实现离线网页管理面板局部截图 合成回放 未连接实物" type="#_x0000_t75" style="height:434pt;width:425pt;" filled="f" o:preferrelative="t" stroked="f" coordsize="21600,21600">
                  <v:path/>
                  <v:fill on="f" focussize="0,0"/>
                  <v:stroke on="f"/>
                  <v:imagedata r:id="rId13" o:title="platform_replay"/>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18"/>
                <w:szCs w:val="28"/>
                <w:lang w:val="en-US" w:eastAsia="zh-CN"/>
              </w:rPr>
              <w:t>图8 已实现离线网页管理面板局部截图 合成回放 未连接实物</w:t>
            </w:r>
          </w:p>
          <w:p w14:paraId="3D828CB2">
            <w:pPr>
              <w:keepNext w:val="0"/>
              <w:keepLines/>
              <w:spacing w:beforeLines="50" w:after="100" w:line="240" w:lineRule="auto"/>
              <w:jc w:val="left"/>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集成先完成有线原始日志，再连接LoRa和本地网页，以事件记录贯通节点判定、接收存储和管理确认。展示页面只是系统的一部分，验收同时检查原始记录、协议日志和对应实验标签，不能仅凭页面数值变化认定系统可用。</w:t>
            </w:r>
          </w:p>
          <w:p w14:paraId="29E221ED">
            <w:pPr>
              <w:keepNext/>
              <w:keepLines/>
              <w:spacing w:before="140" w:beforeLines="50" w:after="100" w:line="240" w:lineRule="auto"/>
              <w:jc w:val="left"/>
              <w:rPr>
                <w:rFonts w:hint="default" w:ascii="Times New Roman" w:hAnsi="Times New Roman" w:eastAsia="宋体" w:cs="Times New Roman"/>
                <w:b w:val="0"/>
                <w:sz w:val="21"/>
                <w:szCs w:val="28"/>
                <w:lang w:val="en-US" w:eastAsia="zh-CN"/>
              </w:rPr>
            </w:pPr>
            <w:r>
              <w:rPr>
                <w:rFonts w:hint="default" w:ascii="Times New Roman" w:hAnsi="Times New Roman" w:eastAsia="宋体" w:cs="Times New Roman"/>
                <w:b/>
                <w:sz w:val="21"/>
                <w:szCs w:val="28"/>
                <w:lang w:val="en-US" w:eastAsia="zh-CN"/>
              </w:rPr>
              <w:t>6 项目目标与分层实验</w:t>
            </w:r>
            <w:r>
              <w:rPr>
                <w:rFonts w:hint="default" w:ascii="Times New Roman" w:hAnsi="Times New Roman" w:eastAsia="宋体" w:cs="Times New Roman"/>
                <w:b w:val="0"/>
                <w:sz w:val="21"/>
                <w:szCs w:val="28"/>
                <w:lang w:val="en-US" w:eastAsia="zh-CN"/>
              </w:rPr>
              <w:br w:type="textWrapping"/>
            </w:r>
            <w:r>
              <w:rPr>
                <w:rFonts w:hint="default" w:ascii="Times New Roman" w:hAnsi="Times New Roman" w:eastAsia="宋体" w:cs="Times New Roman"/>
                <w:b w:val="0"/>
                <w:sz w:val="21"/>
                <w:szCs w:val="28"/>
                <w:lang w:val="en-US" w:eastAsia="zh-CN"/>
              </w:rPr>
              <w:t>总体目标是完成可采集、可有限诊断、可可靠传输、可追溯验证的支管原型，并给出渐进故障辨识条件和通信取舍。四个工作包分别负责测量与建模、诊断与边界、可靠告警、系统集成与验证。表2把交付、评价指标和验证证据对应起来，作为任务书细化依据。</w:t>
            </w:r>
          </w:p>
          <w:tbl>
            <w:tblPr>
              <w:tblStyle w:val="6"/>
              <w:tblW w:w="85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500"/>
            </w:tblGrid>
            <w:tr w14:paraId="618F9D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070" w:type="dxa"/>
                  <w:tcBorders>
                    <w:tl2br w:val="nil"/>
                    <w:tr2bl w:val="nil"/>
                  </w:tcBorders>
                </w:tcPr>
                <w:p w14:paraId="507BD744">
                  <w:pPr>
                    <w:keepNext w:val="0"/>
                    <w:keepLines/>
                    <w:spacing w:beforeLines="50" w:after="140" w:line="240" w:lineRule="auto"/>
                    <w:jc w:val="left"/>
                    <w:rPr>
                      <w:rFonts w:hint="eastAsia" w:ascii="Times New Roman" w:hAnsi="Times New Roman" w:cs="Times New Roman"/>
                      <w:b/>
                      <w:sz w:val="21"/>
                      <w:szCs w:val="28"/>
                      <w:vertAlign w:val="baseline"/>
                      <w:lang w:val="en-US" w:eastAsia="zh-CN"/>
                    </w:rPr>
                  </w:pPr>
                  <w:r>
                    <w:rPr>
                      <w:rFonts w:hint="eastAsia" w:ascii="Times New Roman" w:hAnsi="Times New Roman" w:cs="Times New Roman"/>
                      <w:b/>
                      <w:sz w:val="21"/>
                      <w:szCs w:val="28"/>
                      <w:vertAlign w:val="baseline"/>
                      <w:lang w:val="en-US" w:eastAsia="zh-CN"/>
                    </w:rPr>
                    <w:t>表2 研究任务与计划验证证据</w:t>
                  </w:r>
                </w:p>
                <w:tbl>
                  <w:tblPr>
                    <w:tblStyle w:val="6"/>
                    <w:tblW w:w="8500" w:type="dxa"/>
                    <w:tblInd w:w="3" w:type="dxa"/>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Layout w:type="fixed"/>
                    <w:tblCellMar>
                      <w:top w:w="60" w:type="dxa"/>
                      <w:left w:w="100" w:type="dxa"/>
                      <w:bottom w:w="60" w:type="dxa"/>
                      <w:right w:w="100" w:type="dxa"/>
                    </w:tblCellMar>
                  </w:tblPr>
                  <w:tblGrid>
                    <w:gridCol w:w="1700"/>
                    <w:gridCol w:w="3300"/>
                    <w:gridCol w:w="3500"/>
                  </w:tblGrid>
                  <w:tr w14:paraId="6E507D9A">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blHeader/>
                    </w:trPr>
                    <w:tc>
                      <w:tcPr>
                        <w:tcW w:w="1700" w:type="dxa"/>
                        <w:tcBorders>
                          <w:tl2br w:val="nil"/>
                          <w:tr2bl w:val="nil"/>
                        </w:tcBorders>
                        <w:shd w:val="clear" w:color="auto" w:fill="EDEDED"/>
                        <w:vAlign w:val="center"/>
                      </w:tcPr>
                      <w:p w14:paraId="31DD6FB8">
                        <w:pPr>
                          <w:keepNext/>
                          <w:keepLines/>
                          <w:spacing w:beforeLines="50" w:after="40" w:line="240" w:lineRule="auto"/>
                          <w:jc w:val="left"/>
                          <w:rPr>
                            <w:rFonts w:hint="default" w:ascii="Times New Roman" w:hAnsi="Times New Roman" w:eastAsia="宋体" w:cs="Times New Roman"/>
                            <w:b/>
                            <w:sz w:val="19"/>
                            <w:szCs w:val="28"/>
                            <w:vertAlign w:val="baseline"/>
                            <w:lang w:val="en-US" w:eastAsia="zh-CN"/>
                          </w:rPr>
                        </w:pPr>
                        <w:r>
                          <w:rPr>
                            <w:rFonts w:hint="eastAsia" w:ascii="Times New Roman" w:hAnsi="Times New Roman" w:cs="Times New Roman"/>
                            <w:b/>
                            <w:sz w:val="19"/>
                            <w:szCs w:val="28"/>
                            <w:vertAlign w:val="baseline"/>
                            <w:lang w:val="en-US" w:eastAsia="zh-CN"/>
                          </w:rPr>
                          <w:t>任务</w:t>
                        </w:r>
                      </w:p>
                    </w:tc>
                    <w:tc>
                      <w:tcPr>
                        <w:tcW w:w="3300" w:type="dxa"/>
                        <w:tcBorders>
                          <w:tl2br w:val="nil"/>
                          <w:tr2bl w:val="nil"/>
                        </w:tcBorders>
                        <w:shd w:val="clear" w:color="auto" w:fill="EDEDED"/>
                        <w:vAlign w:val="center"/>
                      </w:tcPr>
                      <w:p w14:paraId="3271CB15">
                        <w:pPr>
                          <w:keepNext/>
                          <w:keepLines/>
                          <w:spacing w:beforeLines="50" w:after="40" w:line="240" w:lineRule="auto"/>
                          <w:jc w:val="left"/>
                          <w:rPr>
                            <w:rFonts w:hint="default" w:ascii="Times New Roman" w:hAnsi="Times New Roman" w:eastAsia="宋体" w:cs="Times New Roman"/>
                            <w:b/>
                            <w:sz w:val="19"/>
                            <w:szCs w:val="28"/>
                            <w:vertAlign w:val="baseline"/>
                            <w:lang w:val="en-US" w:eastAsia="zh-CN"/>
                          </w:rPr>
                        </w:pPr>
                        <w:r>
                          <w:rPr>
                            <w:rFonts w:hint="eastAsia" w:ascii="Times New Roman" w:hAnsi="Times New Roman" w:cs="Times New Roman"/>
                            <w:b/>
                            <w:sz w:val="19"/>
                            <w:szCs w:val="28"/>
                            <w:vertAlign w:val="baseline"/>
                            <w:lang w:val="en-US" w:eastAsia="zh-CN"/>
                          </w:rPr>
                          <w:t>计划交付或实验</w:t>
                        </w:r>
                      </w:p>
                    </w:tc>
                    <w:tc>
                      <w:tcPr>
                        <w:tcW w:w="3500" w:type="dxa"/>
                        <w:tcBorders>
                          <w:tl2br w:val="nil"/>
                          <w:tr2bl w:val="nil"/>
                        </w:tcBorders>
                        <w:shd w:val="clear" w:color="auto" w:fill="EDEDED"/>
                        <w:vAlign w:val="center"/>
                      </w:tcPr>
                      <w:p w14:paraId="6F9388AA">
                        <w:pPr>
                          <w:keepNext/>
                          <w:keepLines/>
                          <w:spacing w:beforeLines="50" w:after="40" w:line="240" w:lineRule="auto"/>
                          <w:jc w:val="left"/>
                          <w:rPr>
                            <w:rFonts w:hint="default" w:ascii="Times New Roman" w:hAnsi="Times New Roman" w:eastAsia="宋体" w:cs="Times New Roman"/>
                            <w:b/>
                            <w:sz w:val="19"/>
                            <w:szCs w:val="28"/>
                            <w:vertAlign w:val="baseline"/>
                            <w:lang w:val="en-US" w:eastAsia="zh-CN"/>
                          </w:rPr>
                        </w:pPr>
                        <w:r>
                          <w:rPr>
                            <w:rFonts w:hint="eastAsia" w:ascii="Times New Roman" w:hAnsi="Times New Roman" w:cs="Times New Roman"/>
                            <w:b/>
                            <w:sz w:val="19"/>
                            <w:szCs w:val="28"/>
                            <w:vertAlign w:val="baseline"/>
                            <w:lang w:val="en-US" w:eastAsia="zh-CN"/>
                          </w:rPr>
                          <w:t>评价量与证据</w:t>
                        </w:r>
                      </w:p>
                    </w:tc>
                  </w:tr>
                  <w:tr w14:paraId="48FF1BEB">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700" w:type="dxa"/>
                        <w:tcBorders>
                          <w:tl2br w:val="nil"/>
                          <w:tr2bl w:val="nil"/>
                        </w:tcBorders>
                        <w:shd w:val="clear" w:color="auto" w:fill="FFFFFF"/>
                        <w:vAlign w:val="center"/>
                      </w:tcPr>
                      <w:p w14:paraId="63577013">
                        <w:pPr>
                          <w:keepNext/>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测量与建模</w:t>
                        </w:r>
                      </w:p>
                    </w:tc>
                    <w:tc>
                      <w:tcPr>
                        <w:tcW w:w="3300" w:type="dxa"/>
                        <w:tcBorders>
                          <w:tl2br w:val="nil"/>
                          <w:tr2bl w:val="nil"/>
                        </w:tcBorders>
                        <w:shd w:val="clear" w:color="auto" w:fill="FFFFFF"/>
                        <w:vAlign w:val="center"/>
                      </w:tcPr>
                      <w:p w14:paraId="423175CE">
                        <w:pPr>
                          <w:keepNext/>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双压力流量节点及参考标定</w:t>
                        </w:r>
                      </w:p>
                    </w:tc>
                    <w:tc>
                      <w:tcPr>
                        <w:tcW w:w="3500" w:type="dxa"/>
                        <w:tcBorders>
                          <w:tl2br w:val="nil"/>
                          <w:tr2bl w:val="nil"/>
                        </w:tcBorders>
                        <w:shd w:val="clear" w:color="auto" w:fill="FFFFFF"/>
                        <w:vAlign w:val="center"/>
                      </w:tcPr>
                      <w:p w14:paraId="1EAB159E">
                        <w:pPr>
                          <w:keepNext/>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误差、重复性、同步、健康压降与差压不确定度</w:t>
                        </w:r>
                      </w:p>
                    </w:tc>
                  </w:tr>
                  <w:tr w14:paraId="60659D5C">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700" w:type="dxa"/>
                        <w:tcBorders>
                          <w:tl2br w:val="nil"/>
                          <w:tr2bl w:val="nil"/>
                        </w:tcBorders>
                        <w:shd w:val="clear" w:color="auto" w:fill="FFFFFF"/>
                        <w:vAlign w:val="center"/>
                      </w:tcPr>
                      <w:p w14:paraId="609C1639">
                        <w:pPr>
                          <w:keepNext/>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渐进诊断</w:t>
                        </w:r>
                      </w:p>
                    </w:tc>
                    <w:tc>
                      <w:tcPr>
                        <w:tcW w:w="3300" w:type="dxa"/>
                        <w:tcBorders>
                          <w:tl2br w:val="nil"/>
                          <w:tr2bl w:val="nil"/>
                        </w:tcBorders>
                        <w:shd w:val="clear" w:color="auto" w:fill="FFFFFF"/>
                        <w:vAlign w:val="center"/>
                      </w:tcPr>
                      <w:p w14:paraId="536D8222">
                        <w:pPr>
                          <w:keepNext/>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2类型×3供压×3程度×至少3独立操作，主要试验至少54次</w:t>
                        </w:r>
                      </w:p>
                    </w:tc>
                    <w:tc>
                      <w:tcPr>
                        <w:tcW w:w="3500" w:type="dxa"/>
                        <w:tcBorders>
                          <w:tl2br w:val="nil"/>
                          <w:tr2bl w:val="nil"/>
                        </w:tcBorders>
                        <w:shd w:val="clear" w:color="auto" w:fill="FFFFFF"/>
                        <w:vAlign w:val="center"/>
                      </w:tcPr>
                      <w:p w14:paraId="4231D91B">
                        <w:pPr>
                          <w:keepNext/>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正确模式、独立试次漏检、每小时误报、提前量分布</w:t>
                        </w:r>
                      </w:p>
                    </w:tc>
                  </w:tr>
                  <w:tr w14:paraId="54832A93">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700" w:type="dxa"/>
                        <w:tcBorders>
                          <w:tl2br w:val="nil"/>
                          <w:tr2bl w:val="nil"/>
                        </w:tcBorders>
                        <w:shd w:val="clear" w:color="auto" w:fill="FFFFFF"/>
                        <w:vAlign w:val="center"/>
                      </w:tcPr>
                      <w:p w14:paraId="38CAA019">
                        <w:pPr>
                          <w:keepNext/>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可靠告警</w:t>
                        </w:r>
                      </w:p>
                    </w:tc>
                    <w:tc>
                      <w:tcPr>
                        <w:tcW w:w="3300" w:type="dxa"/>
                        <w:tcBorders>
                          <w:tl2br w:val="nil"/>
                          <w:tr2bl w:val="nil"/>
                        </w:tcBorders>
                        <w:shd w:val="clear" w:color="auto" w:fill="FFFFFF"/>
                        <w:vAlign w:val="center"/>
                      </w:tcPr>
                      <w:p w14:paraId="19774F33">
                        <w:pPr>
                          <w:keepNext/>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同检测与确认下的四策略真实LoRa对照</w:t>
                        </w:r>
                      </w:p>
                    </w:tc>
                    <w:tc>
                      <w:tcPr>
                        <w:tcW w:w="3500" w:type="dxa"/>
                        <w:tcBorders>
                          <w:tl2br w:val="nil"/>
                          <w:tr2bl w:val="nil"/>
                        </w:tcBorders>
                        <w:shd w:val="clear" w:color="auto" w:fill="FFFFFF"/>
                        <w:vAlign w:val="center"/>
                      </w:tcPr>
                      <w:p w14:paraId="4775A7FA">
                        <w:pPr>
                          <w:keepNext/>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发收与ACK日志、两段延迟、帧与字节、整机能量</w:t>
                        </w:r>
                      </w:p>
                    </w:tc>
                  </w:tr>
                  <w:tr w14:paraId="10F4B438">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700" w:type="dxa"/>
                        <w:tcBorders>
                          <w:tl2br w:val="nil"/>
                          <w:tr2bl w:val="nil"/>
                        </w:tcBorders>
                        <w:shd w:val="clear" w:color="auto" w:fill="FFFFFF"/>
                        <w:vAlign w:val="center"/>
                      </w:tcPr>
                      <w:p w14:paraId="125D7FC8">
                        <w:pPr>
                          <w:keepNext/>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系统集成</w:t>
                        </w:r>
                      </w:p>
                    </w:tc>
                    <w:tc>
                      <w:tcPr>
                        <w:tcW w:w="3300" w:type="dxa"/>
                        <w:tcBorders>
                          <w:tl2br w:val="nil"/>
                          <w:tr2bl w:val="nil"/>
                        </w:tcBorders>
                        <w:shd w:val="clear" w:color="auto" w:fill="FFFFFF"/>
                        <w:vAlign w:val="center"/>
                      </w:tcPr>
                      <w:p w14:paraId="1BCA52BD">
                        <w:pPr>
                          <w:keepNext/>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节点、接收端及本地Web贯通</w:t>
                        </w:r>
                      </w:p>
                    </w:tc>
                    <w:tc>
                      <w:tcPr>
                        <w:tcW w:w="3500" w:type="dxa"/>
                        <w:tcBorders>
                          <w:tl2br w:val="nil"/>
                          <w:tr2bl w:val="nil"/>
                        </w:tcBorders>
                        <w:shd w:val="clear" w:color="auto" w:fill="FFFFFF"/>
                        <w:vAlign w:val="center"/>
                      </w:tcPr>
                      <w:p w14:paraId="305F693F">
                        <w:pPr>
                          <w:keepNext/>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事件可追溯、离线与无效状态、回放导出、处理记录</w:t>
                        </w:r>
                      </w:p>
                    </w:tc>
                  </w:tr>
                  <w:tr w14:paraId="3B65FF99">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700" w:type="dxa"/>
                        <w:tcBorders>
                          <w:tl2br w:val="nil"/>
                          <w:tr2bl w:val="nil"/>
                        </w:tcBorders>
                        <w:shd w:val="clear" w:color="auto" w:fill="FFFFFF"/>
                        <w:vAlign w:val="center"/>
                      </w:tcPr>
                      <w:p w14:paraId="737584AA">
                        <w:pPr>
                          <w:keepNext w:val="0"/>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连续运行</w:t>
                        </w:r>
                      </w:p>
                    </w:tc>
                    <w:tc>
                      <w:tcPr>
                        <w:tcW w:w="3300" w:type="dxa"/>
                        <w:tcBorders>
                          <w:tl2br w:val="nil"/>
                          <w:tr2bl w:val="nil"/>
                        </w:tcBorders>
                        <w:shd w:val="clear" w:color="auto" w:fill="FFFFFF"/>
                        <w:vAlign w:val="center"/>
                      </w:tcPr>
                      <w:p w14:paraId="7CBFAAD0">
                        <w:pPr>
                          <w:keepNext w:val="0"/>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单次至少8小时台架记录，至少3次掉电恢复检查</w:t>
                        </w:r>
                      </w:p>
                    </w:tc>
                    <w:tc>
                      <w:tcPr>
                        <w:tcW w:w="3500" w:type="dxa"/>
                        <w:tcBorders>
                          <w:tl2br w:val="nil"/>
                          <w:tr2bl w:val="nil"/>
                        </w:tcBorders>
                        <w:shd w:val="clear" w:color="auto" w:fill="FFFFFF"/>
                        <w:vAlign w:val="center"/>
                      </w:tcPr>
                      <w:p w14:paraId="0C28E75F">
                        <w:pPr>
                          <w:keepNext w:val="0"/>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连续原始日志、停机/缺失段、恢复会话与缓存记录</w:t>
                        </w:r>
                      </w:p>
                    </w:tc>
                  </w:tr>
                </w:tbl>
                <w:p w14:paraId="0DEAB8E6">
                  <w:pPr>
                    <w:keepNext w:val="0"/>
                    <w:keepLines/>
                    <w:spacing w:beforeLines="50" w:after="100" w:line="240" w:lineRule="auto"/>
                    <w:jc w:val="left"/>
                    <w:rPr>
                      <w:rFonts w:hint="default" w:ascii="Times New Roman" w:hAnsi="Times New Roman" w:cs="Times New Roman"/>
                      <w:sz w:val="21"/>
                      <w:szCs w:val="28"/>
                      <w:vertAlign w:val="baseline"/>
                      <w:lang w:val="en-US" w:eastAsia="zh-CN"/>
                    </w:rPr>
                  </w:pPr>
                </w:p>
              </w:tc>
            </w:tr>
          </w:tbl>
          <w:p w14:paraId="52AA0FC6">
            <w:pPr>
              <w:keepNext w:val="0"/>
              <w:keepLines/>
              <w:spacing w:beforeLines="50" w:after="100" w:line="240" w:lineRule="auto"/>
              <w:jc w:val="left"/>
              <w:rPr>
                <w:rFonts w:hint="default" w:ascii="Times New Roman" w:hAnsi="Times New Roman" w:eastAsia="宋体" w:cs="Times New Roman"/>
                <w:sz w:val="21"/>
                <w:szCs w:val="28"/>
                <w:lang w:val="en-US" w:eastAsia="zh-CN"/>
              </w:rPr>
            </w:pPr>
          </w:p>
          <w:p w14:paraId="08A6C3E3">
            <w:pPr>
              <w:keepNext w:val="0"/>
              <w:keepLines/>
              <w:spacing w:beforeLines="50" w:after="100" w:line="240" w:lineRule="auto"/>
              <w:jc w:val="left"/>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验证分为以下四层，与表2的任务、证据和表3的阶段进度对应。预实验决定测量和判据能否进入验证；正式验证同时支撑结项演示与论文论证。主要故障网格的重复次数按独立操作计算，通信策略比较使用同一组本地检测记录，以减少检测差异对链路结论的干扰。</w:t>
            </w:r>
          </w:p>
          <w:p w14:paraId="4050E7E7">
            <w:pPr>
              <w:keepNext w:val="0"/>
              <w:keepLines/>
              <w:spacing w:beforeLines="50" w:after="100" w:line="240" w:lineRule="auto"/>
              <w:jc w:val="left"/>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第一层为测量预实验：完成水路稳定性、参考标定及操作标签。暂定供压80/120/160kPa，实际范围依据设备能力冻结。若目标变化被测量误差覆盖，调整设计后重复校核，不用检测算法掩盖测量问题。</w:t>
            </w:r>
          </w:p>
          <w:p w14:paraId="46311C1E">
            <w:pPr>
              <w:keepNext w:val="0"/>
              <w:keepLines/>
              <w:spacing w:beforeLines="50" w:after="100" w:line="240" w:lineRule="auto"/>
              <w:jc w:val="left"/>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第二层为水力与方法实验：安排正常稳定、正常切换、渐进泄漏、渐进受限和切换期间异常五组工况。以独立操作日志、参考流量和泄漏收集量确定故障时间与程度；主要故障网格至少54次，正常及切换对照另行安排。小试用于调参，验证按独立日或批次留出，相邻采样点不算独立重复。</w:t>
            </w:r>
          </w:p>
          <w:p w14:paraId="5C0975C2">
            <w:pPr>
              <w:keepNext w:val="0"/>
              <w:keepLines/>
              <w:spacing w:beforeLines="50" w:after="100" w:line="240" w:lineRule="auto"/>
              <w:jc w:val="left"/>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同信息条件下比较固定阈值、切换等待、压力归一化、双点特征和候选方法，并做单点/双点、阀态及持续判据消融。评价以试次为单位，保留漂移、未知负载与错误模式实例。方法未超过强基线时如实报告，将贡献转向可观测范围或测量边界。</w:t>
            </w:r>
          </w:p>
          <w:p w14:paraId="0305346C">
            <w:pPr>
              <w:keepNext w:val="0"/>
              <w:keepLines/>
              <w:spacing w:beforeLines="50" w:after="100" w:line="240" w:lineRule="auto"/>
              <w:jc w:val="left"/>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第三层为通信与系统实验：先保持本地检测结果相同，再测试四种上报策略；加入短时事件、阻断、掉电和溢出，检验重试、去重及离线显示。连续运行检验软硬件一致性和记录完整性；整机能量由电流设备独立测量。</w:t>
            </w:r>
          </w:p>
          <w:p w14:paraId="76A9423F">
            <w:pPr>
              <w:keepNext w:val="0"/>
              <w:keepLines/>
              <w:spacing w:beforeLines="50" w:after="100" w:line="240" w:lineRule="auto"/>
              <w:jc w:val="left"/>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第四层为条件性现场试验：取得许可后调查安装、轮灌及遮挡条件，采集真实正常运行数据。只有正常数据时评价安装、链路和正常响应，不计算田间故障准确率。现场未落实时完成可重复台架作为基础交付，南疆部署适用性继续保留为待验证。</w:t>
            </w:r>
          </w:p>
          <w:p w14:paraId="2DE24725">
            <w:pPr>
              <w:keepNext/>
              <w:keepLines/>
              <w:spacing w:before="140" w:beforeLines="50" w:after="100" w:line="240" w:lineRule="auto"/>
              <w:jc w:val="left"/>
              <w:rPr>
                <w:rFonts w:hint="default" w:ascii="Times New Roman" w:hAnsi="Times New Roman" w:eastAsia="宋体" w:cs="Times New Roman"/>
                <w:b w:val="0"/>
                <w:sz w:val="21"/>
                <w:szCs w:val="28"/>
                <w:lang w:val="en-US" w:eastAsia="zh-CN"/>
              </w:rPr>
            </w:pPr>
            <w:r>
              <w:rPr>
                <w:rFonts w:hint="default" w:ascii="Times New Roman" w:hAnsi="Times New Roman" w:eastAsia="宋体" w:cs="Times New Roman"/>
                <w:b/>
                <w:sz w:val="21"/>
                <w:szCs w:val="28"/>
                <w:lang w:val="en-US" w:eastAsia="zh-CN"/>
              </w:rPr>
              <w:t>7 主要问题与实施约束</w:t>
            </w:r>
            <w:r>
              <w:rPr>
                <w:rFonts w:hint="default" w:ascii="Times New Roman" w:hAnsi="Times New Roman" w:eastAsia="宋体" w:cs="Times New Roman"/>
                <w:b w:val="0"/>
                <w:sz w:val="21"/>
                <w:szCs w:val="28"/>
                <w:lang w:val="en-US" w:eastAsia="zh-CN"/>
              </w:rPr>
              <w:br w:type="textWrapping"/>
            </w:r>
            <w:r>
              <w:rPr>
                <w:rFonts w:hint="default" w:ascii="Times New Roman" w:hAnsi="Times New Roman" w:eastAsia="宋体" w:cs="Times New Roman"/>
                <w:b w:val="0"/>
                <w:sz w:val="21"/>
                <w:szCs w:val="28"/>
                <w:lang w:val="en-US" w:eastAsia="zh-CN"/>
              </w:rPr>
              <w:t>运行操作与故障混淆通过状态记录、强基线和有限输出研究；差压误差通过参考标定、健康校核和程度分层研究；短时事件漏送通过缓存、确认、重试及去重处理；实验不可复现通过独立标签、冻结配置、原始日志和留出批次控制。</w:t>
            </w:r>
          </w:p>
          <w:p w14:paraId="3D1196C1">
            <w:pPr>
              <w:keepNext w:val="0"/>
              <w:keepLines/>
              <w:spacing w:beforeLines="50" w:after="100" w:line="240" w:lineRule="auto"/>
              <w:jc w:val="left"/>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本期先解决一个监测区段的真实测量和完整运行链。2000元启动估算以已有电脑、借用参考仪器及可调连续水源为前提，两只合格压力传感器还需询价。若报价超额，优先借用或增加测量经费，不以降低精度维持原目标。团队、场地和借用仍需落实。增加资助优先改善标定、独立批次和试验质量，再考虑多节点及现场扩展。</w:t>
            </w:r>
          </w:p>
        </w:tc>
      </w:tr>
      <w:tr w14:paraId="3939B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p w14:paraId="6F371A31">
            <w:pPr>
              <w:keepNext/>
              <w:keepLines/>
              <w:pageBreakBefore w:val="0"/>
              <w:spacing w:beforeLines="50" w:after="100" w:line="240" w:lineRule="auto"/>
              <w:jc w:val="left"/>
              <w:rPr>
                <w:rFonts w:hint="default" w:ascii="Times New Roman" w:hAnsi="Times New Roman" w:eastAsia="宋体" w:cs="Times New Roman"/>
                <w:b/>
                <w:sz w:val="21"/>
                <w:szCs w:val="28"/>
                <w:lang w:val="en-US" w:eastAsia="zh-CN"/>
              </w:rPr>
            </w:pPr>
            <w:r>
              <w:rPr>
                <w:rFonts w:hint="default" w:ascii="Times New Roman" w:hAnsi="Times New Roman" w:eastAsia="宋体" w:cs="Times New Roman"/>
                <w:b/>
                <w:sz w:val="21"/>
                <w:szCs w:val="28"/>
                <w:lang w:val="en-US" w:eastAsia="zh-CN"/>
              </w:rPr>
              <w:t>四、国、内外研究现状和发展动态</w:t>
            </w:r>
          </w:p>
          <w:p w14:paraId="5989C525">
            <w:pPr>
              <w:keepNext/>
              <w:keepLines/>
              <w:spacing w:before="140" w:beforeLines="50" w:after="100" w:line="240" w:lineRule="auto"/>
              <w:jc w:val="left"/>
              <w:rPr>
                <w:rFonts w:hint="default" w:ascii="Times New Roman" w:hAnsi="Times New Roman" w:eastAsia="宋体" w:cs="Times New Roman"/>
                <w:b w:val="0"/>
                <w:sz w:val="21"/>
                <w:szCs w:val="28"/>
                <w:lang w:val="en-US" w:eastAsia="zh-CN"/>
              </w:rPr>
            </w:pPr>
            <w:r>
              <w:rPr>
                <w:rFonts w:hint="default" w:ascii="Times New Roman" w:hAnsi="Times New Roman" w:eastAsia="宋体" w:cs="Times New Roman"/>
                <w:b/>
                <w:sz w:val="21"/>
                <w:szCs w:val="28"/>
                <w:lang w:val="en-US" w:eastAsia="zh-CN"/>
              </w:rPr>
              <w:t>1 南疆应用需求与研究对象</w:t>
            </w:r>
            <w:r>
              <w:rPr>
                <w:rFonts w:hint="default" w:ascii="Times New Roman" w:hAnsi="Times New Roman" w:eastAsia="宋体" w:cs="Times New Roman"/>
                <w:b w:val="0"/>
                <w:sz w:val="21"/>
                <w:szCs w:val="28"/>
                <w:lang w:val="en-US" w:eastAsia="zh-CN"/>
              </w:rPr>
              <w:br w:type="textWrapping"/>
            </w:r>
            <w:r>
              <w:rPr>
                <w:rFonts w:hint="default" w:ascii="Times New Roman" w:hAnsi="Times New Roman" w:eastAsia="宋体" w:cs="Times New Roman"/>
                <w:b w:val="0"/>
                <w:sz w:val="21"/>
                <w:szCs w:val="28"/>
                <w:lang w:val="en-US" w:eastAsia="zh-CN"/>
              </w:rPr>
              <w:t>李慧琴等结合南疆棉花“滴水出苗”提出压力均匀、铺管及用水管理建议[1]，说明运行压力是区域滴灌管理中需要关注的条件。Sun等研究南疆集体滴灌棉花生产约束，涉及灌水深度和土壤条件[17]。这些工作支持选择南疆滴灌巡检场景，但不直接证明本原型能够节水或增产。本期以支管水力故障的可观测变化为对象，实际轮灌方式与安装条件仍需现场核对。</w:t>
            </w:r>
          </w:p>
          <w:p w14:paraId="4591FEFB">
            <w:pPr>
              <w:keepNext/>
              <w:keepLines/>
              <w:spacing w:before="140" w:beforeLines="50" w:after="100" w:line="240" w:lineRule="auto"/>
              <w:jc w:val="left"/>
              <w:rPr>
                <w:rFonts w:hint="default" w:ascii="Times New Roman" w:hAnsi="Times New Roman" w:eastAsia="宋体" w:cs="Times New Roman"/>
                <w:b w:val="0"/>
                <w:sz w:val="21"/>
                <w:szCs w:val="28"/>
                <w:lang w:val="en-US" w:eastAsia="zh-CN"/>
              </w:rPr>
            </w:pPr>
            <w:r>
              <w:rPr>
                <w:rFonts w:hint="default" w:ascii="Times New Roman" w:hAnsi="Times New Roman" w:eastAsia="宋体" w:cs="Times New Roman"/>
                <w:b/>
                <w:sz w:val="21"/>
                <w:szCs w:val="28"/>
                <w:lang w:val="en-US" w:eastAsia="zh-CN"/>
              </w:rPr>
              <w:t>2 滴灌水力模型与测量依据</w:t>
            </w:r>
            <w:r>
              <w:rPr>
                <w:rFonts w:hint="default" w:ascii="Times New Roman" w:hAnsi="Times New Roman" w:eastAsia="宋体" w:cs="Times New Roman"/>
                <w:b w:val="0"/>
                <w:sz w:val="21"/>
                <w:szCs w:val="28"/>
                <w:lang w:val="en-US" w:eastAsia="zh-CN"/>
              </w:rPr>
              <w:br w:type="textWrapping"/>
            </w:r>
            <w:r>
              <w:rPr>
                <w:rFonts w:hint="default" w:ascii="Times New Roman" w:hAnsi="Times New Roman" w:eastAsia="宋体" w:cs="Times New Roman"/>
                <w:b w:val="0"/>
                <w:sz w:val="21"/>
                <w:szCs w:val="28"/>
                <w:lang w:val="en-US" w:eastAsia="zh-CN"/>
              </w:rPr>
              <w:t>丁法龙等从变质量流动分析沿程压力，并以测压、测流试验验证模型[2]；王亚林等结合灌水试验与CFD研究不同滴头镶嵌方式对毛管水力特性的影响[3]。已有研究表明，实际滴灌压损需要考虑分布出流、结构与安装。本项目集中平方律模型仅用于监测区段的初步设计，不替代上述分布模型。实施时先检验健康压力—流量关系及残差，再冻结特征和阈值；拟通过布点、同步误差与差压不确定度的联合评价确定低成本测量的适用条件。</w:t>
            </w:r>
          </w:p>
          <w:p w14:paraId="6E5D93DC">
            <w:pPr>
              <w:keepNext/>
              <w:keepLines/>
              <w:spacing w:before="140" w:beforeLines="50" w:after="100" w:line="240" w:lineRule="auto"/>
              <w:jc w:val="left"/>
              <w:rPr>
                <w:rFonts w:hint="default" w:ascii="Times New Roman" w:hAnsi="Times New Roman" w:eastAsia="宋体" w:cs="Times New Roman"/>
                <w:b w:val="0"/>
                <w:sz w:val="21"/>
                <w:szCs w:val="28"/>
                <w:lang w:val="en-US" w:eastAsia="zh-CN"/>
              </w:rPr>
            </w:pPr>
            <w:r>
              <w:rPr>
                <w:rFonts w:hint="default" w:ascii="Times New Roman" w:hAnsi="Times New Roman" w:eastAsia="宋体" w:cs="Times New Roman"/>
                <w:b/>
                <w:sz w:val="21"/>
                <w:szCs w:val="28"/>
                <w:lang w:val="en-US" w:eastAsia="zh-CN"/>
              </w:rPr>
              <w:t>3 堵塞机理与早期监测边界</w:t>
            </w:r>
            <w:r>
              <w:rPr>
                <w:rFonts w:hint="default" w:ascii="Times New Roman" w:hAnsi="Times New Roman" w:eastAsia="宋体" w:cs="Times New Roman"/>
                <w:b w:val="0"/>
                <w:sz w:val="21"/>
                <w:szCs w:val="28"/>
                <w:lang w:val="en-US" w:eastAsia="zh-CN"/>
              </w:rPr>
              <w:br w:type="textWrapping"/>
            </w:r>
            <w:r>
              <w:rPr>
                <w:rFonts w:hint="default" w:ascii="Times New Roman" w:hAnsi="Times New Roman" w:eastAsia="宋体" w:cs="Times New Roman"/>
                <w:b w:val="0"/>
                <w:sz w:val="21"/>
                <w:szCs w:val="28"/>
                <w:lang w:val="en-US" w:eastAsia="zh-CN"/>
              </w:rPr>
              <w:t>喻黎明等研究含沙水下额定流量、毛管位置与滴头堵塞的关系[4]；王惠等开展不同肥料及浓度的堵塞试验[5]；张唯一等研究近壁面水力剪切力与碳酸钙污垢的作用[6]。三类工作说明堵塞演化受水质、材料和水力条件影响。Petit等综述进一步指出，压力流量监测属于间接方法，未必反映滴头堵塞的最初阶段[12]。因此本项目用清水节流阀验证等效受限的水力响应，不把阀门操作写成泥沙、化学或生物堵塞试验；“早期”以独立测量确认的故障程度和预设失效参照评价，不宣称识别单滴头微观堵塞起点。</w:t>
            </w:r>
          </w:p>
          <w:p w14:paraId="421771F0">
            <w:pPr>
              <w:keepNext/>
              <w:keepLines/>
              <w:spacing w:before="140" w:beforeLines="50" w:after="100" w:line="240" w:lineRule="auto"/>
              <w:jc w:val="left"/>
              <w:rPr>
                <w:rFonts w:hint="default" w:ascii="Times New Roman" w:hAnsi="Times New Roman" w:eastAsia="宋体" w:cs="Times New Roman"/>
                <w:b w:val="0"/>
                <w:sz w:val="21"/>
                <w:szCs w:val="28"/>
                <w:lang w:val="en-US" w:eastAsia="zh-CN"/>
              </w:rPr>
            </w:pPr>
            <w:r>
              <w:rPr>
                <w:rFonts w:hint="default" w:ascii="Times New Roman" w:hAnsi="Times New Roman" w:eastAsia="宋体" w:cs="Times New Roman"/>
                <w:b/>
                <w:sz w:val="21"/>
                <w:szCs w:val="28"/>
                <w:lang w:val="en-US" w:eastAsia="zh-CN"/>
              </w:rPr>
              <w:t>4 多工况诊断与可控验证</w:t>
            </w:r>
            <w:r>
              <w:rPr>
                <w:rFonts w:hint="default" w:ascii="Times New Roman" w:hAnsi="Times New Roman" w:eastAsia="宋体" w:cs="Times New Roman"/>
                <w:b w:val="0"/>
                <w:sz w:val="21"/>
                <w:szCs w:val="28"/>
                <w:lang w:val="en-US" w:eastAsia="zh-CN"/>
              </w:rPr>
              <w:br w:type="textWrapping"/>
            </w:r>
            <w:r>
              <w:rPr>
                <w:rFonts w:hint="default" w:ascii="Times New Roman" w:hAnsi="Times New Roman" w:eastAsia="宋体" w:cs="Times New Roman"/>
                <w:b w:val="0"/>
                <w:sz w:val="21"/>
                <w:szCs w:val="28"/>
                <w:lang w:val="en-US" w:eastAsia="zh-CN"/>
              </w:rPr>
              <w:t>付建民等通过液相管道试验与模拟研究压力、流量对小孔泄漏速率的影响[7]；龚骏等研究多工况下泄漏与正常调节的区分[8]；马大中等将物理异常与信息传输异常纳入管网诊断[9]。这些输油或液相管道研究提供了耦合分析与异常分层的思路，参数、传感条件和识别率不能直接移植到滴灌。HydroNeuro研究阀态建模、嵌入式异常感知与扰动鲁棒性[13]，Loukatos等利用可控阀、压力流量及LoRa构建灌溉模拟平台[14]，也说明状态辅助和可控台架已有基础。本项目拟以同信息强基线、独立操作标签和跨批次留出验证研究渐进故障的辨识边界，保留未知负载、漂移及切换期间的失败实例。</w:t>
            </w:r>
          </w:p>
          <w:p w14:paraId="10101557">
            <w:pPr>
              <w:keepNext/>
              <w:keepLines/>
              <w:spacing w:before="140" w:beforeLines="50" w:after="100" w:line="240" w:lineRule="auto"/>
              <w:jc w:val="left"/>
              <w:rPr>
                <w:rFonts w:hint="default" w:ascii="Times New Roman" w:hAnsi="Times New Roman" w:eastAsia="宋体" w:cs="Times New Roman"/>
                <w:b w:val="0"/>
                <w:sz w:val="21"/>
                <w:szCs w:val="28"/>
                <w:lang w:val="en-US" w:eastAsia="zh-CN"/>
              </w:rPr>
            </w:pPr>
            <w:r>
              <w:rPr>
                <w:rFonts w:hint="default" w:ascii="Times New Roman" w:hAnsi="Times New Roman" w:eastAsia="宋体" w:cs="Times New Roman"/>
                <w:b/>
                <w:sz w:val="21"/>
                <w:szCs w:val="28"/>
                <w:lang w:val="en-US" w:eastAsia="zh-CN"/>
              </w:rPr>
              <w:t>5 农业物联网与通信评价</w:t>
            </w:r>
            <w:r>
              <w:rPr>
                <w:rFonts w:hint="default" w:ascii="Times New Roman" w:hAnsi="Times New Roman" w:eastAsia="宋体" w:cs="Times New Roman"/>
                <w:b w:val="0"/>
                <w:sz w:val="21"/>
                <w:szCs w:val="28"/>
                <w:lang w:val="en-US" w:eastAsia="zh-CN"/>
              </w:rPr>
              <w:br w:type="textWrapping"/>
            </w:r>
            <w:r>
              <w:rPr>
                <w:rFonts w:hint="default" w:ascii="Times New Roman" w:hAnsi="Times New Roman" w:eastAsia="宋体" w:cs="Times New Roman"/>
                <w:b w:val="0"/>
                <w:sz w:val="21"/>
                <w:szCs w:val="28"/>
                <w:lang w:val="en-US" w:eastAsia="zh-CN"/>
              </w:rPr>
              <w:t>孟祥等完成基于LoRa的农田智能灌溉系统设计[10]；刘天翔等构建设施番茄称量反馈灌溉系统[11]，为传感、通信和软件组织提供国内系统研究实例。本项目将系统交付细化为测量节点、接收存储、有限诊断、事件证据与管理确认，不能仅以使用LoRa或增加页面作为创新。Lozoya等以田间对照评价事件通信与功耗[15]，Orihuela等开展农业事件通信的长期评估[16]。本项目拟在检测器、载荷和确认机制相同条件下比较周期与事件策略，将本地检测延迟、远端送达延迟和整机能量分别测量，不以发送帧数推算真实续航。</w:t>
            </w:r>
          </w:p>
          <w:p w14:paraId="2B49B67A">
            <w:pPr>
              <w:keepNext/>
              <w:keepLines/>
              <w:spacing w:before="140" w:beforeLines="50" w:after="100" w:line="240" w:lineRule="auto"/>
              <w:jc w:val="left"/>
              <w:rPr>
                <w:rFonts w:hint="default" w:ascii="Times New Roman" w:hAnsi="Times New Roman" w:eastAsia="宋体" w:cs="Times New Roman"/>
                <w:b w:val="0"/>
                <w:sz w:val="21"/>
                <w:szCs w:val="28"/>
                <w:lang w:val="en-US" w:eastAsia="zh-CN"/>
              </w:rPr>
            </w:pPr>
            <w:r>
              <w:rPr>
                <w:rFonts w:hint="default" w:ascii="Times New Roman" w:hAnsi="Times New Roman" w:eastAsia="宋体" w:cs="Times New Roman"/>
                <w:b/>
                <w:sz w:val="21"/>
                <w:szCs w:val="28"/>
                <w:lang w:val="en-US" w:eastAsia="zh-CN"/>
              </w:rPr>
              <w:t>6 本项目拟研究的增量</w:t>
            </w:r>
            <w:r>
              <w:rPr>
                <w:rFonts w:hint="default" w:ascii="Times New Roman" w:hAnsi="Times New Roman" w:eastAsia="宋体" w:cs="Times New Roman"/>
                <w:b w:val="0"/>
                <w:sz w:val="21"/>
                <w:szCs w:val="28"/>
                <w:lang w:val="en-US" w:eastAsia="zh-CN"/>
              </w:rPr>
              <w:br w:type="textWrapping"/>
            </w:r>
            <w:r>
              <w:rPr>
                <w:rFonts w:hint="default" w:ascii="Times New Roman" w:hAnsi="Times New Roman" w:eastAsia="宋体" w:cs="Times New Roman"/>
                <w:b w:val="0"/>
                <w:sz w:val="21"/>
                <w:szCs w:val="28"/>
                <w:lang w:val="en-US" w:eastAsia="zh-CN"/>
              </w:rPr>
              <w:t>上述中文研究构成场景、水力、堵塞、诊断和系统集成的主要依据，英文研究补充间接监测边界、可控平台及通信评价。拟研究的增量集中于两个问题：低成本双压力流量与操作信息在何种故障程度和误差条件下能够改善巡检提示；在统一检测与确认机制下，减少通信是否仍能维持远端及时告警。通过可重复台架、强对照与分层评价形成结论，是否具有可发表贡献以进一步全文研读和独立实测为准。</w:t>
            </w:r>
          </w:p>
          <w:p w14:paraId="51F2AFAE">
            <w:pPr>
              <w:keepNext w:val="0"/>
              <w:keepLines/>
              <w:spacing w:beforeLines="50" w:after="100" w:line="240" w:lineRule="auto"/>
              <w:jc w:val="left"/>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参考文献</w:t>
            </w:r>
          </w:p>
          <w:tbl>
            <w:tblPr>
              <w:tblStyle w:val="6"/>
              <w:tblW w:w="85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500"/>
            </w:tblGrid>
            <w:tr w14:paraId="6BB817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500" w:type="dxa"/>
                  <w:tcBorders>
                    <w:tl2br w:val="nil"/>
                    <w:tr2bl w:val="nil"/>
                  </w:tcBorders>
                </w:tcPr>
                <w:p w14:paraId="2C339445">
                  <w:pPr>
                    <w:keepNext w:val="0"/>
                    <w:keepLines/>
                    <w:pageBreakBefore w:val="0"/>
                    <w:spacing w:beforeLines="50" w:after="100" w:line="240" w:lineRule="auto"/>
                    <w:jc w:val="left"/>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val="0"/>
                      <w:sz w:val="21"/>
                      <w:szCs w:val="28"/>
                      <w:vertAlign w:val="baseline"/>
                      <w:lang w:val="en-US" w:eastAsia="zh-CN"/>
                    </w:rPr>
                    <w:t>[1] 李慧琴, 王潭刚, 孔宪辉. 新疆南疆棉花“滴水出苗”技术问题及建议[J]. 中国棉花, 2022, 49(6): 36-38. DOI:10.11963/cc20220080.</w:t>
                  </w:r>
                </w:p>
              </w:tc>
            </w:tr>
            <w:tr w14:paraId="528B77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500" w:type="dxa"/>
                  <w:tcBorders>
                    <w:tl2br w:val="nil"/>
                    <w:tr2bl w:val="nil"/>
                  </w:tcBorders>
                </w:tcPr>
                <w:p w14:paraId="374F1014">
                  <w:pPr>
                    <w:keepNext w:val="0"/>
                    <w:keepLines/>
                    <w:pageBreakBefore w:val="0"/>
                    <w:spacing w:beforeLines="50" w:after="100" w:line="240" w:lineRule="auto"/>
                    <w:jc w:val="left"/>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val="0"/>
                      <w:sz w:val="21"/>
                      <w:szCs w:val="28"/>
                      <w:vertAlign w:val="baseline"/>
                      <w:lang w:val="en-US" w:eastAsia="zh-CN"/>
                    </w:rPr>
                    <w:t>[2] 丁法龙, 茅泽育, 王文娥, 等. 滴灌管主流道沿程压力分布模型及验证[J]. 农业工程学报, 2019, 35(3): 117-124. DOI:10.11975/j.issn.1002-6819.2019.03.015.</w:t>
                  </w:r>
                </w:p>
              </w:tc>
            </w:tr>
            <w:tr w14:paraId="269AC2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500" w:type="dxa"/>
                  <w:tcBorders>
                    <w:tl2br w:val="nil"/>
                    <w:tr2bl w:val="nil"/>
                  </w:tcBorders>
                </w:tcPr>
                <w:p w14:paraId="6FD4D1DC">
                  <w:pPr>
                    <w:keepNext w:val="0"/>
                    <w:keepLines/>
                    <w:pageBreakBefore w:val="0"/>
                    <w:spacing w:beforeLines="50" w:after="100" w:line="240" w:lineRule="auto"/>
                    <w:jc w:val="left"/>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val="0"/>
                      <w:sz w:val="21"/>
                      <w:szCs w:val="28"/>
                      <w:vertAlign w:val="baseline"/>
                      <w:lang w:val="en-US" w:eastAsia="zh-CN"/>
                    </w:rPr>
                    <w:t>[3] 王亚林, 李京芳, 鄢锐, 等. 圆柱式滴头内镶及外包对滴灌毛管水力特性影响的模拟研究[J]. 华南农业大学学报, 2021, 42(4): 106-112. DOI:10.7671/j.issn.1001-411X.202009004.</w:t>
                  </w:r>
                </w:p>
              </w:tc>
            </w:tr>
            <w:tr w14:paraId="22B92D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500" w:type="dxa"/>
                  <w:tcBorders>
                    <w:tl2br w:val="nil"/>
                    <w:tr2bl w:val="nil"/>
                  </w:tcBorders>
                </w:tcPr>
                <w:p w14:paraId="2E0D6AD4">
                  <w:pPr>
                    <w:keepNext w:val="0"/>
                    <w:keepLines/>
                    <w:pageBreakBefore w:val="0"/>
                    <w:spacing w:beforeLines="50" w:after="100" w:line="240" w:lineRule="auto"/>
                    <w:jc w:val="left"/>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val="0"/>
                      <w:sz w:val="21"/>
                      <w:szCs w:val="28"/>
                      <w:vertAlign w:val="baseline"/>
                      <w:lang w:val="en-US" w:eastAsia="zh-CN"/>
                    </w:rPr>
                    <w:t>[4] 喻黎明, 曹丽, 李娜, 等. 额定流量与毛管位置对纽扣式滴头堵塞的影响及机理分析[J]. 农业工程学报, 2023, 39(20): 123-131. DOI:10.11975/j.issn.1002-6819.202307109.</w:t>
                  </w:r>
                </w:p>
              </w:tc>
            </w:tr>
            <w:tr w14:paraId="7C5E27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500" w:type="dxa"/>
                  <w:tcBorders>
                    <w:tl2br w:val="nil"/>
                    <w:tr2bl w:val="nil"/>
                  </w:tcBorders>
                </w:tcPr>
                <w:p w14:paraId="61FF64B1">
                  <w:pPr>
                    <w:keepNext w:val="0"/>
                    <w:keepLines/>
                    <w:pageBreakBefore w:val="0"/>
                    <w:spacing w:beforeLines="50" w:after="100" w:line="240" w:lineRule="auto"/>
                    <w:jc w:val="left"/>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val="0"/>
                      <w:sz w:val="21"/>
                      <w:szCs w:val="28"/>
                      <w:vertAlign w:val="baseline"/>
                      <w:lang w:val="en-US" w:eastAsia="zh-CN"/>
                    </w:rPr>
                    <w:t>[5] 王惠, 凌刚, 查晴, 等. 肥料种类与浓度对灌水器堵塞特征的影响及防堵策略[J]. 农业工程学报, 2023, 39(5): 53-60. DOI:10.11975/j.issn.1002-6819.202212095.</w:t>
                  </w:r>
                </w:p>
              </w:tc>
            </w:tr>
            <w:tr w14:paraId="69305D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500" w:type="dxa"/>
                  <w:tcBorders>
                    <w:tl2br w:val="nil"/>
                    <w:tr2bl w:val="nil"/>
                  </w:tcBorders>
                </w:tcPr>
                <w:p w14:paraId="44A13AE6">
                  <w:pPr>
                    <w:keepNext w:val="0"/>
                    <w:keepLines/>
                    <w:pageBreakBefore w:val="0"/>
                    <w:spacing w:beforeLines="50" w:after="100" w:line="240" w:lineRule="auto"/>
                    <w:jc w:val="left"/>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val="0"/>
                      <w:sz w:val="21"/>
                      <w:szCs w:val="28"/>
                      <w:vertAlign w:val="baseline"/>
                      <w:lang w:val="en-US" w:eastAsia="zh-CN"/>
                    </w:rPr>
                    <w:t>[6] 张唯一, 肖洋, 马长健, 等. 水流近壁面水力剪切力对滴灌系统碳酸钙污垢的影响[J]. 农业工程学报, 2023, 39(7): 137-144. DOI:10.11975/j.issn.1002-6819.202208008.</w:t>
                  </w:r>
                </w:p>
              </w:tc>
            </w:tr>
            <w:tr w14:paraId="3741A7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500" w:type="dxa"/>
                  <w:tcBorders>
                    <w:tl2br w:val="nil"/>
                    <w:tr2bl w:val="nil"/>
                  </w:tcBorders>
                </w:tcPr>
                <w:p w14:paraId="694B77F5">
                  <w:pPr>
                    <w:keepNext w:val="0"/>
                    <w:keepLines/>
                    <w:pageBreakBefore w:val="0"/>
                    <w:spacing w:beforeLines="50" w:after="100" w:line="240" w:lineRule="auto"/>
                    <w:jc w:val="left"/>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val="0"/>
                      <w:sz w:val="21"/>
                      <w:szCs w:val="28"/>
                      <w:vertAlign w:val="baseline"/>
                      <w:lang w:val="en-US" w:eastAsia="zh-CN"/>
                    </w:rPr>
                    <w:t>[7] 付建民, 赵振洋, 陈国明, 等. 液相管道流量与压力对小孔泄漏速率的影响[J]. 石油学报, 2016, 37(2): 257-265. DOI:10.7623/syxb201602013.</w:t>
                  </w:r>
                </w:p>
              </w:tc>
            </w:tr>
            <w:tr w14:paraId="6AA665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500" w:type="dxa"/>
                  <w:tcBorders>
                    <w:tl2br w:val="nil"/>
                    <w:tr2bl w:val="nil"/>
                  </w:tcBorders>
                </w:tcPr>
                <w:p w14:paraId="22907120">
                  <w:pPr>
                    <w:keepNext w:val="0"/>
                    <w:keepLines/>
                    <w:pageBreakBefore w:val="0"/>
                    <w:spacing w:beforeLines="50" w:after="100" w:line="240" w:lineRule="auto"/>
                    <w:jc w:val="left"/>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val="0"/>
                      <w:sz w:val="21"/>
                      <w:szCs w:val="28"/>
                      <w:vertAlign w:val="baseline"/>
                      <w:lang w:val="en-US" w:eastAsia="zh-CN"/>
                    </w:rPr>
                    <w:t>[8] 龚骏, 税爱社, 包建明, 等. 多工况下基于RBF神经网络的管道泄漏检测[J]. 油气储运, 2015, 34(7): 759-763. DOI:10.6047/j.issn.1000-8241.2015.07.017.</w:t>
                  </w:r>
                </w:p>
              </w:tc>
            </w:tr>
            <w:tr w14:paraId="034A28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500" w:type="dxa"/>
                  <w:tcBorders>
                    <w:tl2br w:val="nil"/>
                    <w:tr2bl w:val="nil"/>
                  </w:tcBorders>
                </w:tcPr>
                <w:p w14:paraId="339E7316">
                  <w:pPr>
                    <w:keepNext w:val="0"/>
                    <w:keepLines/>
                    <w:pageBreakBefore w:val="0"/>
                    <w:spacing w:beforeLines="50" w:after="100" w:line="240" w:lineRule="auto"/>
                    <w:jc w:val="left"/>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val="0"/>
                      <w:sz w:val="21"/>
                      <w:szCs w:val="28"/>
                      <w:vertAlign w:val="baseline"/>
                      <w:lang w:val="en-US" w:eastAsia="zh-CN"/>
                    </w:rPr>
                    <w:t>[9] 马大中, 胡旭光, 孙秋野, 等. 基于数据特征融合的管网信息物理异常诊断方法[J]. 自动化学报, 2019, 45(1): 163-173. DOI:10.16383/j.aas.2018.c180383.</w:t>
                  </w:r>
                </w:p>
              </w:tc>
            </w:tr>
            <w:tr w14:paraId="02A59F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500" w:type="dxa"/>
                  <w:tcBorders>
                    <w:tl2br w:val="nil"/>
                    <w:tr2bl w:val="nil"/>
                  </w:tcBorders>
                </w:tcPr>
                <w:p w14:paraId="0F005ABD">
                  <w:pPr>
                    <w:keepNext w:val="0"/>
                    <w:keepLines/>
                    <w:pageBreakBefore w:val="0"/>
                    <w:spacing w:beforeLines="50" w:after="100" w:line="240" w:lineRule="auto"/>
                    <w:jc w:val="left"/>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val="0"/>
                      <w:sz w:val="21"/>
                      <w:szCs w:val="28"/>
                      <w:vertAlign w:val="baseline"/>
                      <w:lang w:val="en-US" w:eastAsia="zh-CN"/>
                    </w:rPr>
                    <w:t>[10] 孟祥, 赵莹, 徐卓威, 等. 基于LoRa技术的农田智能灌溉系统设计[J]. 中国农机化学报, 2023, 44(9): 161-168. DOI:10.13733/j.jcam.issn.2095-5553.2023.09.023.</w:t>
                  </w:r>
                </w:p>
              </w:tc>
            </w:tr>
            <w:tr w14:paraId="745ADA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500" w:type="dxa"/>
                  <w:tcBorders>
                    <w:tl2br w:val="nil"/>
                    <w:tr2bl w:val="nil"/>
                  </w:tcBorders>
                </w:tcPr>
                <w:p w14:paraId="01F4D5A7">
                  <w:pPr>
                    <w:keepNext w:val="0"/>
                    <w:keepLines/>
                    <w:pageBreakBefore w:val="0"/>
                    <w:spacing w:beforeLines="50" w:after="100" w:line="240" w:lineRule="auto"/>
                    <w:jc w:val="left"/>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val="0"/>
                      <w:sz w:val="21"/>
                      <w:szCs w:val="28"/>
                      <w:vertAlign w:val="baseline"/>
                      <w:lang w:val="en-US" w:eastAsia="zh-CN"/>
                    </w:rPr>
                    <w:t>[11] 刘天翔, 郭文忠, 韩晓蓓, 等. 基于称量反馈的设施番茄灌溉系统的构建与应用[J]. 农业工程学报, 2024, 40(13): 85-96. DOI:10.11975/j.issn.1002-6819.202401146.</w:t>
                  </w:r>
                </w:p>
              </w:tc>
            </w:tr>
            <w:tr w14:paraId="2AEAF4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500" w:type="dxa"/>
                  <w:tcBorders>
                    <w:tl2br w:val="nil"/>
                    <w:tr2bl w:val="nil"/>
                  </w:tcBorders>
                </w:tcPr>
                <w:p w14:paraId="45F8DD7E">
                  <w:pPr>
                    <w:keepNext w:val="0"/>
                    <w:keepLines/>
                    <w:pageBreakBefore w:val="0"/>
                    <w:spacing w:beforeLines="50" w:after="100" w:line="240" w:lineRule="auto"/>
                    <w:jc w:val="left"/>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val="0"/>
                      <w:sz w:val="21"/>
                      <w:szCs w:val="28"/>
                      <w:vertAlign w:val="baseline"/>
                      <w:lang w:val="en-US" w:eastAsia="zh-CN"/>
                    </w:rPr>
                    <w:t>[12] Petit J, García S M, Molle B, et al. Methods for drip irrigation clogging detection, analysis and understanding: State of the art and perspectives[J]. Agricultural Water Management, 2022, 272: 107873. DOI:10.1016/j.agwat.2022.107873.</w:t>
                  </w:r>
                </w:p>
              </w:tc>
            </w:tr>
            <w:tr w14:paraId="21EB61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500" w:type="dxa"/>
                  <w:tcBorders>
                    <w:tl2br w:val="nil"/>
                    <w:tr2bl w:val="nil"/>
                  </w:tcBorders>
                </w:tcPr>
                <w:p w14:paraId="1C93A67A">
                  <w:pPr>
                    <w:keepNext w:val="0"/>
                    <w:keepLines/>
                    <w:pageBreakBefore w:val="0"/>
                    <w:spacing w:beforeLines="50" w:after="100" w:line="240" w:lineRule="auto"/>
                    <w:jc w:val="left"/>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val="0"/>
                      <w:sz w:val="21"/>
                      <w:szCs w:val="28"/>
                      <w:vertAlign w:val="baseline"/>
                      <w:lang w:val="en-US" w:eastAsia="zh-CN"/>
                    </w:rPr>
                    <w:t>[13] Somaali N, Hayouni M, Sboui L, et al. HydroNeuro: A Data-Efficient IoT Sensing and Edge-AI Framework for Real-Time Hydraulic Anomaly Detection[J]. Sensors, 2026, 26(10): 3010. DOI:10.3390/s26103010.</w:t>
                  </w:r>
                </w:p>
              </w:tc>
            </w:tr>
            <w:tr w14:paraId="16BD5E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500" w:type="dxa"/>
                  <w:tcBorders>
                    <w:tl2br w:val="nil"/>
                    <w:tr2bl w:val="nil"/>
                  </w:tcBorders>
                </w:tcPr>
                <w:p w14:paraId="5CD7A09E">
                  <w:pPr>
                    <w:keepNext w:val="0"/>
                    <w:keepLines/>
                    <w:pageBreakBefore w:val="0"/>
                    <w:spacing w:beforeLines="50" w:after="100" w:line="240" w:lineRule="auto"/>
                    <w:jc w:val="left"/>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val="0"/>
                      <w:sz w:val="21"/>
                      <w:szCs w:val="28"/>
                      <w:vertAlign w:val="baseline"/>
                      <w:lang w:val="en-US" w:eastAsia="zh-CN"/>
                    </w:rPr>
                    <w:t>[14] Loukatos D, Fragkos A, Londra P, et al. A Simple Platform for Emulating Irrigation Scenarios and Its Applicability for Big Data Collection Toward Water Preservation via In Situ Experiments[J]. Land, 2026, 15(3): 464. DOI:10.3390/land15030464.</w:t>
                  </w:r>
                </w:p>
              </w:tc>
            </w:tr>
            <w:tr w14:paraId="0478A0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500" w:type="dxa"/>
                  <w:tcBorders>
                    <w:tl2br w:val="nil"/>
                    <w:tr2bl w:val="nil"/>
                  </w:tcBorders>
                </w:tcPr>
                <w:p w14:paraId="468E483D">
                  <w:pPr>
                    <w:keepNext w:val="0"/>
                    <w:keepLines/>
                    <w:pageBreakBefore w:val="0"/>
                    <w:spacing w:beforeLines="50" w:after="100" w:line="240" w:lineRule="auto"/>
                    <w:jc w:val="left"/>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val="0"/>
                      <w:sz w:val="21"/>
                      <w:szCs w:val="28"/>
                      <w:vertAlign w:val="baseline"/>
                      <w:lang w:val="en-US" w:eastAsia="zh-CN"/>
                    </w:rPr>
                    <w:t>[15] Lozoya C, Favela-Contreras A, Aguilar-Gonzalez A, et al. Energy-Efficient Wireless Communication Strategy for Precision Agriculture Irrigation Control[J]. Sensors, 2021, 21(16): 5541. DOI:10.3390/s21165541.</w:t>
                  </w:r>
                </w:p>
              </w:tc>
            </w:tr>
            <w:tr w14:paraId="1679AC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500" w:type="dxa"/>
                  <w:tcBorders>
                    <w:tl2br w:val="nil"/>
                    <w:tr2bl w:val="nil"/>
                  </w:tcBorders>
                </w:tcPr>
                <w:p w14:paraId="30616562">
                  <w:pPr>
                    <w:keepNext w:val="0"/>
                    <w:keepLines/>
                    <w:pageBreakBefore w:val="0"/>
                    <w:spacing w:beforeLines="50" w:after="100" w:line="240" w:lineRule="auto"/>
                    <w:jc w:val="left"/>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val="0"/>
                      <w:sz w:val="21"/>
                      <w:szCs w:val="28"/>
                      <w:vertAlign w:val="baseline"/>
                      <w:lang w:val="en-US" w:eastAsia="zh-CN"/>
                    </w:rPr>
                    <w:t>[16] Orihuela L, Bareiro J, Reales F, et al. Long-term assessment of event-based communication for irrigation control in a bell pepper farm[J]. IFAC-PapersOnLine, 2025, 59(23): 44-49. DOI:10.1016/j.ifacol.2025.11.761.</w:t>
                  </w:r>
                </w:p>
              </w:tc>
            </w:tr>
            <w:tr w14:paraId="7D2FF8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8500" w:type="dxa"/>
                  <w:tcBorders>
                    <w:tl2br w:val="nil"/>
                    <w:tr2bl w:val="nil"/>
                  </w:tcBorders>
                </w:tcPr>
                <w:p w14:paraId="3A13EDAF">
                  <w:pPr>
                    <w:keepNext w:val="0"/>
                    <w:keepLines/>
                    <w:pageBreakBefore w:val="0"/>
                    <w:spacing w:beforeLines="50" w:after="100" w:line="240" w:lineRule="auto"/>
                    <w:jc w:val="left"/>
                    <w:rPr>
                      <w:rFonts w:hint="default" w:ascii="Times New Roman" w:hAnsi="Times New Roman" w:eastAsia="宋体" w:cs="Times New Roman"/>
                      <w:b w:val="0"/>
                      <w:sz w:val="21"/>
                      <w:szCs w:val="28"/>
                      <w:vertAlign w:val="baseline"/>
                      <w:lang w:val="en-US" w:eastAsia="zh-CN"/>
                    </w:rPr>
                  </w:pPr>
                  <w:r>
                    <w:rPr>
                      <w:rFonts w:hint="default" w:ascii="Times New Roman" w:hAnsi="Times New Roman" w:eastAsia="宋体" w:cs="Times New Roman"/>
                      <w:b w:val="0"/>
                      <w:sz w:val="21"/>
                      <w:szCs w:val="28"/>
                      <w:vertAlign w:val="baseline"/>
                      <w:lang w:val="en-US" w:eastAsia="zh-CN"/>
                    </w:rPr>
                    <w:t>[17] Sun Z, Wang Z, Li J. Identification and Evaluation of the Main Constraints on Cotton Production Within a Collective Drip Irrigation System in Southern Xinjiang, China[J]. Agronomy, 2025, 15(4): 760. DOI:10.3390/agronomy15040760.</w:t>
                  </w:r>
                </w:p>
              </w:tc>
            </w:tr>
          </w:tbl>
          <w:p w14:paraId="6FEA373E">
            <w:pPr>
              <w:keepNext w:val="0"/>
              <w:keepLines/>
              <w:spacing w:beforeLines="50" w:after="100" w:line="240" w:lineRule="auto"/>
              <w:jc w:val="left"/>
              <w:rPr>
                <w:rFonts w:hint="default" w:ascii="Times New Roman" w:hAnsi="Times New Roman" w:eastAsia="宋体" w:cs="Times New Roman"/>
                <w:sz w:val="21"/>
                <w:szCs w:val="28"/>
                <w:lang w:val="en-US" w:eastAsia="zh-CN"/>
              </w:rPr>
            </w:pPr>
          </w:p>
          <w:p w14:paraId="1CB63108">
            <w:pPr>
              <w:keepNext w:val="0"/>
              <w:keepLines/>
              <w:spacing w:beforeLines="50" w:after="100" w:line="240" w:lineRule="auto"/>
              <w:jc w:val="left"/>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制度参考：塔里木大学大学生创新创业训练计划实施细则，校教发〔2025〕1号，2025-01-02，https://jwc.taru.edu.cn/info/1035/3872.htm。本批要求以正式通知为准。</w:t>
            </w:r>
          </w:p>
        </w:tc>
      </w:tr>
      <w:tr w14:paraId="6CC51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p w14:paraId="519F023D">
            <w:pPr>
              <w:keepNext/>
              <w:keepLines/>
              <w:spacing w:beforeLines="50" w:after="100" w:line="240" w:lineRule="auto"/>
              <w:jc w:val="left"/>
              <w:rPr>
                <w:rFonts w:hint="default" w:ascii="Times New Roman" w:hAnsi="Times New Roman" w:eastAsia="宋体" w:cs="Times New Roman"/>
                <w:b/>
                <w:sz w:val="21"/>
                <w:szCs w:val="28"/>
                <w:lang w:val="en-US" w:eastAsia="zh-CN"/>
              </w:rPr>
            </w:pPr>
            <w:r>
              <w:rPr>
                <w:rFonts w:hint="default" w:ascii="Times New Roman" w:hAnsi="Times New Roman" w:eastAsia="宋体" w:cs="Times New Roman"/>
                <w:b/>
                <w:sz w:val="21"/>
                <w:szCs w:val="28"/>
                <w:lang w:val="en-US" w:eastAsia="zh-CN"/>
              </w:rPr>
              <w:t>五、项目的特色与创新点</w:t>
            </w:r>
          </w:p>
          <w:p w14:paraId="6689FDAC">
            <w:pPr>
              <w:keepNext/>
              <w:keepLines/>
              <w:spacing w:before="140" w:beforeLines="50" w:after="100" w:line="240" w:lineRule="auto"/>
              <w:jc w:val="left"/>
              <w:rPr>
                <w:rFonts w:hint="default" w:ascii="Times New Roman" w:hAnsi="Times New Roman" w:eastAsia="宋体" w:cs="Times New Roman"/>
                <w:b w:val="0"/>
                <w:sz w:val="21"/>
                <w:szCs w:val="28"/>
                <w:lang w:val="en-US" w:eastAsia="zh-CN"/>
              </w:rPr>
            </w:pPr>
            <w:r>
              <w:rPr>
                <w:rFonts w:hint="default" w:ascii="Times New Roman" w:hAnsi="Times New Roman" w:eastAsia="宋体" w:cs="Times New Roman"/>
                <w:b/>
                <w:sz w:val="21"/>
                <w:szCs w:val="28"/>
                <w:lang w:val="en-US" w:eastAsia="zh-CN"/>
              </w:rPr>
              <w:t>1 面向巡检的系统组织</w:t>
            </w:r>
            <w:r>
              <w:rPr>
                <w:rFonts w:hint="default" w:ascii="Times New Roman" w:hAnsi="Times New Roman" w:eastAsia="宋体" w:cs="Times New Roman"/>
                <w:b w:val="0"/>
                <w:sz w:val="21"/>
                <w:szCs w:val="28"/>
                <w:lang w:val="en-US" w:eastAsia="zh-CN"/>
              </w:rPr>
              <w:br w:type="textWrapping"/>
            </w:r>
            <w:r>
              <w:rPr>
                <w:rFonts w:hint="default" w:ascii="Times New Roman" w:hAnsi="Times New Roman" w:eastAsia="宋体" w:cs="Times New Roman"/>
                <w:b w:val="0"/>
                <w:sz w:val="21"/>
                <w:szCs w:val="28"/>
                <w:lang w:val="en-US" w:eastAsia="zh-CN"/>
              </w:rPr>
              <w:t>特色在于把双压力流量感知、有限故障模式、可靠告警和管理确认连接成可追溯系统，运行状态与测量质量共同参与解释。最终交付包含可操作台架、节点和接收端、软件以及对应实验资料，用户能够查看异常区段、变化证据和处理记录。</w:t>
            </w:r>
          </w:p>
          <w:p w14:paraId="2DEA4D91">
            <w:pPr>
              <w:keepNext/>
              <w:keepLines/>
              <w:spacing w:before="140" w:beforeLines="50" w:after="100" w:line="240" w:lineRule="auto"/>
              <w:jc w:val="left"/>
              <w:rPr>
                <w:rFonts w:hint="default" w:ascii="Times New Roman" w:hAnsi="Times New Roman" w:eastAsia="宋体" w:cs="Times New Roman"/>
                <w:b w:val="0"/>
                <w:sz w:val="21"/>
                <w:szCs w:val="28"/>
                <w:lang w:val="en-US" w:eastAsia="zh-CN"/>
              </w:rPr>
            </w:pPr>
            <w:r>
              <w:rPr>
                <w:rFonts w:hint="default" w:ascii="Times New Roman" w:hAnsi="Times New Roman" w:eastAsia="宋体" w:cs="Times New Roman"/>
                <w:b/>
                <w:sz w:val="21"/>
                <w:szCs w:val="28"/>
                <w:lang w:val="en-US" w:eastAsia="zh-CN"/>
              </w:rPr>
              <w:t>2 渐进故障的辨识边界与早期评价</w:t>
            </w:r>
            <w:r>
              <w:rPr>
                <w:rFonts w:hint="default" w:ascii="Times New Roman" w:hAnsi="Times New Roman" w:eastAsia="宋体" w:cs="Times New Roman"/>
                <w:b w:val="0"/>
                <w:sz w:val="21"/>
                <w:szCs w:val="28"/>
                <w:lang w:val="en-US" w:eastAsia="zh-CN"/>
              </w:rPr>
              <w:br w:type="textWrapping"/>
            </w:r>
            <w:r>
              <w:rPr>
                <w:rFonts w:hint="default" w:ascii="Times New Roman" w:hAnsi="Times New Roman" w:eastAsia="宋体" w:cs="Times New Roman"/>
                <w:b w:val="0"/>
                <w:sz w:val="21"/>
                <w:szCs w:val="28"/>
                <w:lang w:val="en-US" w:eastAsia="zh-CN"/>
              </w:rPr>
              <w:t>拟比较测点数量和状态信息对等效泄漏、受限辨识的作用，将故障程度、独立失效参照、提前量和误报同时评价。预期贡献是可检验的辨识条件与测量边界，而不是宣称双传感器本身首创。未知负载、漂移及切换期间失败结果均纳入研究。</w:t>
            </w:r>
          </w:p>
          <w:p w14:paraId="471B3FB7">
            <w:pPr>
              <w:keepNext/>
              <w:keepLines/>
              <w:spacing w:before="140" w:beforeLines="50" w:after="100" w:line="240" w:lineRule="auto"/>
              <w:jc w:val="left"/>
              <w:rPr>
                <w:rFonts w:hint="default" w:ascii="Times New Roman" w:hAnsi="Times New Roman" w:eastAsia="宋体" w:cs="Times New Roman"/>
                <w:b w:val="0"/>
                <w:sz w:val="21"/>
                <w:szCs w:val="28"/>
                <w:lang w:val="en-US" w:eastAsia="zh-CN"/>
              </w:rPr>
            </w:pPr>
            <w:r>
              <w:rPr>
                <w:rFonts w:hint="default" w:ascii="Times New Roman" w:hAnsi="Times New Roman" w:eastAsia="宋体" w:cs="Times New Roman"/>
                <w:b/>
                <w:sz w:val="21"/>
                <w:szCs w:val="28"/>
                <w:lang w:val="en-US" w:eastAsia="zh-CN"/>
              </w:rPr>
              <w:t>3 诊断与可靠上报的联合验证</w:t>
            </w:r>
            <w:r>
              <w:rPr>
                <w:rFonts w:hint="default" w:ascii="Times New Roman" w:hAnsi="Times New Roman" w:eastAsia="宋体" w:cs="Times New Roman"/>
                <w:b w:val="0"/>
                <w:sz w:val="21"/>
                <w:szCs w:val="28"/>
                <w:lang w:val="en-US" w:eastAsia="zh-CN"/>
              </w:rPr>
              <w:br w:type="textWrapping"/>
            </w:r>
            <w:r>
              <w:rPr>
                <w:rFonts w:hint="default" w:ascii="Times New Roman" w:hAnsi="Times New Roman" w:eastAsia="宋体" w:cs="Times New Roman"/>
                <w:b w:val="0"/>
                <w:sz w:val="21"/>
                <w:szCs w:val="28"/>
                <w:lang w:val="en-US" w:eastAsia="zh-CN"/>
              </w:rPr>
              <w:t>拟在同一真实故障及本地检测记录下比较通信策略，把本地发现和远端送达分开测量，结合缓存、确认及整机能量评价取舍。当前诊断与通信分别具有模型证据，端到端联合验证为实施任务。创新点是拟研究方向，尚未证明算法优越性或取得论文、专利。</w:t>
            </w:r>
          </w:p>
        </w:tc>
      </w:tr>
      <w:tr w14:paraId="3D97D4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p w14:paraId="52E2EFA1">
            <w:pPr>
              <w:keepNext/>
              <w:keepLines/>
              <w:spacing w:beforeLines="50" w:after="100" w:line="240" w:lineRule="auto"/>
              <w:jc w:val="left"/>
              <w:rPr>
                <w:rFonts w:hint="default" w:ascii="Times New Roman" w:hAnsi="Times New Roman" w:eastAsia="宋体" w:cs="Times New Roman"/>
                <w:b/>
                <w:sz w:val="21"/>
                <w:szCs w:val="28"/>
                <w:lang w:val="en-US" w:eastAsia="zh-CN"/>
              </w:rPr>
            </w:pPr>
            <w:r>
              <w:rPr>
                <w:rFonts w:hint="default" w:ascii="Times New Roman" w:hAnsi="Times New Roman" w:eastAsia="宋体" w:cs="Times New Roman"/>
                <w:b/>
                <w:sz w:val="21"/>
                <w:szCs w:val="28"/>
                <w:lang w:val="en-US" w:eastAsia="zh-CN"/>
              </w:rPr>
              <w:t>六、项目预期成果</w:t>
            </w:r>
          </w:p>
          <w:p w14:paraId="12AD1370">
            <w:pPr>
              <w:keepNext w:val="0"/>
              <w:keepLines/>
              <w:spacing w:beforeLines="50" w:after="100" w:line="240" w:lineRule="auto"/>
              <w:jc w:val="left"/>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形成1套支管故障诊断原型，包含1个P0/P1/Q节点、1个LoRa接收端、1套双支路清水台架和本地Web管理软件，能够完成测量、有限提示、可靠接收、查看确认及数据导出。</w:t>
            </w:r>
          </w:p>
          <w:p w14:paraId="0507AB16">
            <w:pPr>
              <w:keepNext w:val="0"/>
              <w:keepLines/>
              <w:spacing w:beforeLines="50" w:after="100" w:line="240" w:lineRule="auto"/>
              <w:jc w:val="left"/>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形成1套可追溯数据和复现程序，覆盖标定、独立操作标签、主要故障网格、正常切换、跨批次强基线和消融、通信及整机测量，保留失败实例。主要独立试验至少54次，另开展正常/切换对照和连续运行检查。</w:t>
            </w:r>
          </w:p>
          <w:p w14:paraId="5AD3AB03">
            <w:pPr>
              <w:keepNext w:val="0"/>
              <w:keepLines/>
              <w:spacing w:beforeLines="50" w:after="100" w:line="240" w:lineRule="auto"/>
              <w:jc w:val="left"/>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形成调研报告、研究/结题报告、技术与使用说明、过程记录和演示材料，按批准任务书及本批规则完成验收。学校2025年细则中的实物或软硬件研发选择成果可作为参考，最终以实际获批任务要求为准。</w:t>
            </w:r>
          </w:p>
          <w:p w14:paraId="103588AB">
            <w:pPr>
              <w:keepNext w:val="0"/>
              <w:keepLines/>
              <w:spacing w:beforeLines="50" w:after="100" w:line="240" w:lineRule="auto"/>
              <w:jc w:val="left"/>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形成1篇研究论文稿，优先提炼渐进故障辨识条件或可靠告警取舍，在数据和贡献充分时经导师审核投稿。论文稿、投稿、录用、发表和收录分别记录；期刊级别及发表结果不作为已经取得的成绩。软著与专利根据实际成果另行判断。</w:t>
            </w:r>
          </w:p>
        </w:tc>
      </w:tr>
      <w:tr w14:paraId="183DCA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p w14:paraId="3883663F">
            <w:pPr>
              <w:keepNext/>
              <w:keepLines/>
              <w:spacing w:beforeLines="50" w:after="100" w:line="240" w:lineRule="auto"/>
              <w:jc w:val="left"/>
              <w:rPr>
                <w:rFonts w:hint="default" w:ascii="Times New Roman" w:hAnsi="Times New Roman" w:eastAsia="宋体" w:cs="Times New Roman"/>
                <w:b/>
                <w:sz w:val="21"/>
                <w:szCs w:val="28"/>
                <w:lang w:val="en-US" w:eastAsia="zh-CN"/>
              </w:rPr>
            </w:pPr>
            <w:r>
              <w:rPr>
                <w:rFonts w:hint="default" w:ascii="Times New Roman" w:hAnsi="Times New Roman" w:eastAsia="宋体" w:cs="Times New Roman"/>
                <w:b/>
                <w:sz w:val="21"/>
                <w:szCs w:val="28"/>
                <w:lang w:val="en-US" w:eastAsia="zh-CN"/>
              </w:rPr>
              <w:t>七、项目年度目标和工作内容（按年度写）</w:t>
            </w:r>
          </w:p>
          <w:p w14:paraId="1C8CE8AA">
            <w:pPr>
              <w:keepNext w:val="0"/>
              <w:keepLines/>
              <w:spacing w:beforeLines="50" w:after="100" w:line="240" w:lineRule="auto"/>
              <w:jc w:val="left"/>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2027年度完成测量台架、主要实验、LoRa与Web集成、独立验证及论文稿；2028年1—2月补关键验证、核对任务书并办理结项。表3按阶段列出进入下一阶段的条件。</w:t>
            </w:r>
          </w:p>
          <w:tbl>
            <w:tblPr>
              <w:tblStyle w:val="6"/>
              <w:tblW w:w="85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500"/>
            </w:tblGrid>
            <w:tr w14:paraId="7E8107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Pr>
              <w:tc>
                <w:tcPr>
                  <w:tcW w:w="9070" w:type="dxa"/>
                  <w:tcBorders>
                    <w:tl2br w:val="nil"/>
                    <w:tr2bl w:val="nil"/>
                  </w:tcBorders>
                </w:tcPr>
                <w:p w14:paraId="75396FB7">
                  <w:pPr>
                    <w:keepNext w:val="0"/>
                    <w:keepLines/>
                    <w:spacing w:beforeLines="50" w:after="140" w:line="240" w:lineRule="auto"/>
                    <w:jc w:val="left"/>
                    <w:rPr>
                      <w:rFonts w:hint="eastAsia" w:ascii="Times New Roman" w:hAnsi="Times New Roman" w:cs="Times New Roman"/>
                      <w:b/>
                      <w:sz w:val="21"/>
                      <w:szCs w:val="28"/>
                      <w:vertAlign w:val="baseline"/>
                      <w:lang w:val="en-US" w:eastAsia="zh-CN"/>
                    </w:rPr>
                  </w:pPr>
                  <w:r>
                    <w:rPr>
                      <w:rFonts w:hint="eastAsia" w:ascii="Times New Roman" w:hAnsi="Times New Roman" w:cs="Times New Roman"/>
                      <w:b/>
                      <w:sz w:val="21"/>
                      <w:szCs w:val="28"/>
                      <w:vertAlign w:val="baseline"/>
                      <w:lang w:val="en-US" w:eastAsia="zh-CN"/>
                    </w:rPr>
                    <w:t>表3 实施进度及阶段交付</w:t>
                  </w:r>
                </w:p>
                <w:tbl>
                  <w:tblPr>
                    <w:tblStyle w:val="6"/>
                    <w:tblW w:w="8500" w:type="dxa"/>
                    <w:tblInd w:w="3" w:type="dxa"/>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Layout w:type="fixed"/>
                    <w:tblCellMar>
                      <w:top w:w="60" w:type="dxa"/>
                      <w:left w:w="100" w:type="dxa"/>
                      <w:bottom w:w="60" w:type="dxa"/>
                      <w:right w:w="100" w:type="dxa"/>
                    </w:tblCellMar>
                  </w:tblPr>
                  <w:tblGrid>
                    <w:gridCol w:w="1700"/>
                    <w:gridCol w:w="3300"/>
                    <w:gridCol w:w="3500"/>
                  </w:tblGrid>
                  <w:tr w14:paraId="608B6D7C">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blHeader/>
                    </w:trPr>
                    <w:tc>
                      <w:tcPr>
                        <w:tcW w:w="1700" w:type="dxa"/>
                        <w:tcBorders>
                          <w:tl2br w:val="nil"/>
                          <w:tr2bl w:val="nil"/>
                        </w:tcBorders>
                        <w:shd w:val="clear" w:color="auto" w:fill="EDEDED"/>
                        <w:vAlign w:val="center"/>
                      </w:tcPr>
                      <w:p w14:paraId="128130F9">
                        <w:pPr>
                          <w:keepNext/>
                          <w:keepLines/>
                          <w:spacing w:beforeLines="50" w:after="40" w:line="240" w:lineRule="auto"/>
                          <w:jc w:val="left"/>
                          <w:rPr>
                            <w:rFonts w:hint="default" w:ascii="Times New Roman" w:hAnsi="Times New Roman" w:eastAsia="宋体" w:cs="Times New Roman"/>
                            <w:b/>
                            <w:sz w:val="19"/>
                            <w:szCs w:val="28"/>
                            <w:vertAlign w:val="baseline"/>
                            <w:lang w:val="en-US" w:eastAsia="zh-CN"/>
                          </w:rPr>
                        </w:pPr>
                        <w:r>
                          <w:rPr>
                            <w:rFonts w:hint="eastAsia" w:ascii="Times New Roman" w:hAnsi="Times New Roman" w:cs="Times New Roman"/>
                            <w:b/>
                            <w:sz w:val="19"/>
                            <w:szCs w:val="28"/>
                            <w:vertAlign w:val="baseline"/>
                            <w:lang w:val="en-US" w:eastAsia="zh-CN"/>
                          </w:rPr>
                          <w:t>时段</w:t>
                        </w:r>
                      </w:p>
                    </w:tc>
                    <w:tc>
                      <w:tcPr>
                        <w:tcW w:w="3300" w:type="dxa"/>
                        <w:tcBorders>
                          <w:tl2br w:val="nil"/>
                          <w:tr2bl w:val="nil"/>
                        </w:tcBorders>
                        <w:shd w:val="clear" w:color="auto" w:fill="EDEDED"/>
                        <w:vAlign w:val="center"/>
                      </w:tcPr>
                      <w:p w14:paraId="1DA7F756">
                        <w:pPr>
                          <w:keepNext/>
                          <w:keepLines/>
                          <w:spacing w:beforeLines="50" w:after="40" w:line="240" w:lineRule="auto"/>
                          <w:jc w:val="left"/>
                          <w:rPr>
                            <w:rFonts w:hint="default" w:ascii="Times New Roman" w:hAnsi="Times New Roman" w:eastAsia="宋体" w:cs="Times New Roman"/>
                            <w:b/>
                            <w:sz w:val="19"/>
                            <w:szCs w:val="28"/>
                            <w:vertAlign w:val="baseline"/>
                            <w:lang w:val="en-US" w:eastAsia="zh-CN"/>
                          </w:rPr>
                        </w:pPr>
                        <w:r>
                          <w:rPr>
                            <w:rFonts w:hint="eastAsia" w:ascii="Times New Roman" w:hAnsi="Times New Roman" w:cs="Times New Roman"/>
                            <w:b/>
                            <w:sz w:val="19"/>
                            <w:szCs w:val="28"/>
                            <w:vertAlign w:val="baseline"/>
                            <w:lang w:val="en-US" w:eastAsia="zh-CN"/>
                          </w:rPr>
                          <w:t>核心工作</w:t>
                        </w:r>
                      </w:p>
                    </w:tc>
                    <w:tc>
                      <w:tcPr>
                        <w:tcW w:w="3500" w:type="dxa"/>
                        <w:tcBorders>
                          <w:tl2br w:val="nil"/>
                          <w:tr2bl w:val="nil"/>
                        </w:tcBorders>
                        <w:shd w:val="clear" w:color="auto" w:fill="EDEDED"/>
                        <w:vAlign w:val="center"/>
                      </w:tcPr>
                      <w:p w14:paraId="7A0858C0">
                        <w:pPr>
                          <w:keepNext/>
                          <w:keepLines/>
                          <w:spacing w:beforeLines="50" w:after="40" w:line="240" w:lineRule="auto"/>
                          <w:jc w:val="left"/>
                          <w:rPr>
                            <w:rFonts w:hint="default" w:ascii="Times New Roman" w:hAnsi="Times New Roman" w:eastAsia="宋体" w:cs="Times New Roman"/>
                            <w:b/>
                            <w:sz w:val="19"/>
                            <w:szCs w:val="28"/>
                            <w:vertAlign w:val="baseline"/>
                            <w:lang w:val="en-US" w:eastAsia="zh-CN"/>
                          </w:rPr>
                        </w:pPr>
                        <w:r>
                          <w:rPr>
                            <w:rFonts w:hint="eastAsia" w:ascii="Times New Roman" w:hAnsi="Times New Roman" w:cs="Times New Roman"/>
                            <w:b/>
                            <w:sz w:val="19"/>
                            <w:szCs w:val="28"/>
                            <w:vertAlign w:val="baseline"/>
                            <w:lang w:val="en-US" w:eastAsia="zh-CN"/>
                          </w:rPr>
                          <w:t>阶段交付或进入条件</w:t>
                        </w:r>
                      </w:p>
                    </w:tc>
                  </w:tr>
                  <w:tr w14:paraId="5B61C18B">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700" w:type="dxa"/>
                        <w:tcBorders>
                          <w:tl2br w:val="nil"/>
                          <w:tr2bl w:val="nil"/>
                        </w:tcBorders>
                        <w:shd w:val="clear" w:color="auto" w:fill="FFFFFF"/>
                        <w:vAlign w:val="center"/>
                      </w:tcPr>
                      <w:p w14:paraId="463D16A3">
                        <w:pPr>
                          <w:keepNext/>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2027年3—4月</w:t>
                        </w:r>
                      </w:p>
                    </w:tc>
                    <w:tc>
                      <w:tcPr>
                        <w:tcW w:w="3300" w:type="dxa"/>
                        <w:tcBorders>
                          <w:tl2br w:val="nil"/>
                          <w:tr2bl w:val="nil"/>
                        </w:tcBorders>
                        <w:shd w:val="clear" w:color="auto" w:fill="FFFFFF"/>
                        <w:vAlign w:val="center"/>
                      </w:tcPr>
                      <w:p w14:paraId="71105382">
                        <w:pPr>
                          <w:keepNext/>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台架、标定、有线日志与差压误差</w:t>
                        </w:r>
                      </w:p>
                    </w:tc>
                    <w:tc>
                      <w:tcPr>
                        <w:tcW w:w="3500" w:type="dxa"/>
                        <w:tcBorders>
                          <w:tl2br w:val="nil"/>
                          <w:tr2bl w:val="nil"/>
                        </w:tcBorders>
                        <w:shd w:val="clear" w:color="auto" w:fill="FFFFFF"/>
                        <w:vAlign w:val="center"/>
                      </w:tcPr>
                      <w:p w14:paraId="42FE03C7">
                        <w:pPr>
                          <w:keepNext/>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有独立标签、可校核且可重复的原始数据</w:t>
                        </w:r>
                      </w:p>
                    </w:tc>
                  </w:tr>
                  <w:tr w14:paraId="2F323296">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700" w:type="dxa"/>
                        <w:tcBorders>
                          <w:tl2br w:val="nil"/>
                          <w:tr2bl w:val="nil"/>
                        </w:tcBorders>
                        <w:shd w:val="clear" w:color="auto" w:fill="FFFFFF"/>
                        <w:vAlign w:val="center"/>
                      </w:tcPr>
                      <w:p w14:paraId="0AA224A0">
                        <w:pPr>
                          <w:keepNext/>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2027年5—6月</w:t>
                        </w:r>
                      </w:p>
                    </w:tc>
                    <w:tc>
                      <w:tcPr>
                        <w:tcW w:w="3300" w:type="dxa"/>
                        <w:tcBorders>
                          <w:tl2br w:val="nil"/>
                          <w:tr2bl w:val="nil"/>
                        </w:tcBorders>
                        <w:shd w:val="clear" w:color="auto" w:fill="FFFFFF"/>
                        <w:vAlign w:val="center"/>
                      </w:tcPr>
                      <w:p w14:paraId="1E8F607C">
                        <w:pPr>
                          <w:keepNext/>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故障程度网格、正常切换和方法对照</w:t>
                        </w:r>
                      </w:p>
                    </w:tc>
                    <w:tc>
                      <w:tcPr>
                        <w:tcW w:w="3500" w:type="dxa"/>
                        <w:tcBorders>
                          <w:tl2br w:val="nil"/>
                          <w:tr2bl w:val="nil"/>
                        </w:tcBorders>
                        <w:shd w:val="clear" w:color="auto" w:fill="FFFFFF"/>
                        <w:vAlign w:val="center"/>
                      </w:tcPr>
                      <w:p w14:paraId="2F0CAA73">
                        <w:pPr>
                          <w:keepNext/>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试次级误报、漏检、模式及提前量记录</w:t>
                        </w:r>
                      </w:p>
                    </w:tc>
                  </w:tr>
                  <w:tr w14:paraId="60426F1D">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700" w:type="dxa"/>
                        <w:tcBorders>
                          <w:tl2br w:val="nil"/>
                          <w:tr2bl w:val="nil"/>
                        </w:tcBorders>
                        <w:shd w:val="clear" w:color="auto" w:fill="FFFFFF"/>
                        <w:vAlign w:val="center"/>
                      </w:tcPr>
                      <w:p w14:paraId="1339FE79">
                        <w:pPr>
                          <w:keepNext/>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2027年7—8月</w:t>
                        </w:r>
                      </w:p>
                    </w:tc>
                    <w:tc>
                      <w:tcPr>
                        <w:tcW w:w="3300" w:type="dxa"/>
                        <w:tcBorders>
                          <w:tl2br w:val="nil"/>
                          <w:tr2bl w:val="nil"/>
                        </w:tcBorders>
                        <w:shd w:val="clear" w:color="auto" w:fill="FFFFFF"/>
                        <w:vAlign w:val="center"/>
                      </w:tcPr>
                      <w:p w14:paraId="52F6F077">
                        <w:pPr>
                          <w:keepNext/>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LoRa协议、本地Web及连续运行</w:t>
                        </w:r>
                      </w:p>
                    </w:tc>
                    <w:tc>
                      <w:tcPr>
                        <w:tcW w:w="3500" w:type="dxa"/>
                        <w:tcBorders>
                          <w:tl2br w:val="nil"/>
                          <w:tr2bl w:val="nil"/>
                        </w:tcBorders>
                        <w:shd w:val="clear" w:color="auto" w:fill="FFFFFF"/>
                        <w:vAlign w:val="center"/>
                      </w:tcPr>
                      <w:p w14:paraId="475EC4CF">
                        <w:pPr>
                          <w:keepNext/>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发收确认可追溯，恢复与整机测量记录</w:t>
                        </w:r>
                      </w:p>
                    </w:tc>
                  </w:tr>
                  <w:tr w14:paraId="305B5EA2">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700" w:type="dxa"/>
                        <w:tcBorders>
                          <w:tl2br w:val="nil"/>
                          <w:tr2bl w:val="nil"/>
                        </w:tcBorders>
                        <w:shd w:val="clear" w:color="auto" w:fill="FFFFFF"/>
                        <w:vAlign w:val="center"/>
                      </w:tcPr>
                      <w:p w14:paraId="0E039854">
                        <w:pPr>
                          <w:keepNext/>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2027年9—10月</w:t>
                        </w:r>
                      </w:p>
                    </w:tc>
                    <w:tc>
                      <w:tcPr>
                        <w:tcW w:w="3300" w:type="dxa"/>
                        <w:tcBorders>
                          <w:tl2br w:val="nil"/>
                          <w:tr2bl w:val="nil"/>
                        </w:tcBorders>
                        <w:shd w:val="clear" w:color="auto" w:fill="FFFFFF"/>
                        <w:vAlign w:val="center"/>
                      </w:tcPr>
                      <w:p w14:paraId="72067968">
                        <w:pPr>
                          <w:keepNext/>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独立批次、消融、条件性现场、论文稿</w:t>
                        </w:r>
                      </w:p>
                    </w:tc>
                    <w:tc>
                      <w:tcPr>
                        <w:tcW w:w="3500" w:type="dxa"/>
                        <w:tcBorders>
                          <w:tl2br w:val="nil"/>
                          <w:tr2bl w:val="nil"/>
                        </w:tcBorders>
                        <w:shd w:val="clear" w:color="auto" w:fill="FFFFFF"/>
                        <w:vAlign w:val="center"/>
                      </w:tcPr>
                      <w:p w14:paraId="710D43E3">
                        <w:pPr>
                          <w:keepNext/>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冻结数据与方法，导师审核论文贡献</w:t>
                        </w:r>
                      </w:p>
                    </w:tc>
                  </w:tr>
                  <w:tr w14:paraId="287D0D9E">
                    <w:tblPrEx>
                      <w:tblCellMar>
                        <w:top w:w="60" w:type="dxa"/>
                        <w:left w:w="100" w:type="dxa"/>
                        <w:bottom w:w="60" w:type="dxa"/>
                        <w:right w:w="100" w:type="dxa"/>
                      </w:tblCellMar>
                    </w:tblPrEx>
                    <w:trPr>
                      <w:cantSplit/>
                    </w:trPr>
                    <w:tc>
                      <w:tcPr>
                        <w:tcW w:w="1700" w:type="dxa"/>
                        <w:tcBorders>
                          <w:tl2br w:val="nil"/>
                          <w:tr2bl w:val="nil"/>
                        </w:tcBorders>
                        <w:shd w:val="clear" w:color="auto" w:fill="FFFFFF"/>
                        <w:vAlign w:val="center"/>
                      </w:tcPr>
                      <w:p w14:paraId="76CBBB86">
                        <w:pPr>
                          <w:keepNext/>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2027年11—12月</w:t>
                        </w:r>
                      </w:p>
                    </w:tc>
                    <w:tc>
                      <w:tcPr>
                        <w:tcW w:w="3300" w:type="dxa"/>
                        <w:tcBorders>
                          <w:tl2br w:val="nil"/>
                          <w:tr2bl w:val="nil"/>
                        </w:tcBorders>
                        <w:shd w:val="clear" w:color="auto" w:fill="FFFFFF"/>
                        <w:vAlign w:val="center"/>
                      </w:tcPr>
                      <w:p w14:paraId="1A81D308">
                        <w:pPr>
                          <w:keepNext/>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补试验、修订原型与研究报告</w:t>
                        </w:r>
                      </w:p>
                    </w:tc>
                    <w:tc>
                      <w:tcPr>
                        <w:tcW w:w="3500" w:type="dxa"/>
                        <w:tcBorders>
                          <w:tl2br w:val="nil"/>
                          <w:tr2bl w:val="nil"/>
                        </w:tcBorders>
                        <w:shd w:val="clear" w:color="auto" w:fill="FFFFFF"/>
                        <w:vAlign w:val="center"/>
                      </w:tcPr>
                      <w:p w14:paraId="0DCBE431">
                        <w:pPr>
                          <w:keepNext/>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系统演示、调研、过程及本批要求材料</w:t>
                        </w:r>
                      </w:p>
                    </w:tc>
                  </w:tr>
                  <w:tr w14:paraId="1C083301">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1700" w:type="dxa"/>
                        <w:tcBorders>
                          <w:tl2br w:val="nil"/>
                          <w:tr2bl w:val="nil"/>
                        </w:tcBorders>
                        <w:shd w:val="clear" w:color="auto" w:fill="FFFFFF"/>
                        <w:vAlign w:val="center"/>
                      </w:tcPr>
                      <w:p w14:paraId="7AA58D74">
                        <w:pPr>
                          <w:keepNext w:val="0"/>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2028年1—2月</w:t>
                        </w:r>
                      </w:p>
                    </w:tc>
                    <w:tc>
                      <w:tcPr>
                        <w:tcW w:w="3300" w:type="dxa"/>
                        <w:tcBorders>
                          <w:tl2br w:val="nil"/>
                          <w:tr2bl w:val="nil"/>
                        </w:tcBorders>
                        <w:shd w:val="clear" w:color="auto" w:fill="FFFFFF"/>
                        <w:vAlign w:val="center"/>
                      </w:tcPr>
                      <w:p w14:paraId="7563A78E">
                        <w:pPr>
                          <w:keepNext w:val="0"/>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核对任务书、补验证与归档</w:t>
                        </w:r>
                      </w:p>
                    </w:tc>
                    <w:tc>
                      <w:tcPr>
                        <w:tcW w:w="3500" w:type="dxa"/>
                        <w:tcBorders>
                          <w:tl2br w:val="nil"/>
                          <w:tr2bl w:val="nil"/>
                        </w:tcBorders>
                        <w:shd w:val="clear" w:color="auto" w:fill="FFFFFF"/>
                        <w:vAlign w:val="center"/>
                      </w:tcPr>
                      <w:p w14:paraId="60F002DE">
                        <w:pPr>
                          <w:keepNext w:val="0"/>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实物软件、数据、报告和结项材料对应</w:t>
                        </w:r>
                      </w:p>
                    </w:tc>
                  </w:tr>
                </w:tbl>
                <w:p w14:paraId="14CB39B9">
                  <w:pPr>
                    <w:keepNext w:val="0"/>
                    <w:keepLines/>
                    <w:spacing w:beforeLines="50" w:after="100" w:line="240" w:lineRule="auto"/>
                    <w:jc w:val="left"/>
                    <w:rPr>
                      <w:rFonts w:hint="default" w:ascii="Times New Roman" w:hAnsi="Times New Roman" w:cs="Times New Roman"/>
                      <w:sz w:val="21"/>
                      <w:szCs w:val="28"/>
                      <w:vertAlign w:val="baseline"/>
                      <w:lang w:val="en-US" w:eastAsia="zh-CN"/>
                    </w:rPr>
                  </w:pPr>
                </w:p>
              </w:tc>
            </w:tr>
          </w:tbl>
          <w:p w14:paraId="5F1799B6">
            <w:pPr>
              <w:keepNext w:val="0"/>
              <w:keepLines/>
              <w:spacing w:beforeLines="50" w:after="100" w:line="240" w:lineRule="auto"/>
              <w:jc w:val="left"/>
              <w:rPr>
                <w:rFonts w:hint="default" w:ascii="Times New Roman" w:hAnsi="Times New Roman" w:eastAsia="宋体" w:cs="Times New Roman"/>
                <w:sz w:val="21"/>
                <w:szCs w:val="28"/>
                <w:lang w:val="en-US" w:eastAsia="zh-CN"/>
              </w:rPr>
            </w:pPr>
          </w:p>
          <w:p w14:paraId="2DA62679">
            <w:pPr>
              <w:keepNext w:val="0"/>
              <w:keepLines/>
              <w:spacing w:beforeLines="50" w:after="100" w:line="240" w:lineRule="auto"/>
              <w:jc w:val="left"/>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申报后至正式实施前开展C/Python学习、成员分工、器件询价和参考仪器联系。测量阶段未达到可重复、可校核条件时先修正台架；论文审稿延长时据已完成任务办理结项，论文状态据实记录。</w:t>
            </w:r>
          </w:p>
        </w:tc>
      </w:tr>
      <w:tr w14:paraId="4D2449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p w14:paraId="1CB3377C">
            <w:pPr>
              <w:keepNext/>
              <w:keepLines/>
              <w:numPr>
                <w:ilvl w:val="0"/>
                <w:numId w:val="0"/>
              </w:numPr>
              <w:spacing w:beforeLines="50" w:after="100" w:line="240" w:lineRule="auto"/>
              <w:jc w:val="left"/>
              <w:rPr>
                <w:rFonts w:hint="default" w:ascii="Times New Roman" w:hAnsi="Times New Roman" w:eastAsia="宋体" w:cs="Times New Roman"/>
                <w:b/>
                <w:sz w:val="21"/>
                <w:szCs w:val="28"/>
                <w:lang w:val="en-US" w:eastAsia="zh-CN"/>
              </w:rPr>
            </w:pPr>
            <w:r>
              <w:rPr>
                <w:rFonts w:hint="default" w:ascii="Times New Roman" w:hAnsi="Times New Roman" w:eastAsia="宋体" w:cs="Times New Roman"/>
                <w:b/>
                <w:sz w:val="21"/>
                <w:szCs w:val="28"/>
                <w:lang w:val="en-US" w:eastAsia="zh-CN"/>
              </w:rPr>
              <w:t>八、已有基础</w:t>
            </w:r>
          </w:p>
          <w:p w14:paraId="2C3623F9">
            <w:pPr>
              <w:keepNext/>
              <w:keepLines/>
              <w:numPr>
                <w:ilvl w:val="0"/>
                <w:numId w:val="0"/>
              </w:numPr>
              <w:spacing w:before="140" w:beforeLines="50" w:after="100" w:line="240" w:lineRule="auto"/>
              <w:jc w:val="left"/>
              <w:rPr>
                <w:rFonts w:hint="default" w:ascii="Times New Roman" w:hAnsi="Times New Roman" w:eastAsia="宋体" w:cs="Times New Roman"/>
                <w:b w:val="0"/>
                <w:sz w:val="21"/>
                <w:szCs w:val="28"/>
                <w:lang w:val="en-US" w:eastAsia="zh-CN"/>
              </w:rPr>
            </w:pPr>
            <w:r>
              <w:rPr>
                <w:rFonts w:hint="default" w:ascii="Times New Roman" w:hAnsi="Times New Roman" w:eastAsia="宋体" w:cs="Times New Roman"/>
                <w:b/>
                <w:sz w:val="21"/>
                <w:szCs w:val="28"/>
                <w:lang w:val="en-US" w:eastAsia="zh-CN"/>
              </w:rPr>
              <w:t>1 与本项目有关的研究积累和已取得的成绩</w:t>
            </w:r>
            <w:r>
              <w:rPr>
                <w:rFonts w:hint="default" w:ascii="Times New Roman" w:hAnsi="Times New Roman" w:eastAsia="宋体" w:cs="Times New Roman"/>
                <w:b w:val="0"/>
                <w:sz w:val="21"/>
                <w:szCs w:val="28"/>
                <w:lang w:val="en-US" w:eastAsia="zh-CN"/>
              </w:rPr>
              <w:br w:type="textWrapping"/>
            </w:r>
            <w:r>
              <w:rPr>
                <w:rFonts w:hint="default" w:ascii="Times New Roman" w:hAnsi="Times New Roman" w:eastAsia="宋体" w:cs="Times New Roman"/>
                <w:b w:val="0"/>
                <w:sz w:val="21"/>
                <w:szCs w:val="28"/>
                <w:lang w:val="en-US" w:eastAsia="zh-CN"/>
              </w:rPr>
              <w:t>已形成文献和制度分析、等效模型、合成试验程序、国内候选器件核对及离线网站。当前基础属于方案、模型和软件，尚无硬件台架、真实无线、整机功耗或田间性能数据。图9为程序保存结果生成的模型检验图，用于说明可行条件与失败趋势。</w:t>
            </w:r>
          </w:p>
          <w:p w14:paraId="1EAFD264">
            <w:pPr>
              <w:keepNext w:val="0"/>
              <w:keepLines/>
              <w:numPr>
                <w:ilvl w:val="0"/>
                <w:numId w:val="0"/>
              </w:numPr>
              <w:spacing w:beforeLines="50" w:after="100" w:line="240" w:lineRule="auto"/>
              <w:jc w:val="center"/>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pict>
                <v:shape id="_x0000_i1034" o:spt="75" alt="图9 渐进故障及噪声影响的合成模型检验 参数未标定" type="#_x0000_t75" style="height:417.2pt;width:425pt;" filled="f" o:preferrelative="t" stroked="f" coordsize="21600,21600">
                  <v:path/>
                  <v:fill on="f" focussize="0,0"/>
                  <v:stroke on="f"/>
                  <v:imagedata r:id="rId14" o:title="early_diagnosis"/>
                  <o:lock v:ext="edit" aspectratio="t"/>
                  <w10:wrap type="none"/>
                  <w10:anchorlock/>
                </v:shape>
              </w:pict>
            </w:r>
            <w:r>
              <w:rPr>
                <w:rFonts w:hint="eastAsia" w:ascii="Times New Roman" w:hAnsi="Times New Roman" w:cs="Times New Roman"/>
                <w:sz w:val="21"/>
                <w:szCs w:val="28"/>
                <w:lang w:val="en-US" w:eastAsia="zh-CN"/>
              </w:rPr>
              <w:br w:type="textWrapping"/>
            </w:r>
            <w:r>
              <w:rPr>
                <w:rFonts w:hint="eastAsia" w:ascii="Times New Roman" w:hAnsi="Times New Roman" w:cs="Times New Roman"/>
                <w:sz w:val="18"/>
                <w:szCs w:val="28"/>
                <w:lang w:val="en-US" w:eastAsia="zh-CN"/>
              </w:rPr>
              <w:t>图9 渐进故障及噪声影响的合成模型检验 参数未标定</w:t>
            </w:r>
          </w:p>
          <w:p w14:paraId="4D47B5B3">
            <w:pPr>
              <w:keepNext w:val="0"/>
              <w:keepLines/>
              <w:numPr>
                <w:ilvl w:val="0"/>
                <w:numId w:val="0"/>
              </w:numPr>
              <w:spacing w:beforeLines="50" w:after="100" w:line="240" w:lineRule="auto"/>
              <w:jc w:val="left"/>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已完成6场景×4压力噪声×20种子的480次双压力合成试验。理想同步、平方律及单故障假设下，低噪声两类各20/20在15%演示参照前正确提示，且无前期误报；σ=10kPa时各降为12/20。种子10300、σ=0.3kPa示例中，泄漏提示/参照为409/485秒（提前76秒），受限为396/522秒（提前126秒）。种子统计与单次示例分列，均非实物性能。</w:t>
            </w:r>
          </w:p>
          <w:p w14:paraId="37B3C892">
            <w:pPr>
              <w:keepNext w:val="0"/>
              <w:keepLines/>
              <w:numPr>
                <w:ilvl w:val="0"/>
                <w:numId w:val="0"/>
              </w:numPr>
              <w:spacing w:beforeLines="50" w:after="100" w:line="240" w:lineRule="auto"/>
              <w:jc w:val="left"/>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反例中压力漂移会误报，未知正常负载与泄漏同形。旧单压力模型12类挑战、240次合成也出现弱异常漏检及原因歧义。因此需标定、状态信息与有限输出，不能据此宣称通用辨因。</w:t>
            </w:r>
          </w:p>
          <w:tbl>
            <w:tblPr>
              <w:tblStyle w:val="6"/>
              <w:tblW w:w="91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9100"/>
            </w:tblGrid>
            <w:tr w14:paraId="7ED22E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100" w:type="dxa"/>
                  <w:tcBorders>
                    <w:tl2br w:val="nil"/>
                    <w:tr2bl w:val="nil"/>
                  </w:tcBorders>
                </w:tcPr>
                <w:p w14:paraId="4F813A3D">
                  <w:pPr>
                    <w:keepNext w:val="0"/>
                    <w:keepLines/>
                    <w:pageBreakBefore w:val="0"/>
                    <w:numPr>
                      <w:ilvl w:val="0"/>
                      <w:numId w:val="0"/>
                    </w:numPr>
                    <w:spacing w:beforeLines="50" w:after="100" w:line="240" w:lineRule="auto"/>
                    <w:jc w:val="left"/>
                    <w:rPr>
                      <w:rFonts w:hint="default" w:ascii="Times New Roman" w:hAnsi="Times New Roman" w:eastAsia="宋体" w:cs="Times New Roman"/>
                      <w:sz w:val="21"/>
                      <w:szCs w:val="28"/>
                      <w:vertAlign w:val="baseline"/>
                      <w:lang w:val="en-US" w:eastAsia="zh-CN"/>
                    </w:rPr>
                  </w:pPr>
                  <w:r>
                    <w:rPr>
                      <w:rFonts w:hint="default" w:ascii="Times New Roman" w:hAnsi="Times New Roman" w:eastAsia="宋体" w:cs="Times New Roman"/>
                      <w:b w:val="0"/>
                      <w:sz w:val="21"/>
                      <w:szCs w:val="28"/>
                      <w:vertAlign w:val="baseline"/>
                      <w:lang w:val="en-US" w:eastAsia="zh-CN"/>
                    </w:rPr>
                    <w:t>已完成1920次公平通信回放，统一检测器、载荷、缓存、ACK与去重。慢周期具有竞争力，噪声可增加事件发送；尚无完整射频和整机能量测量。诊断与通信分开验证，联合实物系统拟在实施期完成。</w:t>
                  </w:r>
                </w:p>
              </w:tc>
            </w:tr>
          </w:tbl>
          <w:p w14:paraId="161162C5">
            <w:pPr>
              <w:keepNext w:val="0"/>
              <w:keepLines/>
              <w:numPr>
                <w:ilvl w:val="0"/>
                <w:numId w:val="0"/>
              </w:numPr>
              <w:spacing w:beforeLines="50" w:after="100" w:line="240" w:lineRule="auto"/>
              <w:jc w:val="left"/>
              <w:rPr>
                <w:rFonts w:hint="default" w:ascii="Times New Roman" w:hAnsi="Times New Roman" w:eastAsia="宋体" w:cs="Times New Roman"/>
                <w:sz w:val="21"/>
                <w:szCs w:val="28"/>
                <w:lang w:val="en-US" w:eastAsia="zh-CN"/>
              </w:rPr>
            </w:pPr>
          </w:p>
          <w:p w14:paraId="02D96D58">
            <w:pPr>
              <w:keepNext w:val="0"/>
              <w:keepLines/>
              <w:numPr>
                <w:ilvl w:val="0"/>
                <w:numId w:val="0"/>
              </w:numPr>
              <w:spacing w:beforeLines="50" w:after="100" w:line="240" w:lineRule="auto"/>
              <w:jc w:val="left"/>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程序、JSON/CSV和图表可追溯，图8是当前离线网页实际截图，支持合成回放、质量状态及确认演示；实际设备接入与日志持久化尚未实现。目前没有已发表论文、授权专利、软著或田间成绩。</w:t>
            </w:r>
          </w:p>
          <w:p w14:paraId="59DE9ABA">
            <w:pPr>
              <w:keepNext/>
              <w:keepLines/>
              <w:numPr>
                <w:ilvl w:val="0"/>
                <w:numId w:val="0"/>
              </w:numPr>
              <w:spacing w:before="140" w:beforeLines="50" w:after="100" w:line="240" w:lineRule="auto"/>
              <w:jc w:val="left"/>
              <w:rPr>
                <w:rFonts w:hint="default" w:ascii="Times New Roman" w:hAnsi="Times New Roman" w:eastAsia="宋体" w:cs="Times New Roman"/>
                <w:b w:val="0"/>
                <w:sz w:val="21"/>
                <w:szCs w:val="28"/>
                <w:lang w:val="en-US" w:eastAsia="zh-CN"/>
              </w:rPr>
            </w:pPr>
            <w:r>
              <w:rPr>
                <w:rFonts w:hint="default" w:ascii="Times New Roman" w:hAnsi="Times New Roman" w:eastAsia="宋体" w:cs="Times New Roman"/>
                <w:b/>
                <w:sz w:val="21"/>
                <w:szCs w:val="28"/>
                <w:lang w:val="en-US" w:eastAsia="zh-CN"/>
              </w:rPr>
              <w:t>2 已具备的条件 尚缺少的条件及解决方法</w:t>
            </w:r>
            <w:r>
              <w:rPr>
                <w:rFonts w:hint="default" w:ascii="Times New Roman" w:hAnsi="Times New Roman" w:eastAsia="宋体" w:cs="Times New Roman"/>
                <w:b w:val="0"/>
                <w:sz w:val="21"/>
                <w:szCs w:val="28"/>
                <w:lang w:val="en-US" w:eastAsia="zh-CN"/>
              </w:rPr>
              <w:br w:type="textWrapping"/>
            </w:r>
            <w:r>
              <w:rPr>
                <w:rFonts w:hint="default" w:ascii="Times New Roman" w:hAnsi="Times New Roman" w:eastAsia="宋体" w:cs="Times New Roman"/>
                <w:b w:val="0"/>
                <w:sz w:val="21"/>
                <w:szCs w:val="28"/>
                <w:lang w:val="en-US" w:eastAsia="zh-CN"/>
              </w:rPr>
              <w:t>已确认负责人具备焊接能力及约2000元启动额度估计。实际成员、嵌入式开发能力、参考仪器、水路场地、接收电脑配置及田间许可需落实。申报前拟由老师审核分工和测量条件，完成询价与核心程序复现；实施前训练嵌入式采集和实验记录。</w:t>
            </w:r>
          </w:p>
          <w:p w14:paraId="224BDDD1">
            <w:pPr>
              <w:keepNext w:val="0"/>
              <w:keepLines/>
              <w:numPr>
                <w:ilvl w:val="0"/>
                <w:numId w:val="0"/>
              </w:numPr>
              <w:spacing w:beforeLines="50" w:after="100" w:line="240" w:lineRule="auto"/>
              <w:jc w:val="left"/>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参考压力表、容积/称重及电流设备拟借用，借用落实情况单独记录。现场自行联系，未获得许可时以可重复台架保证基础研究。预算不能满足必要测量时先借用或调整量程与试验范围，不用未标定数据兑现性能目标。</w:t>
            </w:r>
          </w:p>
        </w:tc>
      </w:tr>
      <w:tr w14:paraId="3AE35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9286" w:type="dxa"/>
            <w:gridSpan w:val="9"/>
            <w:noWrap w:val="0"/>
            <w:vAlign w:val="top"/>
          </w:tcPr>
          <w:p w14:paraId="576D7CE7">
            <w:pPr>
              <w:keepNext/>
              <w:keepLines/>
              <w:spacing w:beforeLines="50" w:after="100" w:line="240" w:lineRule="auto"/>
              <w:jc w:val="left"/>
              <w:rPr>
                <w:rFonts w:hint="default" w:ascii="Times New Roman" w:hAnsi="Times New Roman" w:eastAsia="宋体" w:cs="Times New Roman"/>
                <w:b/>
                <w:sz w:val="21"/>
                <w:szCs w:val="28"/>
                <w:lang w:val="en-US" w:eastAsia="zh-CN"/>
              </w:rPr>
            </w:pPr>
            <w:r>
              <w:rPr>
                <w:rFonts w:hint="default" w:ascii="Times New Roman" w:hAnsi="Times New Roman" w:eastAsia="宋体" w:cs="Times New Roman"/>
                <w:b/>
                <w:sz w:val="21"/>
                <w:szCs w:val="28"/>
                <w:lang w:val="en-US" w:eastAsia="zh-CN"/>
              </w:rPr>
              <w:t>九、项目经费使用计划</w:t>
            </w:r>
          </w:p>
          <w:p w14:paraId="648AA28B">
            <w:pPr>
              <w:keepNext w:val="0"/>
              <w:keepLines/>
              <w:spacing w:beforeLines="50" w:after="100" w:line="240" w:lineRule="auto"/>
              <w:jc w:val="left"/>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按2000元启动额度暂估，未获得整体报价或资助。正式申请金额、科目及可报销范围以本批通知、询价和教师审核为准。表4对应基础系统组成，扩大资助优先提升测量、标定和重复实验质量。</w:t>
            </w:r>
          </w:p>
          <w:tbl>
            <w:tblPr>
              <w:tblStyle w:val="6"/>
              <w:tblW w:w="8500" w:type="dxa"/>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8500"/>
            </w:tblGrid>
            <w:tr w14:paraId="154C43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cantSplit/>
              </w:trPr>
              <w:tc>
                <w:tcPr>
                  <w:tcW w:w="9070" w:type="dxa"/>
                  <w:tcBorders>
                    <w:tl2br w:val="nil"/>
                    <w:tr2bl w:val="nil"/>
                  </w:tcBorders>
                </w:tcPr>
                <w:p w14:paraId="5AF3BA11">
                  <w:pPr>
                    <w:keepNext w:val="0"/>
                    <w:keepLines/>
                    <w:spacing w:beforeLines="50" w:after="140" w:line="240" w:lineRule="auto"/>
                    <w:jc w:val="left"/>
                    <w:rPr>
                      <w:rFonts w:hint="eastAsia" w:ascii="Times New Roman" w:hAnsi="Times New Roman" w:cs="Times New Roman"/>
                      <w:b/>
                      <w:sz w:val="21"/>
                      <w:szCs w:val="28"/>
                      <w:vertAlign w:val="baseline"/>
                      <w:lang w:val="en-US" w:eastAsia="zh-CN"/>
                    </w:rPr>
                  </w:pPr>
                  <w:r>
                    <w:rPr>
                      <w:rFonts w:hint="eastAsia" w:ascii="Times New Roman" w:hAnsi="Times New Roman" w:cs="Times New Roman"/>
                      <w:b/>
                      <w:sz w:val="21"/>
                      <w:szCs w:val="28"/>
                      <w:vertAlign w:val="baseline"/>
                      <w:lang w:val="en-US" w:eastAsia="zh-CN"/>
                    </w:rPr>
                    <w:t>表4 启动经费估算</w:t>
                  </w:r>
                </w:p>
                <w:tbl>
                  <w:tblPr>
                    <w:tblStyle w:val="6"/>
                    <w:tblW w:w="8500" w:type="dxa"/>
                    <w:tblInd w:w="3" w:type="dxa"/>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Layout w:type="fixed"/>
                    <w:tblCellMar>
                      <w:top w:w="60" w:type="dxa"/>
                      <w:left w:w="100" w:type="dxa"/>
                      <w:bottom w:w="60" w:type="dxa"/>
                      <w:right w:w="100" w:type="dxa"/>
                    </w:tblCellMar>
                  </w:tblPr>
                  <w:tblGrid>
                    <w:gridCol w:w="2100"/>
                    <w:gridCol w:w="1200"/>
                    <w:gridCol w:w="5200"/>
                  </w:tblGrid>
                  <w:tr w14:paraId="027D367B">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blHeader/>
                    </w:trPr>
                    <w:tc>
                      <w:tcPr>
                        <w:tcW w:w="2100" w:type="dxa"/>
                        <w:tcBorders>
                          <w:tl2br w:val="nil"/>
                          <w:tr2bl w:val="nil"/>
                        </w:tcBorders>
                        <w:shd w:val="clear" w:color="auto" w:fill="EDEDED"/>
                        <w:vAlign w:val="center"/>
                      </w:tcPr>
                      <w:p w14:paraId="3814BFB6">
                        <w:pPr>
                          <w:keepNext/>
                          <w:keepLines/>
                          <w:spacing w:beforeLines="50" w:after="40" w:line="240" w:lineRule="auto"/>
                          <w:jc w:val="left"/>
                          <w:rPr>
                            <w:rFonts w:hint="default" w:ascii="Times New Roman" w:hAnsi="Times New Roman" w:eastAsia="宋体" w:cs="Times New Roman"/>
                            <w:b/>
                            <w:sz w:val="19"/>
                            <w:szCs w:val="28"/>
                            <w:vertAlign w:val="baseline"/>
                            <w:lang w:val="en-US" w:eastAsia="zh-CN"/>
                          </w:rPr>
                        </w:pPr>
                        <w:r>
                          <w:rPr>
                            <w:rFonts w:hint="eastAsia" w:ascii="Times New Roman" w:hAnsi="Times New Roman" w:cs="Times New Roman"/>
                            <w:b/>
                            <w:sz w:val="19"/>
                            <w:szCs w:val="28"/>
                            <w:vertAlign w:val="baseline"/>
                            <w:lang w:val="en-US" w:eastAsia="zh-CN"/>
                          </w:rPr>
                          <w:t>用途</w:t>
                        </w:r>
                      </w:p>
                    </w:tc>
                    <w:tc>
                      <w:tcPr>
                        <w:tcW w:w="1200" w:type="dxa"/>
                        <w:tcBorders>
                          <w:tl2br w:val="nil"/>
                          <w:tr2bl w:val="nil"/>
                        </w:tcBorders>
                        <w:shd w:val="clear" w:color="auto" w:fill="EDEDED"/>
                        <w:vAlign w:val="center"/>
                      </w:tcPr>
                      <w:p w14:paraId="5D699149">
                        <w:pPr>
                          <w:keepNext/>
                          <w:keepLines/>
                          <w:spacing w:beforeLines="50" w:after="40" w:line="240" w:lineRule="auto"/>
                          <w:jc w:val="left"/>
                          <w:rPr>
                            <w:rFonts w:hint="default" w:ascii="Times New Roman" w:hAnsi="Times New Roman" w:eastAsia="宋体" w:cs="Times New Roman"/>
                            <w:b/>
                            <w:sz w:val="19"/>
                            <w:szCs w:val="28"/>
                            <w:vertAlign w:val="baseline"/>
                            <w:lang w:val="en-US" w:eastAsia="zh-CN"/>
                          </w:rPr>
                        </w:pPr>
                        <w:r>
                          <w:rPr>
                            <w:rFonts w:hint="eastAsia" w:ascii="Times New Roman" w:hAnsi="Times New Roman" w:cs="Times New Roman"/>
                            <w:b/>
                            <w:sz w:val="19"/>
                            <w:szCs w:val="28"/>
                            <w:vertAlign w:val="baseline"/>
                            <w:lang w:val="en-US" w:eastAsia="zh-CN"/>
                          </w:rPr>
                          <w:t>金额 元</w:t>
                        </w:r>
                      </w:p>
                    </w:tc>
                    <w:tc>
                      <w:tcPr>
                        <w:tcW w:w="5200" w:type="dxa"/>
                        <w:tcBorders>
                          <w:tl2br w:val="nil"/>
                          <w:tr2bl w:val="nil"/>
                        </w:tcBorders>
                        <w:shd w:val="clear" w:color="auto" w:fill="EDEDED"/>
                        <w:vAlign w:val="center"/>
                      </w:tcPr>
                      <w:p w14:paraId="2C826D05">
                        <w:pPr>
                          <w:keepNext/>
                          <w:keepLines/>
                          <w:spacing w:beforeLines="50" w:after="40" w:line="240" w:lineRule="auto"/>
                          <w:jc w:val="left"/>
                          <w:rPr>
                            <w:rFonts w:hint="default" w:ascii="Times New Roman" w:hAnsi="Times New Roman" w:eastAsia="宋体" w:cs="Times New Roman"/>
                            <w:b/>
                            <w:sz w:val="19"/>
                            <w:szCs w:val="28"/>
                            <w:vertAlign w:val="baseline"/>
                            <w:lang w:val="en-US" w:eastAsia="zh-CN"/>
                          </w:rPr>
                        </w:pPr>
                        <w:r>
                          <w:rPr>
                            <w:rFonts w:hint="eastAsia" w:ascii="Times New Roman" w:hAnsi="Times New Roman" w:cs="Times New Roman"/>
                            <w:b/>
                            <w:sz w:val="19"/>
                            <w:szCs w:val="28"/>
                            <w:vertAlign w:val="baseline"/>
                            <w:lang w:val="en-US" w:eastAsia="zh-CN"/>
                          </w:rPr>
                          <w:t>对应任务及估算前提</w:t>
                        </w:r>
                      </w:p>
                    </w:tc>
                  </w:tr>
                  <w:tr w14:paraId="4257FFEF">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2100" w:type="dxa"/>
                        <w:tcBorders>
                          <w:tl2br w:val="nil"/>
                          <w:tr2bl w:val="nil"/>
                        </w:tcBorders>
                        <w:shd w:val="clear" w:color="auto" w:fill="FFFFFF"/>
                        <w:vAlign w:val="center"/>
                      </w:tcPr>
                      <w:p w14:paraId="61F45BC1">
                        <w:pPr>
                          <w:keepNext/>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主控及LoRa电子件</w:t>
                        </w:r>
                      </w:p>
                    </w:tc>
                    <w:tc>
                      <w:tcPr>
                        <w:tcW w:w="1200" w:type="dxa"/>
                        <w:tcBorders>
                          <w:tl2br w:val="nil"/>
                          <w:tr2bl w:val="nil"/>
                        </w:tcBorders>
                        <w:shd w:val="clear" w:color="auto" w:fill="FFFFFF"/>
                        <w:vAlign w:val="center"/>
                      </w:tcPr>
                      <w:p w14:paraId="042D77C7">
                        <w:pPr>
                          <w:keepNext/>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260</w:t>
                        </w:r>
                      </w:p>
                    </w:tc>
                    <w:tc>
                      <w:tcPr>
                        <w:tcW w:w="5200" w:type="dxa"/>
                        <w:tcBorders>
                          <w:tl2br w:val="nil"/>
                          <w:tr2bl w:val="nil"/>
                        </w:tcBorders>
                        <w:shd w:val="clear" w:color="auto" w:fill="FFFFFF"/>
                        <w:vAlign w:val="center"/>
                      </w:tcPr>
                      <w:p w14:paraId="47B2FFE0">
                        <w:pPr>
                          <w:keepNext/>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一个主控、两LoRa、天线、串口、存储及调试，待询价</w:t>
                        </w:r>
                      </w:p>
                    </w:tc>
                  </w:tr>
                  <w:tr w14:paraId="12682248">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2100" w:type="dxa"/>
                        <w:tcBorders>
                          <w:tl2br w:val="nil"/>
                          <w:tr2bl w:val="nil"/>
                        </w:tcBorders>
                        <w:shd w:val="clear" w:color="auto" w:fill="FFFFFF"/>
                        <w:vAlign w:val="center"/>
                      </w:tcPr>
                      <w:p w14:paraId="07629B36">
                        <w:pPr>
                          <w:keepNext/>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两压力流量及调理</w:t>
                        </w:r>
                      </w:p>
                    </w:tc>
                    <w:tc>
                      <w:tcPr>
                        <w:tcW w:w="1200" w:type="dxa"/>
                        <w:tcBorders>
                          <w:tl2br w:val="nil"/>
                          <w:tr2bl w:val="nil"/>
                        </w:tcBorders>
                        <w:shd w:val="clear" w:color="auto" w:fill="FFFFFF"/>
                        <w:vAlign w:val="center"/>
                      </w:tcPr>
                      <w:p w14:paraId="0A2D1D05">
                        <w:pPr>
                          <w:keepNext/>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900</w:t>
                        </w:r>
                      </w:p>
                    </w:tc>
                    <w:tc>
                      <w:tcPr>
                        <w:tcW w:w="5200" w:type="dxa"/>
                        <w:tcBorders>
                          <w:tl2br w:val="nil"/>
                          <w:tr2bl w:val="nil"/>
                        </w:tcBorders>
                        <w:shd w:val="clear" w:color="auto" w:fill="FFFFFF"/>
                        <w:vAlign w:val="center"/>
                      </w:tcPr>
                      <w:p w14:paraId="64A5A220">
                        <w:pPr>
                          <w:keepNext/>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流量109、ADC79为查阅时官网展示价；两压力采购额度约680，非报价</w:t>
                        </w:r>
                      </w:p>
                    </w:tc>
                  </w:tr>
                  <w:tr w14:paraId="0F2CEEAC">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2100" w:type="dxa"/>
                        <w:tcBorders>
                          <w:tl2br w:val="nil"/>
                          <w:tr2bl w:val="nil"/>
                        </w:tcBorders>
                        <w:shd w:val="clear" w:color="auto" w:fill="FFFFFF"/>
                        <w:vAlign w:val="center"/>
                      </w:tcPr>
                      <w:p w14:paraId="33430EAB">
                        <w:pPr>
                          <w:keepNext/>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双支路水路材料</w:t>
                        </w:r>
                      </w:p>
                    </w:tc>
                    <w:tc>
                      <w:tcPr>
                        <w:tcW w:w="1200" w:type="dxa"/>
                        <w:tcBorders>
                          <w:tl2br w:val="nil"/>
                          <w:tr2bl w:val="nil"/>
                        </w:tcBorders>
                        <w:shd w:val="clear" w:color="auto" w:fill="FFFFFF"/>
                        <w:vAlign w:val="center"/>
                      </w:tcPr>
                      <w:p w14:paraId="410F7AC8">
                        <w:pPr>
                          <w:keepNext/>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400</w:t>
                        </w:r>
                      </w:p>
                    </w:tc>
                    <w:tc>
                      <w:tcPr>
                        <w:tcW w:w="5200" w:type="dxa"/>
                        <w:tcBorders>
                          <w:tl2br w:val="nil"/>
                          <w:tr2bl w:val="nil"/>
                        </w:tcBorders>
                        <w:shd w:val="clear" w:color="auto" w:fill="FFFFFF"/>
                        <w:vAlign w:val="center"/>
                      </w:tcPr>
                      <w:p w14:paraId="19EC9BB3">
                        <w:pPr>
                          <w:keepNext/>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阀、接头、回水及收集；可调连续水源拟借用</w:t>
                        </w:r>
                      </w:p>
                    </w:tc>
                  </w:tr>
                  <w:tr w14:paraId="0F2A7E25">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2100" w:type="dxa"/>
                        <w:tcBorders>
                          <w:tl2br w:val="nil"/>
                          <w:tr2bl w:val="nil"/>
                        </w:tcBorders>
                        <w:shd w:val="clear" w:color="auto" w:fill="FFFFFF"/>
                        <w:vAlign w:val="center"/>
                      </w:tcPr>
                      <w:p w14:paraId="74567620">
                        <w:pPr>
                          <w:keepNext/>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供电与外壳</w:t>
                        </w:r>
                      </w:p>
                    </w:tc>
                    <w:tc>
                      <w:tcPr>
                        <w:tcW w:w="1200" w:type="dxa"/>
                        <w:tcBorders>
                          <w:tl2br w:val="nil"/>
                          <w:tr2bl w:val="nil"/>
                        </w:tcBorders>
                        <w:shd w:val="clear" w:color="auto" w:fill="FFFFFF"/>
                        <w:vAlign w:val="center"/>
                      </w:tcPr>
                      <w:p w14:paraId="4B661251">
                        <w:pPr>
                          <w:keepNext/>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200</w:t>
                        </w:r>
                      </w:p>
                    </w:tc>
                    <w:tc>
                      <w:tcPr>
                        <w:tcW w:w="5200" w:type="dxa"/>
                        <w:tcBorders>
                          <w:tl2br w:val="nil"/>
                          <w:tr2bl w:val="nil"/>
                        </w:tcBorders>
                        <w:shd w:val="clear" w:color="auto" w:fill="FFFFFF"/>
                        <w:vAlign w:val="center"/>
                      </w:tcPr>
                      <w:p w14:paraId="3C72B8E7">
                        <w:pPr>
                          <w:keepNext/>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台架供电、连接和安装防护，待核对</w:t>
                        </w:r>
                      </w:p>
                    </w:tc>
                  </w:tr>
                  <w:tr w14:paraId="734071D1">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2100" w:type="dxa"/>
                        <w:tcBorders>
                          <w:tl2br w:val="nil"/>
                          <w:tr2bl w:val="nil"/>
                        </w:tcBorders>
                        <w:shd w:val="clear" w:color="auto" w:fill="FFFFFF"/>
                        <w:vAlign w:val="center"/>
                      </w:tcPr>
                      <w:p w14:paraId="65CEF9B1">
                        <w:pPr>
                          <w:keepNext/>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记录耗材</w:t>
                        </w:r>
                      </w:p>
                    </w:tc>
                    <w:tc>
                      <w:tcPr>
                        <w:tcW w:w="1200" w:type="dxa"/>
                        <w:tcBorders>
                          <w:tl2br w:val="nil"/>
                          <w:tr2bl w:val="nil"/>
                        </w:tcBorders>
                        <w:shd w:val="clear" w:color="auto" w:fill="FFFFFF"/>
                        <w:vAlign w:val="center"/>
                      </w:tcPr>
                      <w:p w14:paraId="24AA5965">
                        <w:pPr>
                          <w:keepNext/>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100</w:t>
                        </w:r>
                      </w:p>
                    </w:tc>
                    <w:tc>
                      <w:tcPr>
                        <w:tcW w:w="5200" w:type="dxa"/>
                        <w:tcBorders>
                          <w:tl2br w:val="nil"/>
                          <w:tr2bl w:val="nil"/>
                        </w:tcBorders>
                        <w:shd w:val="clear" w:color="auto" w:fill="FFFFFF"/>
                        <w:vAlign w:val="center"/>
                      </w:tcPr>
                      <w:p w14:paraId="30E8991E">
                        <w:pPr>
                          <w:keepNext/>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实验记录与必要消耗</w:t>
                        </w:r>
                      </w:p>
                    </w:tc>
                  </w:tr>
                  <w:tr w14:paraId="308F9FD7">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2100" w:type="dxa"/>
                        <w:tcBorders>
                          <w:tl2br w:val="nil"/>
                          <w:tr2bl w:val="nil"/>
                        </w:tcBorders>
                        <w:shd w:val="clear" w:color="auto" w:fill="FFFFFF"/>
                        <w:vAlign w:val="center"/>
                      </w:tcPr>
                      <w:p w14:paraId="5B94A38F">
                        <w:pPr>
                          <w:keepNext/>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调研及返工材料</w:t>
                        </w:r>
                      </w:p>
                    </w:tc>
                    <w:tc>
                      <w:tcPr>
                        <w:tcW w:w="1200" w:type="dxa"/>
                        <w:tcBorders>
                          <w:tl2br w:val="nil"/>
                          <w:tr2bl w:val="nil"/>
                        </w:tcBorders>
                        <w:shd w:val="clear" w:color="auto" w:fill="FFFFFF"/>
                        <w:vAlign w:val="center"/>
                      </w:tcPr>
                      <w:p w14:paraId="2FAA2DE7">
                        <w:pPr>
                          <w:keepNext/>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140</w:t>
                        </w:r>
                      </w:p>
                    </w:tc>
                    <w:tc>
                      <w:tcPr>
                        <w:tcW w:w="5200" w:type="dxa"/>
                        <w:tcBorders>
                          <w:tl2br w:val="nil"/>
                          <w:tr2bl w:val="nil"/>
                        </w:tcBorders>
                        <w:shd w:val="clear" w:color="auto" w:fill="FFFFFF"/>
                        <w:vAlign w:val="center"/>
                      </w:tcPr>
                      <w:p w14:paraId="5F8C562C">
                        <w:pPr>
                          <w:keepNext/>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按学校允许科目据实调整</w:t>
                        </w:r>
                      </w:p>
                    </w:tc>
                  </w:tr>
                  <w:tr w14:paraId="4F321DDD">
                    <w:tblPrEx>
                      <w:tblBorders>
                        <w:top w:val="single" w:color="D9D9D9" w:sz="2" w:space="0"/>
                        <w:left w:val="single" w:color="D9D9D9" w:sz="2" w:space="0"/>
                        <w:bottom w:val="single" w:color="D9D9D9" w:sz="2" w:space="0"/>
                        <w:right w:val="single" w:color="D9D9D9" w:sz="2" w:space="0"/>
                        <w:insideH w:val="single" w:color="D9D9D9" w:sz="2" w:space="0"/>
                        <w:insideV w:val="single" w:color="D9D9D9" w:sz="2" w:space="0"/>
                      </w:tblBorders>
                      <w:tblCellMar>
                        <w:top w:w="60" w:type="dxa"/>
                        <w:left w:w="100" w:type="dxa"/>
                        <w:bottom w:w="60" w:type="dxa"/>
                        <w:right w:w="100" w:type="dxa"/>
                      </w:tblCellMar>
                    </w:tblPrEx>
                    <w:trPr>
                      <w:cantSplit/>
                    </w:trPr>
                    <w:tc>
                      <w:tcPr>
                        <w:tcW w:w="2100" w:type="dxa"/>
                        <w:tcBorders>
                          <w:tl2br w:val="nil"/>
                          <w:tr2bl w:val="nil"/>
                        </w:tcBorders>
                        <w:shd w:val="clear" w:color="auto" w:fill="FFFFFF"/>
                        <w:vAlign w:val="center"/>
                      </w:tcPr>
                      <w:p w14:paraId="39B371AA">
                        <w:pPr>
                          <w:keepNext w:val="0"/>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合计</w:t>
                        </w:r>
                      </w:p>
                    </w:tc>
                    <w:tc>
                      <w:tcPr>
                        <w:tcW w:w="1200" w:type="dxa"/>
                        <w:tcBorders>
                          <w:tl2br w:val="nil"/>
                          <w:tr2bl w:val="nil"/>
                        </w:tcBorders>
                        <w:shd w:val="clear" w:color="auto" w:fill="FFFFFF"/>
                        <w:vAlign w:val="center"/>
                      </w:tcPr>
                      <w:p w14:paraId="1509F105">
                        <w:pPr>
                          <w:keepNext w:val="0"/>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2000</w:t>
                        </w:r>
                      </w:p>
                    </w:tc>
                    <w:tc>
                      <w:tcPr>
                        <w:tcW w:w="5200" w:type="dxa"/>
                        <w:tcBorders>
                          <w:tl2br w:val="nil"/>
                          <w:tr2bl w:val="nil"/>
                        </w:tcBorders>
                        <w:shd w:val="clear" w:color="auto" w:fill="FFFFFF"/>
                        <w:vAlign w:val="center"/>
                      </w:tcPr>
                      <w:p w14:paraId="5B299FFF">
                        <w:pPr>
                          <w:keepNext w:val="0"/>
                          <w:keepLines/>
                          <w:spacing w:beforeLines="50" w:after="40" w:line="240" w:lineRule="auto"/>
                          <w:jc w:val="left"/>
                          <w:rPr>
                            <w:rFonts w:hint="default" w:ascii="Times New Roman" w:hAnsi="Times New Roman" w:eastAsia="宋体" w:cs="Times New Roman"/>
                            <w:b w:val="0"/>
                            <w:sz w:val="19"/>
                            <w:szCs w:val="28"/>
                            <w:vertAlign w:val="baseline"/>
                            <w:lang w:val="en-US" w:eastAsia="zh-CN"/>
                          </w:rPr>
                        </w:pPr>
                        <w:r>
                          <w:rPr>
                            <w:rFonts w:hint="eastAsia" w:ascii="Times New Roman" w:hAnsi="Times New Roman" w:cs="Times New Roman"/>
                            <w:b w:val="0"/>
                            <w:sz w:val="19"/>
                            <w:szCs w:val="28"/>
                            <w:vertAlign w:val="baseline"/>
                            <w:lang w:val="en-US" w:eastAsia="zh-CN"/>
                          </w:rPr>
                          <w:t>启动估算，不是已获资助或报价</w:t>
                        </w:r>
                      </w:p>
                    </w:tc>
                  </w:tr>
                </w:tbl>
                <w:p w14:paraId="550ABCB6">
                  <w:pPr>
                    <w:keepNext w:val="0"/>
                    <w:keepLines/>
                    <w:spacing w:beforeLines="50" w:after="100" w:line="240" w:lineRule="auto"/>
                    <w:jc w:val="left"/>
                    <w:rPr>
                      <w:rFonts w:hint="default" w:ascii="Times New Roman" w:hAnsi="Times New Roman" w:cs="Times New Roman"/>
                      <w:sz w:val="21"/>
                      <w:szCs w:val="28"/>
                      <w:vertAlign w:val="baseline"/>
                      <w:lang w:val="en-US" w:eastAsia="zh-CN"/>
                    </w:rPr>
                  </w:pPr>
                </w:p>
              </w:tc>
            </w:tr>
          </w:tbl>
          <w:p w14:paraId="6DE33968">
            <w:pPr>
              <w:keepNext w:val="0"/>
              <w:keepLines/>
              <w:spacing w:beforeLines="50" w:after="100" w:line="240" w:lineRule="auto"/>
              <w:jc w:val="left"/>
              <w:rPr>
                <w:rFonts w:hint="default" w:ascii="Times New Roman" w:hAnsi="Times New Roman" w:eastAsia="宋体" w:cs="Times New Roman"/>
                <w:sz w:val="21"/>
                <w:szCs w:val="28"/>
                <w:lang w:val="en-US" w:eastAsia="zh-CN"/>
              </w:rPr>
            </w:pPr>
          </w:p>
          <w:p w14:paraId="0EB2BD62">
            <w:pPr>
              <w:keepNext w:val="0"/>
              <w:keepLines/>
              <w:spacing w:beforeLines="50" w:after="100" w:line="240" w:lineRule="auto"/>
              <w:jc w:val="left"/>
              <w:rPr>
                <w:rFonts w:hint="default" w:ascii="Times New Roman" w:hAnsi="Times New Roman" w:eastAsia="宋体" w:cs="Times New Roman"/>
                <w:sz w:val="21"/>
                <w:szCs w:val="28"/>
                <w:lang w:val="en-US" w:eastAsia="zh-CN"/>
              </w:rPr>
            </w:pPr>
            <w:r>
              <w:rPr>
                <w:rFonts w:hint="default" w:ascii="Times New Roman" w:hAnsi="Times New Roman" w:eastAsia="宋体" w:cs="Times New Roman"/>
                <w:sz w:val="21"/>
                <w:szCs w:val="28"/>
                <w:lang w:val="en-US" w:eastAsia="zh-CN"/>
              </w:rPr>
              <w:t>预算以已有电脑、借用参考仪器及可调连续水源为前提，不含整套泵站、新参考设备、论文费用与多节点。压力报价超额或水源不能借用时，须重编经费并落实条件。资源未落实不列为已具备；成员、导师及学校签字意见由本人和相应单位填写。</w:t>
            </w:r>
          </w:p>
        </w:tc>
      </w:tr>
      <w:tr w14:paraId="62944B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2" w:hRule="atLeast"/>
          <w:jc w:val="center"/>
        </w:trPr>
        <w:tc>
          <w:tcPr>
            <w:tcW w:w="2815" w:type="dxa"/>
            <w:gridSpan w:val="5"/>
            <w:noWrap w:val="0"/>
            <w:vAlign w:val="top"/>
          </w:tcPr>
          <w:p w14:paraId="746186F1">
            <w:pPr>
              <w:keepNext/>
              <w:pageBreakBefore/>
              <w:spacing w:before="156" w:beforeLines="50"/>
              <w:rPr>
                <w:rFonts w:hint="eastAsia" w:eastAsia="宋体"/>
                <w:b/>
                <w:sz w:val="21"/>
                <w:lang w:eastAsia="zh-CN"/>
              </w:rPr>
            </w:pPr>
            <w:r>
              <w:rPr>
                <w:rFonts w:hint="eastAsia" w:eastAsia="宋体"/>
                <w:b/>
                <w:sz w:val="21"/>
                <w:lang w:eastAsia="zh-CN"/>
              </w:rPr>
              <w:t>项目组成员签字：</w:t>
            </w:r>
          </w:p>
        </w:tc>
        <w:tc>
          <w:tcPr>
            <w:tcW w:w="3050" w:type="dxa"/>
            <w:gridSpan w:val="2"/>
            <w:noWrap w:val="0"/>
            <w:vAlign w:val="top"/>
          </w:tcPr>
          <w:p w14:paraId="3F83778E">
            <w:pPr>
              <w:keepNext/>
              <w:spacing w:before="156" w:beforeLines="50"/>
              <w:rPr>
                <w:rFonts w:hint="eastAsia"/>
                <w:b/>
              </w:rPr>
            </w:pPr>
          </w:p>
        </w:tc>
        <w:tc>
          <w:tcPr>
            <w:tcW w:w="3421" w:type="dxa"/>
            <w:gridSpan w:val="2"/>
            <w:noWrap w:val="0"/>
            <w:vAlign w:val="top"/>
          </w:tcPr>
          <w:p w14:paraId="13F73B6F">
            <w:pPr>
              <w:keepNext/>
              <w:spacing w:before="156" w:beforeLines="50"/>
              <w:rPr>
                <w:rFonts w:hint="eastAsia"/>
                <w:b/>
              </w:rPr>
            </w:pPr>
          </w:p>
        </w:tc>
      </w:tr>
      <w:tr w14:paraId="323E3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2" w:hRule="atLeast"/>
          <w:jc w:val="center"/>
        </w:trPr>
        <w:tc>
          <w:tcPr>
            <w:tcW w:w="2815" w:type="dxa"/>
            <w:gridSpan w:val="5"/>
            <w:noWrap w:val="0"/>
            <w:vAlign w:val="top"/>
          </w:tcPr>
          <w:p w14:paraId="730AD597">
            <w:pPr>
              <w:keepNext/>
              <w:spacing w:before="156" w:beforeLines="50"/>
              <w:rPr>
                <w:rFonts w:hint="eastAsia"/>
                <w:b/>
              </w:rPr>
            </w:pPr>
          </w:p>
        </w:tc>
        <w:tc>
          <w:tcPr>
            <w:tcW w:w="3050" w:type="dxa"/>
            <w:gridSpan w:val="2"/>
            <w:noWrap w:val="0"/>
            <w:vAlign w:val="top"/>
          </w:tcPr>
          <w:p w14:paraId="4C79872D">
            <w:pPr>
              <w:keepNext/>
              <w:spacing w:before="156" w:beforeLines="50"/>
              <w:rPr>
                <w:rFonts w:hint="eastAsia"/>
                <w:b/>
              </w:rPr>
            </w:pPr>
          </w:p>
        </w:tc>
        <w:tc>
          <w:tcPr>
            <w:tcW w:w="3421" w:type="dxa"/>
            <w:gridSpan w:val="2"/>
            <w:noWrap w:val="0"/>
            <w:vAlign w:val="top"/>
          </w:tcPr>
          <w:p w14:paraId="53CA11FF">
            <w:pPr>
              <w:keepNext/>
              <w:spacing w:before="156" w:beforeLines="50"/>
              <w:rPr>
                <w:rFonts w:hint="eastAsia"/>
                <w:b/>
              </w:rPr>
            </w:pPr>
          </w:p>
        </w:tc>
      </w:tr>
      <w:tr w14:paraId="2E492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02" w:hRule="atLeast"/>
          <w:jc w:val="center"/>
        </w:trPr>
        <w:tc>
          <w:tcPr>
            <w:tcW w:w="2815" w:type="dxa"/>
            <w:gridSpan w:val="5"/>
            <w:noWrap w:val="0"/>
            <w:vAlign w:val="top"/>
          </w:tcPr>
          <w:p w14:paraId="58518DFF">
            <w:pPr>
              <w:keepNext w:val="0"/>
              <w:spacing w:before="156" w:beforeLines="50"/>
              <w:rPr>
                <w:rFonts w:hint="eastAsia"/>
                <w:b/>
              </w:rPr>
            </w:pPr>
          </w:p>
        </w:tc>
        <w:tc>
          <w:tcPr>
            <w:tcW w:w="3050" w:type="dxa"/>
            <w:gridSpan w:val="2"/>
            <w:noWrap w:val="0"/>
            <w:vAlign w:val="top"/>
          </w:tcPr>
          <w:p w14:paraId="5D89956B">
            <w:pPr>
              <w:keepNext w:val="0"/>
              <w:spacing w:before="156" w:beforeLines="50"/>
              <w:rPr>
                <w:rFonts w:hint="eastAsia"/>
                <w:b/>
              </w:rPr>
            </w:pPr>
          </w:p>
        </w:tc>
        <w:tc>
          <w:tcPr>
            <w:tcW w:w="3421" w:type="dxa"/>
            <w:gridSpan w:val="2"/>
            <w:noWrap w:val="0"/>
            <w:vAlign w:val="top"/>
          </w:tcPr>
          <w:p w14:paraId="7AD0E294">
            <w:pPr>
              <w:keepNext w:val="0"/>
              <w:spacing w:before="156" w:beforeLines="50"/>
              <w:rPr>
                <w:rFonts w:hint="eastAsia"/>
                <w:b/>
              </w:rPr>
            </w:pPr>
          </w:p>
        </w:tc>
      </w:tr>
      <w:tr w14:paraId="2C276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70" w:hRule="atLeast"/>
          <w:jc w:val="center"/>
        </w:trPr>
        <w:tc>
          <w:tcPr>
            <w:tcW w:w="9286" w:type="dxa"/>
            <w:gridSpan w:val="9"/>
            <w:noWrap w:val="0"/>
            <w:vAlign w:val="top"/>
          </w:tcPr>
          <w:p w14:paraId="3E87E9A7">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指导教师意见：</w:t>
            </w:r>
          </w:p>
          <w:p w14:paraId="4850B891">
            <w:pPr>
              <w:rPr>
                <w:rFonts w:hint="eastAsia" w:ascii="宋体" w:hAnsi="宋体"/>
              </w:rPr>
            </w:pPr>
          </w:p>
          <w:p w14:paraId="6AC8BD63">
            <w:pPr>
              <w:rPr>
                <w:rFonts w:hint="eastAsia" w:ascii="宋体" w:hAnsi="宋体"/>
              </w:rPr>
            </w:pPr>
          </w:p>
          <w:p w14:paraId="3F692983">
            <w:pPr>
              <w:rPr>
                <w:rFonts w:hint="eastAsia" w:ascii="宋体" w:hAnsi="宋体"/>
              </w:rPr>
            </w:pPr>
          </w:p>
          <w:p w14:paraId="16D2F75A">
            <w:pPr>
              <w:rPr>
                <w:rFonts w:hint="eastAsia" w:ascii="宋体" w:hAnsi="宋体"/>
              </w:rPr>
            </w:pPr>
          </w:p>
          <w:p w14:paraId="61554401">
            <w:pPr>
              <w:rPr>
                <w:rFonts w:hint="eastAsia" w:ascii="宋体" w:hAnsi="宋体"/>
              </w:rPr>
            </w:pPr>
          </w:p>
          <w:p w14:paraId="678D4C34">
            <w:pPr>
              <w:rPr>
                <w:rFonts w:hint="eastAsia" w:ascii="宋体" w:hAnsi="宋体"/>
              </w:rPr>
            </w:pPr>
          </w:p>
          <w:p w14:paraId="1EABC882">
            <w:pPr>
              <w:rPr>
                <w:rFonts w:hint="eastAsia" w:ascii="宋体" w:hAnsi="宋体"/>
              </w:rPr>
            </w:pPr>
          </w:p>
          <w:p w14:paraId="0EA735CB">
            <w:pPr>
              <w:rPr>
                <w:rFonts w:hint="eastAsia" w:ascii="宋体" w:hAnsi="宋体"/>
              </w:rPr>
            </w:pPr>
          </w:p>
          <w:p w14:paraId="5C2C913E">
            <w:pPr>
              <w:rPr>
                <w:rFonts w:hint="eastAsia" w:ascii="宋体" w:hAnsi="宋体"/>
              </w:rPr>
            </w:pPr>
          </w:p>
          <w:p w14:paraId="18E4928A">
            <w:pPr>
              <w:rPr>
                <w:rFonts w:hint="eastAsia" w:ascii="宋体" w:hAnsi="宋体"/>
                <w:szCs w:val="21"/>
              </w:rPr>
            </w:pPr>
          </w:p>
          <w:p w14:paraId="50AD2F36">
            <w:pPr>
              <w:spacing w:before="156" w:beforeLines="50"/>
              <w:rPr>
                <w:rFonts w:hint="eastAsia" w:ascii="黑体" w:hAnsi="黑体" w:eastAsia="黑体" w:cs="Times New Roman"/>
                <w:sz w:val="22"/>
                <w:szCs w:val="28"/>
              </w:rPr>
            </w:pPr>
            <w:r>
              <w:rPr>
                <w:rFonts w:hint="eastAsia" w:ascii="宋体" w:hAnsi="宋体"/>
                <w:szCs w:val="21"/>
              </w:rPr>
              <w:t xml:space="preserve">                                               </w:t>
            </w:r>
            <w:r>
              <w:rPr>
                <w:rFonts w:hint="eastAsia" w:ascii="黑体" w:hAnsi="黑体" w:eastAsia="黑体" w:cs="Times New Roman"/>
                <w:sz w:val="22"/>
                <w:szCs w:val="28"/>
              </w:rPr>
              <w:t xml:space="preserve"> 签    名： </w:t>
            </w:r>
          </w:p>
          <w:p w14:paraId="5C736277">
            <w:pPr>
              <w:spacing w:before="156" w:beforeLines="50"/>
              <w:ind w:firstLine="6600" w:firstLineChars="3000"/>
              <w:rPr>
                <w:rFonts w:hint="eastAsia"/>
                <w:b/>
              </w:rPr>
            </w:pPr>
            <w:r>
              <w:rPr>
                <w:rFonts w:hint="eastAsia" w:ascii="黑体" w:hAnsi="黑体" w:eastAsia="黑体" w:cs="Times New Roman"/>
                <w:sz w:val="22"/>
                <w:szCs w:val="28"/>
              </w:rPr>
              <w:t>年     月     日</w:t>
            </w:r>
          </w:p>
        </w:tc>
      </w:tr>
      <w:tr w14:paraId="2DAE8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57" w:hRule="atLeast"/>
          <w:jc w:val="center"/>
        </w:trPr>
        <w:tc>
          <w:tcPr>
            <w:tcW w:w="9286" w:type="dxa"/>
            <w:gridSpan w:val="9"/>
            <w:noWrap w:val="0"/>
            <w:vAlign w:val="top"/>
          </w:tcPr>
          <w:p w14:paraId="5830976F">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学院意见：</w:t>
            </w:r>
          </w:p>
          <w:p w14:paraId="5C519910">
            <w:pPr>
              <w:rPr>
                <w:rFonts w:hint="eastAsia" w:ascii="宋体" w:hAnsi="宋体"/>
              </w:rPr>
            </w:pPr>
          </w:p>
          <w:p w14:paraId="1099B983">
            <w:pPr>
              <w:rPr>
                <w:rFonts w:hint="eastAsia" w:ascii="宋体" w:hAnsi="宋体"/>
              </w:rPr>
            </w:pPr>
          </w:p>
          <w:p w14:paraId="27864E29">
            <w:pPr>
              <w:rPr>
                <w:rFonts w:hint="eastAsia" w:ascii="宋体" w:hAnsi="宋体"/>
              </w:rPr>
            </w:pPr>
          </w:p>
          <w:p w14:paraId="3527EF66">
            <w:pPr>
              <w:rPr>
                <w:rFonts w:hint="eastAsia" w:ascii="宋体" w:hAnsi="宋体"/>
              </w:rPr>
            </w:pPr>
          </w:p>
          <w:p w14:paraId="588DFCA2">
            <w:pPr>
              <w:rPr>
                <w:rFonts w:hint="eastAsia" w:ascii="宋体" w:hAnsi="宋体"/>
              </w:rPr>
            </w:pPr>
          </w:p>
          <w:p w14:paraId="39BA22EC">
            <w:pPr>
              <w:rPr>
                <w:rFonts w:hint="eastAsia" w:ascii="宋体" w:hAnsi="宋体"/>
              </w:rPr>
            </w:pPr>
          </w:p>
          <w:p w14:paraId="34CC2C65">
            <w:pPr>
              <w:rPr>
                <w:rFonts w:hint="eastAsia" w:ascii="宋体" w:hAnsi="宋体"/>
              </w:rPr>
            </w:pPr>
          </w:p>
          <w:p w14:paraId="34E75DA8">
            <w:pPr>
              <w:rPr>
                <w:rFonts w:hint="eastAsia" w:ascii="宋体" w:hAnsi="宋体"/>
              </w:rPr>
            </w:pPr>
          </w:p>
          <w:p w14:paraId="23074BFA">
            <w:pPr>
              <w:rPr>
                <w:rFonts w:hint="eastAsia" w:ascii="宋体" w:hAnsi="宋体"/>
              </w:rPr>
            </w:pPr>
          </w:p>
          <w:p w14:paraId="3A1CE8C1">
            <w:pPr>
              <w:rPr>
                <w:rFonts w:hint="eastAsia" w:ascii="宋体" w:hAnsi="宋体"/>
              </w:rPr>
            </w:pPr>
          </w:p>
          <w:p w14:paraId="7513FD92">
            <w:pPr>
              <w:spacing w:before="156" w:beforeLines="50"/>
              <w:rPr>
                <w:rFonts w:hint="eastAsia" w:ascii="黑体" w:hAnsi="黑体" w:eastAsia="黑体" w:cs="Times New Roman"/>
                <w:sz w:val="22"/>
                <w:szCs w:val="28"/>
              </w:rPr>
            </w:pPr>
            <w:r>
              <w:rPr>
                <w:rFonts w:hint="eastAsia" w:ascii="宋体" w:hAnsi="宋体"/>
                <w:szCs w:val="21"/>
              </w:rPr>
              <w:t xml:space="preserve">                                                </w:t>
            </w:r>
            <w:r>
              <w:rPr>
                <w:rFonts w:hint="eastAsia" w:ascii="黑体" w:hAnsi="黑体" w:eastAsia="黑体" w:cs="Times New Roman"/>
                <w:sz w:val="22"/>
                <w:szCs w:val="28"/>
              </w:rPr>
              <w:t xml:space="preserve">签名盖章： </w:t>
            </w:r>
          </w:p>
          <w:p w14:paraId="468BC02A">
            <w:pPr>
              <w:spacing w:before="156" w:beforeLines="50"/>
              <w:ind w:firstLine="6600" w:firstLineChars="3000"/>
              <w:rPr>
                <w:rFonts w:hint="eastAsia"/>
                <w:b/>
              </w:rPr>
            </w:pPr>
            <w:r>
              <w:rPr>
                <w:rFonts w:hint="eastAsia" w:ascii="黑体" w:hAnsi="黑体" w:eastAsia="黑体" w:cs="Times New Roman"/>
                <w:sz w:val="22"/>
                <w:szCs w:val="28"/>
              </w:rPr>
              <w:t>年     月     日</w:t>
            </w:r>
          </w:p>
        </w:tc>
      </w:tr>
      <w:tr w14:paraId="09DB0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86" w:hRule="atLeast"/>
          <w:jc w:val="center"/>
        </w:trPr>
        <w:tc>
          <w:tcPr>
            <w:tcW w:w="9286" w:type="dxa"/>
            <w:gridSpan w:val="9"/>
            <w:noWrap w:val="0"/>
            <w:vAlign w:val="top"/>
          </w:tcPr>
          <w:p w14:paraId="72B3875C">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学校意见：</w:t>
            </w:r>
          </w:p>
          <w:p w14:paraId="2083297B">
            <w:pPr>
              <w:spacing w:before="156" w:beforeLines="50"/>
              <w:rPr>
                <w:rFonts w:hint="eastAsia" w:ascii="黑体" w:hAnsi="黑体" w:eastAsia="黑体" w:cs="Times New Roman"/>
                <w:sz w:val="22"/>
                <w:szCs w:val="28"/>
              </w:rPr>
            </w:pPr>
          </w:p>
          <w:p w14:paraId="09E4FDC5">
            <w:pPr>
              <w:spacing w:before="156" w:beforeLines="50"/>
              <w:rPr>
                <w:rFonts w:hint="eastAsia" w:ascii="黑体" w:hAnsi="黑体" w:eastAsia="黑体" w:cs="Times New Roman"/>
                <w:sz w:val="22"/>
                <w:szCs w:val="28"/>
              </w:rPr>
            </w:pPr>
          </w:p>
          <w:p w14:paraId="44BFC574">
            <w:pPr>
              <w:spacing w:before="156" w:beforeLines="50"/>
              <w:rPr>
                <w:rFonts w:hint="eastAsia" w:ascii="黑体" w:hAnsi="黑体" w:eastAsia="黑体" w:cs="Times New Roman"/>
                <w:sz w:val="22"/>
                <w:szCs w:val="28"/>
              </w:rPr>
            </w:pPr>
          </w:p>
          <w:p w14:paraId="06B31F27">
            <w:pPr>
              <w:spacing w:before="156" w:beforeLines="50"/>
              <w:rPr>
                <w:rFonts w:hint="eastAsia" w:ascii="黑体" w:hAnsi="黑体" w:eastAsia="黑体" w:cs="Times New Roman"/>
                <w:sz w:val="22"/>
                <w:szCs w:val="28"/>
              </w:rPr>
            </w:pPr>
            <w:r>
              <w:rPr>
                <w:rFonts w:hint="eastAsia" w:ascii="黑体" w:hAnsi="黑体" w:eastAsia="黑体" w:cs="Times New Roman"/>
                <w:sz w:val="22"/>
                <w:szCs w:val="28"/>
                <w:lang/>
              </w:rPr>
              <w:pict>
                <v:shape id="_x0000_s1030" o:spid="_x0000_s1030" o:spt="202" type="#_x0000_t202" style="position:absolute;left:0pt;margin-left:123.75pt;margin-top:6.15pt;height:15.6pt;width:18pt;z-index:251659264;mso-width-relative:page;mso-height-relative:page;" coordsize="21600,21600">
                  <v:path/>
                  <v:fill focussize="0,0"/>
                  <v:stroke/>
                  <v:imagedata o:title=""/>
                  <o:lock v:ext="edit"/>
                  <v:textbox>
                    <w:txbxContent>
                      <w:p w14:paraId="32930A47"/>
                    </w:txbxContent>
                  </v:textbox>
                </v:shape>
              </w:pict>
            </w:r>
            <w:r>
              <w:rPr>
                <w:rFonts w:hint="eastAsia" w:ascii="黑体" w:hAnsi="黑体" w:eastAsia="黑体" w:cs="Times New Roman"/>
                <w:sz w:val="22"/>
                <w:szCs w:val="28"/>
                <w:lang/>
              </w:rPr>
              <w:pict>
                <v:shape id="_x0000_s1031" o:spid="_x0000_s1031" o:spt="202" type="#_x0000_t202" style="position:absolute;left:0pt;margin-left:250.6pt;margin-top:5.6pt;height:15.6pt;width:18pt;z-index:251660288;mso-width-relative:page;mso-height-relative:page;" coordsize="21600,21600">
                  <v:path/>
                  <v:fill focussize="0,0"/>
                  <v:stroke/>
                  <v:imagedata o:title=""/>
                  <o:lock v:ext="edit"/>
                  <v:textbox>
                    <w:txbxContent>
                      <w:p w14:paraId="77DB195E"/>
                    </w:txbxContent>
                  </v:textbox>
                </v:shape>
              </w:pict>
            </w:r>
            <w:r>
              <w:rPr>
                <w:rFonts w:hint="eastAsia" w:ascii="黑体" w:hAnsi="黑体" w:eastAsia="黑体" w:cs="Times New Roman"/>
                <w:sz w:val="22"/>
                <w:szCs w:val="28"/>
              </w:rPr>
              <w:t>同意立项级别：   校级                  国家级</w:t>
            </w:r>
          </w:p>
          <w:p w14:paraId="49121475">
            <w:pPr>
              <w:rPr>
                <w:rFonts w:hint="eastAsia"/>
                <w:b/>
              </w:rPr>
            </w:pPr>
          </w:p>
          <w:p w14:paraId="26901A56">
            <w:pPr>
              <w:spacing w:before="156" w:beforeLines="50"/>
              <w:rPr>
                <w:rFonts w:hint="eastAsia" w:ascii="黑体" w:hAnsi="黑体" w:eastAsia="黑体" w:cs="Times New Roman"/>
                <w:sz w:val="22"/>
                <w:szCs w:val="28"/>
              </w:rPr>
            </w:pPr>
          </w:p>
          <w:p w14:paraId="6718F5EA">
            <w:pPr>
              <w:spacing w:before="156" w:beforeLines="50"/>
              <w:rPr>
                <w:rFonts w:hint="eastAsia" w:ascii="黑体" w:hAnsi="黑体" w:eastAsia="黑体" w:cs="Times New Roman"/>
                <w:sz w:val="22"/>
                <w:szCs w:val="28"/>
              </w:rPr>
            </w:pPr>
            <w:r>
              <w:rPr>
                <w:rFonts w:hint="eastAsia" w:ascii="黑体" w:hAnsi="黑体" w:eastAsia="黑体" w:cs="Times New Roman"/>
                <w:sz w:val="22"/>
                <w:szCs w:val="28"/>
              </w:rPr>
              <w:t xml:space="preserve">                                                签名盖章： </w:t>
            </w:r>
          </w:p>
          <w:p w14:paraId="4AE46C4C">
            <w:pPr>
              <w:spacing w:before="156" w:beforeLines="50"/>
              <w:ind w:firstLine="6600" w:firstLineChars="3000"/>
              <w:rPr>
                <w:rFonts w:hint="eastAsia"/>
                <w:b/>
              </w:rPr>
            </w:pPr>
            <w:r>
              <w:rPr>
                <w:rFonts w:hint="eastAsia" w:ascii="黑体" w:hAnsi="黑体" w:eastAsia="黑体" w:cs="Times New Roman"/>
                <w:sz w:val="22"/>
                <w:szCs w:val="28"/>
              </w:rPr>
              <w:t>年     月     日</w:t>
            </w:r>
          </w:p>
        </w:tc>
      </w:tr>
    </w:tbl>
    <w:p w14:paraId="00AB981E">
      <w:pPr>
        <w:spacing w:line="360" w:lineRule="auto"/>
        <w:rPr>
          <w:rFonts w:hint="eastAsia"/>
        </w:rPr>
      </w:pPr>
    </w:p>
    <w:sectPr>
      <w:footerReference r:id="rId3" w:type="default"/>
      <w:pgSz w:w="11906" w:h="16838"/>
      <w:pgMar w:top="1418" w:right="1418" w:bottom="1418" w:left="1418" w:header="851" w:footer="992" w:gutter="0"/>
      <w:pgBorders>
        <w:top w:val="none" w:sz="0" w:space="0"/>
        <w:left w:val="none" w:sz="0" w:space="0"/>
        <w:bottom w:val="none" w:sz="0" w:space="0"/>
        <w:right w:val="none" w:sz="0" w:space="0"/>
      </w:pgBorders>
      <w:pgNumType w:fmt="numberInDash"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2"/>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ABCAECDF-2108-459F-9C47-7DB41D3171C6}"/>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auto"/>
    <w:pitch w:val="default"/>
    <w:sig w:usb0="00000001" w:usb1="08000000" w:usb2="00000000" w:usb3="00000000" w:csb0="00040000" w:csb1="00000000"/>
    <w:embedRegular r:id="rId2" w:fontKey="{EECF64B7-5566-42C0-9F7A-67EC1064EC09}"/>
  </w:font>
  <w:font w:name="小标宋">
    <w:altName w:val="微软雅黑"/>
    <w:panose1 w:val="03000509000000000000"/>
    <w:charset w:val="86"/>
    <w:family w:val="auto"/>
    <w:pitch w:val="default"/>
    <w:sig w:usb0="00000001" w:usb1="080E0000" w:usb2="00000000" w:usb3="00000000" w:csb0="00040000" w:csb1="00000000"/>
    <w:embedRegular r:id="rId3" w:fontKey="{D1AF4EDB-B770-4C85-85E2-C94A630038C5}"/>
  </w:font>
  <w:font w:name="楷体_GB2312">
    <w:altName w:val="楷体"/>
    <w:panose1 w:val="02010609030101010101"/>
    <w:charset w:val="86"/>
    <w:family w:val="modern"/>
    <w:pitch w:val="default"/>
    <w:sig w:usb0="00000001" w:usb1="080E0000" w:usb2="00000000" w:usb3="00000000" w:csb0="00040000" w:csb1="00000000"/>
    <w:embedRegular r:id="rId4" w:fontKey="{AB5119B0-8029-47EF-A64E-077F5D40B8B4}"/>
  </w:font>
  <w:font w:name="仿宋_GB2312">
    <w:altName w:val="仿宋"/>
    <w:panose1 w:val="02010609030101010101"/>
    <w:charset w:val="86"/>
    <w:family w:val="modern"/>
    <w:pitch w:val="default"/>
    <w:sig w:usb0="00000001" w:usb1="080E0000" w:usb2="00000000" w:usb3="00000000" w:csb0="00040000" w:csb1="00000000"/>
    <w:embedRegular r:id="rId5" w:fontKey="{395CE27A-39A1-46BC-AB58-D2B8B272829B}"/>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72746F">
    <w:pPr>
      <w:pStyle w:val="2"/>
    </w:pPr>
    <w:r>
      <w:rPr>
        <w:sz w:val="18"/>
      </w:rPr>
      <w:pict>
        <v:shape id="_x0000_s2049" o:spid="_x0000_s2049" o:spt="202" type="#_x0000_t202" style="position:absolute;left:0pt;margin-top:0pt;height:144pt;width:144pt;mso-position-horizontal:outside;mso-position-horizontal-relative:margin;mso-wrap-style:none;z-index:251659264;mso-width-relative:page;mso-height-relative:page;" filled="f" stroked="f" coordsize="21600,21600">
          <v:path/>
          <v:fill on="f" focussize="0,0"/>
          <v:stroke on="f"/>
          <v:imagedata o:title=""/>
          <o:lock v:ext="edit" aspectratio="f"/>
          <v:textbox inset="0mm,0mm,0mm,0mm" style="mso-fit-shape-to-text:t;">
            <w:txbxContent>
              <w:p w14:paraId="74245E94">
                <w:pPr>
                  <w:pStyle w:val="2"/>
                  <w:rPr>
                    <w:rStyle w:val="8"/>
                    <w:sz w:val="21"/>
                    <w:szCs w:val="21"/>
                  </w:rPr>
                </w:pPr>
                <w:r>
                  <w:rPr>
                    <w:sz w:val="21"/>
                    <w:szCs w:val="21"/>
                  </w:rPr>
                  <w:fldChar w:fldCharType="begin"/>
                </w:r>
                <w:r>
                  <w:rPr>
                    <w:rStyle w:val="8"/>
                    <w:sz w:val="21"/>
                    <w:szCs w:val="21"/>
                  </w:rPr>
                  <w:instrText xml:space="preserve">PAGE  </w:instrText>
                </w:r>
                <w:r>
                  <w:rPr>
                    <w:sz w:val="21"/>
                    <w:szCs w:val="21"/>
                  </w:rPr>
                  <w:fldChar w:fldCharType="separate"/>
                </w:r>
                <w:r>
                  <w:rPr>
                    <w:rStyle w:val="8"/>
                    <w:sz w:val="21"/>
                    <w:szCs w:val="21"/>
                  </w:rPr>
                  <w:t>1</w:t>
                </w:r>
                <w:r>
                  <w:rPr>
                    <w:sz w:val="21"/>
                    <w:szCs w:val="21"/>
                  </w:rPr>
                  <w:fldChar w:fldCharType="end"/>
                </w:r>
              </w:p>
            </w:txbxContent>
          </v:textbox>
        </v:shape>
      </w:pic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TrueTypeFonts/>
  <w:saveSubset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OTMzYjIwYzMzODc2NjE0NzQwOTYwODUwNWRkNGVkZmIifQ=="/>
  </w:docVars>
  <w:rsids>
    <w:rsidRoot w:val="00C848A6"/>
    <w:rsid w:val="00007206"/>
    <w:rsid w:val="00094439"/>
    <w:rsid w:val="000B0BBE"/>
    <w:rsid w:val="001321B4"/>
    <w:rsid w:val="001558B9"/>
    <w:rsid w:val="0016391F"/>
    <w:rsid w:val="001A4A23"/>
    <w:rsid w:val="0021063B"/>
    <w:rsid w:val="00227945"/>
    <w:rsid w:val="00227EF5"/>
    <w:rsid w:val="002C5B40"/>
    <w:rsid w:val="00346C40"/>
    <w:rsid w:val="0036480C"/>
    <w:rsid w:val="00366E15"/>
    <w:rsid w:val="00376DDE"/>
    <w:rsid w:val="003B5EBD"/>
    <w:rsid w:val="003D34BA"/>
    <w:rsid w:val="003D4D06"/>
    <w:rsid w:val="004369A3"/>
    <w:rsid w:val="00440A03"/>
    <w:rsid w:val="00466C07"/>
    <w:rsid w:val="004746B0"/>
    <w:rsid w:val="004F22DA"/>
    <w:rsid w:val="00500FB0"/>
    <w:rsid w:val="005168B9"/>
    <w:rsid w:val="00540D59"/>
    <w:rsid w:val="005A367C"/>
    <w:rsid w:val="005A3C70"/>
    <w:rsid w:val="00617FD6"/>
    <w:rsid w:val="0065045A"/>
    <w:rsid w:val="0067113C"/>
    <w:rsid w:val="00673330"/>
    <w:rsid w:val="00695972"/>
    <w:rsid w:val="006B759E"/>
    <w:rsid w:val="006D5FED"/>
    <w:rsid w:val="006F599E"/>
    <w:rsid w:val="00792927"/>
    <w:rsid w:val="00793754"/>
    <w:rsid w:val="007B1B7E"/>
    <w:rsid w:val="00825FB4"/>
    <w:rsid w:val="00875D37"/>
    <w:rsid w:val="00894C41"/>
    <w:rsid w:val="008B5C9F"/>
    <w:rsid w:val="00906023"/>
    <w:rsid w:val="00981B0B"/>
    <w:rsid w:val="009A1991"/>
    <w:rsid w:val="009B2B37"/>
    <w:rsid w:val="009C01DA"/>
    <w:rsid w:val="009C0D1E"/>
    <w:rsid w:val="00A15C74"/>
    <w:rsid w:val="00A4021B"/>
    <w:rsid w:val="00A53F98"/>
    <w:rsid w:val="00A74A96"/>
    <w:rsid w:val="00AA3B49"/>
    <w:rsid w:val="00AC1F0A"/>
    <w:rsid w:val="00B128D9"/>
    <w:rsid w:val="00B56C05"/>
    <w:rsid w:val="00BD7EF6"/>
    <w:rsid w:val="00C25CC3"/>
    <w:rsid w:val="00C314D5"/>
    <w:rsid w:val="00C52A54"/>
    <w:rsid w:val="00C57E77"/>
    <w:rsid w:val="00C848A6"/>
    <w:rsid w:val="00CC794E"/>
    <w:rsid w:val="00CE5CF8"/>
    <w:rsid w:val="00D34D58"/>
    <w:rsid w:val="00D54048"/>
    <w:rsid w:val="00D84D7E"/>
    <w:rsid w:val="00DD0614"/>
    <w:rsid w:val="00DD15E9"/>
    <w:rsid w:val="00E60B11"/>
    <w:rsid w:val="00EB3A75"/>
    <w:rsid w:val="00EC5E67"/>
    <w:rsid w:val="00F12D65"/>
    <w:rsid w:val="00F2648B"/>
    <w:rsid w:val="00F33FF4"/>
    <w:rsid w:val="00F75A7A"/>
    <w:rsid w:val="00FB2D8D"/>
    <w:rsid w:val="00FE3393"/>
    <w:rsid w:val="010E6BD3"/>
    <w:rsid w:val="05C375FE"/>
    <w:rsid w:val="0B0419E3"/>
    <w:rsid w:val="0F8A271E"/>
    <w:rsid w:val="18A40355"/>
    <w:rsid w:val="19F92A7C"/>
    <w:rsid w:val="2B7175E9"/>
    <w:rsid w:val="391E4B76"/>
    <w:rsid w:val="46006614"/>
    <w:rsid w:val="4933188B"/>
    <w:rsid w:val="50BC0C37"/>
    <w:rsid w:val="532474A3"/>
    <w:rsid w:val="5C4F0B22"/>
    <w:rsid w:val="5DAE1817"/>
    <w:rsid w:val="5FC33C0F"/>
    <w:rsid w:val="61892ED4"/>
    <w:rsid w:val="62864897"/>
    <w:rsid w:val="63F4655B"/>
    <w:rsid w:val="7A0F27A6"/>
    <w:rsid w:val="7C076AB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eastAsia="宋体"/>
      <w:kern w:val="2"/>
      <w:sz w:val="21"/>
      <w:szCs w:val="24"/>
      <w:lang w:val="en-US" w:eastAsia="zh-CN" w:bidi="ar-SA"/>
    </w:rPr>
  </w:style>
  <w:style w:type="character" w:default="1" w:styleId="7">
    <w:name w:val="Default Paragraph Font"/>
    <w:semiHidden/>
    <w:uiPriority w:val="0"/>
  </w:style>
  <w:style w:type="table" w:default="1" w:styleId="5">
    <w:name w:val="Normal Table"/>
    <w:semiHidden/>
    <w:uiPriority w:val="0"/>
    <w:tblPr>
      <w:tblStyle w:val="5"/>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szCs w:val="18"/>
    </w:rPr>
  </w:style>
  <w:style w:type="paragraph" w:styleId="3">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4">
    <w:name w:val="Normal (Web)"/>
    <w:basedOn w:val="1"/>
    <w:uiPriority w:val="0"/>
    <w:pPr>
      <w:spacing w:before="100" w:beforeAutospacing="1" w:after="100" w:afterAutospacing="1"/>
      <w:ind w:left="0" w:right="0"/>
      <w:jc w:val="left"/>
    </w:pPr>
    <w:rPr>
      <w:kern w:val="0"/>
      <w:sz w:val="24"/>
      <w:lang w:val="en-US" w:eastAsia="zh-CN" w:bidi="ar"/>
    </w:rPr>
  </w:style>
  <w:style w:type="table" w:styleId="6">
    <w:name w:val="Table Grid"/>
    <w:basedOn w:val="5"/>
    <w:uiPriority w:val="0"/>
    <w:pPr>
      <w:widowControl w:val="0"/>
      <w:jc w:val="both"/>
    </w:pPr>
    <w:rPr>
      <w:rFonts w:eastAsia="宋体"/>
    </w:rPr>
    <w:tblPr>
      <w:tblStyle w:val="5"/>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page number"/>
    <w:basedOn w:val="7"/>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049" textRotate="1"/>
    <customShpInfo spid="_x0000_s1030"/>
    <customShpInfo spid="_x0000_s103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Lenovo</Company>
  <Pages>22</Pages>
  <Words>477</Words>
  <Characters>481</Characters>
  <Lines>7</Lines>
  <Paragraphs>2</Paragraphs>
  <TotalTime>0</TotalTime>
  <ScaleCrop>false</ScaleCrop>
  <LinksUpToDate>false</LinksUpToDate>
  <CharactersWithSpaces>761</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2012-03-22T01:26:00Z</dcterms:created>
  <dc:creator>liangqs</dc:creator>
  <cp:lastModifiedBy>当问春风</cp:lastModifiedBy>
  <cp:lastPrinted>2022-10-26T02:38:36Z</cp:lastPrinted>
  <dcterms:modified xsi:type="dcterms:W3CDTF">2026-10-03T20:53:56Z</dcterms:modified>
  <dc:title>华南理工大学</dc:title>
  <cp:revision>22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ECBC3389ADCF48CFAF6A7A86C670584D_13</vt:lpwstr>
  </property>
</Properties>
</file>