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26"/>
          <w:szCs w:val="26"/>
          <w:rFonts w:ascii="Times New Roman" w:cs="Times New Roman" w:eastAsia="Times New Roman" w:hAnsi="Times New Roman"/>
        </w:rPr>
        <w:t xml:space="preserve">HORSETRACK – EQUINE CARE</w:t>
      </w:r>
    </w:p>
    <w:p>
      <w:pPr>
        <w:spacing w:after="80"/>
        <w:jc w:val="center"/>
      </w:pPr>
      <w:r>
        <w:rPr>
          <w:b/>
          <w:bCs/>
          <w:color w:val="1F3864"/>
          <w:sz w:val="36"/>
          <w:szCs w:val="36"/>
          <w:rFonts w:ascii="Times New Roman" w:cs="Times New Roman" w:eastAsia="Times New Roman" w:hAnsi="Times New Roman"/>
        </w:rPr>
        <w:t xml:space="preserve">BUSINESS RULES THEO FLOW NGHIỆP VỤ</w:t>
      </w:r>
    </w:p>
    <w:p>
      <w:pPr>
        <w:spacing w:after="240"/>
        <w:jc w:val="center"/>
      </w:pPr>
      <w:r>
        <w:rPr>
          <w:i/>
          <w:iCs/>
          <w:sz w:val="22"/>
          <w:szCs w:val="22"/>
          <w:rFonts w:ascii="Times New Roman" w:cs="Times New Roman" w:eastAsia="Times New Roman" w:hAnsi="Times New Roman"/>
        </w:rPr>
        <w:t xml:space="preserve">Tổng hợp từ Businessrule 1.docx, đối chiếu với 5 swimlane flow và hệ thống backend · Cập nhật 21/10/2026</w:t>
      </w:r>
    </w:p>
    <w:p>
      <w:pPr>
        <w:pStyle w:val="Heading1"/>
        <w:spacing w:before="240" w:after="120"/>
      </w:pPr>
      <w:r>
        <w:rPr>
          <w:b/>
          <w:bCs/>
          <w:color w:val="1F3864"/>
          <w:sz w:val="30"/>
          <w:szCs w:val="30"/>
          <w:rFonts w:ascii="Times New Roman" w:cs="Times New Roman" w:eastAsia="Times New Roman" w:hAnsi="Times New Roman"/>
        </w:rPr>
        <w:t xml:space="preserve">1. Cách đọc tài liệu</w:t>
      </w:r>
    </w:p>
    <w:p>
      <w:pPr>
        <w:pStyle w:val="ListParagraph"/>
        <w:numPr>
          <w:ilvl w:val="0"/>
          <w:numId w:val="1"/>
        </w:numPr>
        <w:spacing w:after="60"/>
      </w:pPr>
      <w:r>
        <w:rPr>
          <w:sz w:val="22"/>
          <w:szCs w:val="22"/>
          <w:rFonts w:ascii="Times New Roman" w:cs="Times New Roman" w:eastAsia="Times New Roman" w:hAnsi="Times New Roman"/>
        </w:rPr>
        <w:t xml:space="preserve">Mã mới: GEN-xx là rule chung; F1, F21, F22, F3, F4 tương ứng Flow 1, Flow 2.1, Flow 2.2, Flow 3, Flow 4.</w:t>
      </w:r>
    </w:p>
    <w:p>
      <w:pPr>
        <w:pStyle w:val="ListParagraph"/>
        <w:numPr>
          <w:ilvl w:val="0"/>
          <w:numId w:val="1"/>
        </w:numPr>
        <w:spacing w:after="60"/>
      </w:pPr>
      <w:r>
        <w:rPr>
          <w:sz w:val="22"/>
          <w:szCs w:val="22"/>
          <w:rFonts w:ascii="Times New Roman" w:cs="Times New Roman" w:eastAsia="Times New Roman" w:hAnsi="Times New Roman"/>
        </w:rPr>
        <w:t xml:space="preserve">Mã cũ: mã rule tương ứng trong Businessrule 1.docx; "(mới)" là rule bổ sung theo SRS hoặc ràng buộc của hệ thống.</w:t>
      </w:r>
    </w:p>
    <w:p>
      <w:pPr>
        <w:pStyle w:val="ListParagraph"/>
        <w:numPr>
          <w:ilvl w:val="0"/>
          <w:numId w:val="1"/>
        </w:numPr>
        <w:spacing w:after="60"/>
      </w:pPr>
      <w:r>
        <w:rPr>
          <w:sz w:val="22"/>
          <w:szCs w:val="22"/>
          <w:rFonts w:ascii="Times New Roman" w:cs="Times New Roman" w:eastAsia="Times New Roman" w:hAnsi="Times New Roman"/>
        </w:rPr>
        <w:t xml:space="preserve">Trạng thái: mức độ backend đã áp dụng rule. Đã áp dụng: 32 · Một phần: 1 · Chưa áp dụng: 4 (tổng 37 rule).</w:t>
      </w:r>
    </w:p>
    <w:p>
      <w:pPr>
        <w:pStyle w:val="Heading1"/>
        <w:spacing w:before="240" w:after="120"/>
      </w:pPr>
      <w:r>
        <w:rPr>
          <w:b/>
          <w:bCs/>
          <w:color w:val="1F3864"/>
          <w:sz w:val="30"/>
          <w:szCs w:val="30"/>
          <w:rFonts w:ascii="Times New Roman" w:cs="Times New Roman" w:eastAsia="Times New Roman" w:hAnsi="Times New Roman"/>
        </w:rPr>
        <w:t xml:space="preserve">2. Business rule theo flow</w:t>
      </w:r>
    </w:p>
    <w:p>
      <w:pPr>
        <w:pStyle w:val="Heading2"/>
        <w:spacing w:before="240" w:after="120"/>
      </w:pPr>
      <w:r>
        <w:rPr>
          <w:b/>
          <w:bCs/>
          <w:color w:val="1F3864"/>
          <w:sz w:val="26"/>
          <w:szCs w:val="26"/>
          <w:rFonts w:ascii="Times New Roman" w:cs="Times New Roman" w:eastAsia="Times New Roman" w:hAnsi="Times New Roman"/>
        </w:rPr>
        <w:t xml:space="preserve">2.1. Nhóm chung: Tài khoản &amp; bảo mật (áp dụng cho mọi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9%"/>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w:t>
            </w:r>
          </w:p>
        </w:tc>
        <w:tc>
          <w:tcPr>
            <w:tcW w:type="pct" w:w="61%"/>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Nội dung business rule</w:t>
            </w:r>
          </w:p>
        </w:tc>
        <w:tc>
          <w:tcPr>
            <w:tcW w:type="pct" w:w="13%"/>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 cũ</w:t>
            </w:r>
          </w:p>
        </w:tc>
        <w:tc>
          <w:tcPr>
            <w:tcW w:type="pct" w:w="17%"/>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Trạng thái</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GEN-01</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Tên đăng nhập 4–30 ký tự (chữ không dấu, số, dấu chấm, gạch dưới). Tên đăng nhập, email và số điện thoại không được trùng với tài khoản khác (không phân biệt hoa thường).</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BR21</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GEN-02</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Mật khẩu 8–64 ký tự, có ít nhất 1 chữ cái và 1 chữ số, không chứa khoảng trắng.</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BR22</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GEN-03</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Mỗi tài khoản có đúng một vai trò: Club Manager, Trainer, Groom, Veterinarian, Warehouse Manager hoặc Horse Owner. Vì vậy nhân viên CLB không thể đồng thời là chủ ngựa.</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BR23, BR_06</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GEN-04</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Chỉ Club Manager được tạo tài khoản nhân viên và gán vai trò. Hệ thống gửi tên đăng nhập và mật khẩu cho nhân viên qua email.</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BR24</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GEN-05</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Mã OTP (quên mật khẩu / đổi mật khẩu) gồm 6 chữ số, hiệu lực 5 phút, chỉ dùng một lần; yêu cầu mã mới thì mã cũ mất hiệu lực.</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(mới)</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GEN-06</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Phân quyền dữ liệu: chủ ngựa chỉ xem được ngựa của mình; nhân viên chỉ thao tác trong phạm vi vai trò được giao.</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BR_09</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GEN-07</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Mọi thao tác tạo, sửa, xóa dữ liệu trọng yếu và khóa / mở khóa an toàn đều được ghi vào Audit Log (người thực hiện, thời điểm, IP, giá trị cũ và mới).</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BR_10</w:t>
            </w:r>
          </w:p>
        </w:tc>
        <w:tc>
          <w:tcPr>
            <w:tcW w:type="pct" w:w="17%"/>
            <w:tcBorders>
              <w:top w:val="single" w:color="8EAADB" w:sz="4"/>
              <w:left w:val="single" w:color="8EAADB" w:sz="4"/>
              <w:bottom w:val="single" w:color="8EAADB" w:sz="4"/>
              <w:right w:val="single" w:color="8EAADB" w:sz="4"/>
            </w:tcBorders>
            <w:shd w:fill="FFF2CC"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Một phần (chưa ghi cho điều chỉnh kho, phác đồ)</w:t>
            </w:r>
          </w:p>
        </w:tc>
      </w:tr>
    </w:tbl>
    <w:p>
      <w:pPr>
        <w:spacing w:after="120"/>
      </w:pPr>
    </w:p>
    <w:p>
      <w:pPr>
        <w:pStyle w:val="Heading2"/>
        <w:spacing w:before="240" w:after="120"/>
      </w:pPr>
      <w:r>
        <w:rPr>
          <w:b/>
          <w:bCs/>
          <w:color w:val="1F3864"/>
          <w:sz w:val="26"/>
          <w:szCs w:val="26"/>
          <w:rFonts w:ascii="Times New Roman" w:cs="Times New Roman" w:eastAsia="Times New Roman" w:hAnsi="Times New Roman"/>
        </w:rPr>
        <w:t xml:space="preserve">2.2. Flow 1: Hồ sơ &amp; lý lịch ngựa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9%"/>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w:t>
            </w:r>
          </w:p>
        </w:tc>
        <w:tc>
          <w:tcPr>
            <w:tcW w:type="pct" w:w="61%"/>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Nội dung business rule</w:t>
            </w:r>
          </w:p>
        </w:tc>
        <w:tc>
          <w:tcPr>
            <w:tcW w:type="pct" w:w="13%"/>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 cũ</w:t>
            </w:r>
          </w:p>
        </w:tc>
        <w:tc>
          <w:tcPr>
            <w:tcW w:type="pct" w:w="17%"/>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Trạng thái</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F1-01</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Cân nặng phải lớn hơn 0; chiều cao từ 1.0 đến 25.0 hand; ngày sinh phải ở quá khứ; số hộ chiếu ngựa không được trùng.</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BR25</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F1-02</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Một chủ ngựa không được có hai con ngựa trùng tên.</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BR26</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F1-03</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Ngựa mới đăng ký ở trạng thái Chờ duyệt. Chỉ chuyển sang Đã duyệt khi Club Manager thẩm định đạt cả 3 mục: danh tính chủ ngựa, giấy chứng nhận sức khỏe, giấy tờ sở hữu / nguồn gốc.</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BR_19</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F1-04</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Từ chối hồ sơ phải ghi lý do (tối thiểu 10 ký tự). Club Manager quyết định có cho phép chủ ngựa sửa và nộp lại hồ sơ hay không.</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(mới, theo SRS)</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F1-05</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Khi duyệt hồ sơ phải cấp chuồng. Mỗi chuồng chỉ chứa 1 ngựa tại một thời điểm và chỉ được xếp ngựa vào chuồng ở trạng thái CLEAN.</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BR_18, BR27, BR28</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F1-06</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Việc duyệt hoặc từ chối hồ sơ ngựa được ghi vào Audit Log.</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BR_10</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bl>
    <w:p>
      <w:pPr>
        <w:spacing w:after="120"/>
      </w:pPr>
    </w:p>
    <w:p>
      <w:pPr>
        <w:pStyle w:val="Heading2"/>
        <w:spacing w:before="240" w:after="120"/>
      </w:pPr>
      <w:r>
        <w:rPr>
          <w:b/>
          <w:bCs/>
          <w:color w:val="1F3864"/>
          <w:sz w:val="26"/>
          <w:szCs w:val="26"/>
          <w:rFonts w:ascii="Times New Roman" w:cs="Times New Roman" w:eastAsia="Times New Roman" w:hAnsi="Times New Roman"/>
        </w:rPr>
        <w:t xml:space="preserve">2.3. Flow 2.1: Xây dựng giáo án &amp; phân công huấn luyện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9%"/>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w:t>
            </w:r>
          </w:p>
        </w:tc>
        <w:tc>
          <w:tcPr>
            <w:tcW w:type="pct" w:w="61%"/>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Nội dung business rule</w:t>
            </w:r>
          </w:p>
        </w:tc>
        <w:tc>
          <w:tcPr>
            <w:tcW w:type="pct" w:w="13%"/>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 cũ</w:t>
            </w:r>
          </w:p>
        </w:tc>
        <w:tc>
          <w:tcPr>
            <w:tcW w:type="pct" w:w="17%"/>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Trạng thái</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F21-01</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Chỉ lập giáo án cho ngựa đã được duyệt, đã có chuồng và không đang bị VetLock. Mỗi ngựa chỉ có một giáo án đang hoạt động (ACTIVE hoặc PAUSED).</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BR36</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F21-02</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Ngựa đang VetLock thì không được xếp buổi tập mới; hệ thống thông báo cho Trainer và chủ ngựa.</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BR_01</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F21-03</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Ngày giờ buổi tập không được ở quá khứ và phải nằm trong khoảng thời gian của giáo án.</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BR31, BR33</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F21-04</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Chỉ phân công buổi tập cho Groom đang hoạt động và phụ trách đúng khu chuồng của ngựa.</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BR35</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F21-05</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Một Groom không được có hai buổi tập trùng khung giờ (mặc định mỗi buổi 60 phút).</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BR34</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bl>
    <w:p>
      <w:pPr>
        <w:spacing w:after="120"/>
      </w:pPr>
    </w:p>
    <w:p>
      <w:pPr>
        <w:pStyle w:val="Heading2"/>
        <w:spacing w:before="240" w:after="120"/>
      </w:pPr>
      <w:r>
        <w:rPr>
          <w:b/>
          <w:bCs/>
          <w:color w:val="1F3864"/>
          <w:sz w:val="26"/>
          <w:szCs w:val="26"/>
          <w:rFonts w:ascii="Times New Roman" w:cs="Times New Roman" w:eastAsia="Times New Roman" w:hAnsi="Times New Roman"/>
        </w:rPr>
        <w:t xml:space="preserve">2.4. Flow 2.2: Quản lý quá trình huấn luyện &amp; đánh giá kết quả</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9%"/>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w:t>
            </w:r>
          </w:p>
        </w:tc>
        <w:tc>
          <w:tcPr>
            <w:tcW w:type="pct" w:w="61%"/>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Nội dung business rule</w:t>
            </w:r>
          </w:p>
        </w:tc>
        <w:tc>
          <w:tcPr>
            <w:tcW w:type="pct" w:w="13%"/>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 cũ</w:t>
            </w:r>
          </w:p>
        </w:tc>
        <w:tc>
          <w:tcPr>
            <w:tcW w:type="pct" w:w="17%"/>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Trạng thái</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F22-01</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Không được bắt đầu, tiếp tục hay hoàn thành buổi tập khi ngựa đang VetLock; chỉ được hủy buổi tập.</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BR_01</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F22-02</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Nhịp tim hoặc tốc độ vượt ngưỡng an toàn thì buổi tập tự tạm dừng và gửi cảnh báo khẩn tới Trainer và Groom. Trainer quyết định tiếp tục hay dừng; nếu dừng vì chấn thương thì chuyển ca tới bác sĩ thú y.</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BR_02</w:t>
            </w:r>
          </w:p>
        </w:tc>
        <w:tc>
          <w:tcPr>
            <w:tcW w:type="pct" w:w="17%"/>
            <w:tcBorders>
              <w:top w:val="single" w:color="8EAADB" w:sz="4"/>
              <w:left w:val="single" w:color="8EAADB" w:sz="4"/>
              <w:bottom w:val="single" w:color="8EAADB" w:sz="4"/>
              <w:right w:val="single" w:color="8EAADB" w:sz="4"/>
            </w:tcBorders>
            <w:shd w:fill="F8D7DA"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Chưa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F22-03</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Hủy buổi tập phải ghi lý do; chỉ người được phân công mới được cập nhật kết quả buổi tập.</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(mới)</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F22-04</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Điểm đánh giá phong độ có giá trị từ 1 đến 10.</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(mới, theo ràng buộc DB)</w:t>
            </w:r>
          </w:p>
        </w:tc>
        <w:tc>
          <w:tcPr>
            <w:tcW w:type="pct" w:w="17%"/>
            <w:tcBorders>
              <w:top w:val="single" w:color="8EAADB" w:sz="4"/>
              <w:left w:val="single" w:color="8EAADB" w:sz="4"/>
              <w:bottom w:val="single" w:color="8EAADB" w:sz="4"/>
              <w:right w:val="single" w:color="8EAADB" w:sz="4"/>
            </w:tcBorders>
            <w:shd w:fill="F8D7DA"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Chưa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F22-05</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Chủ ngựa chỉ xem được kết quả và nhật ký tập luyện của ngựa mình.</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BR_09</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bl>
    <w:p>
      <w:pPr>
        <w:spacing w:after="120"/>
      </w:pPr>
    </w:p>
    <w:p>
      <w:pPr>
        <w:pStyle w:val="Heading2"/>
        <w:spacing w:before="240" w:after="120"/>
      </w:pPr>
      <w:r>
        <w:rPr>
          <w:b/>
          <w:bCs/>
          <w:color w:val="1F3864"/>
          <w:sz w:val="26"/>
          <w:szCs w:val="26"/>
          <w:rFonts w:ascii="Times New Roman" w:cs="Times New Roman" w:eastAsia="Times New Roman" w:hAnsi="Times New Roman"/>
        </w:rPr>
        <w:t xml:space="preserve">2.5. Flow 3: Y tế &amp; xử lý chấn thương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9%"/>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w:t>
            </w:r>
          </w:p>
        </w:tc>
        <w:tc>
          <w:tcPr>
            <w:tcW w:type="pct" w:w="61%"/>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Nội dung business rule</w:t>
            </w:r>
          </w:p>
        </w:tc>
        <w:tc>
          <w:tcPr>
            <w:tcW w:type="pct" w:w="13%"/>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 cũ</w:t>
            </w:r>
          </w:p>
        </w:tc>
        <w:tc>
          <w:tcPr>
            <w:tcW w:type="pct" w:w="17%"/>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Trạng thái</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F3-01</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Groom chỉ báo sự cố cho ngựa trong khu mình phụ trách; ca được chuyển vào hộp thư của bác sĩ thú y. Người báo xem được kết quả xử lý ca của chính mình.</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(mới)</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F3-02</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Chỉ bác sĩ thú y được tạo bệnh án, đánh dấu vết thương, đổi trạng thái sức khỏe và mở VetLock. Trainer hoặc Groom được khóa khẩn cấp (trạng thái WATCH, chờ bác sĩ khám).</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BR29, BR_01</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F3-03</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Khi kích hoạt VetLock: các buổi tập đã lên lịch của ngựa tự động bị hủy, giáo án chuyển sang Tạm dừng (PAUSED), Trainer và chủ ngựa nhận thông báo. Khi bác sĩ mở khóa, giáo án trở lại Đang hoạt động.</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BR_01</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F3-04</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Phác đồ điều trị được gửi kho kiểm hàng. Đủ hàng thì giữ hàng (held stock); phần hàng đang giữ không được xuất cho việc khác.</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BR_20, BR30</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F3-05</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Thiếu thuốc thì không được cấp: trả phác đồ về bác sĩ để chờ hàng hoặc lập phiên bản phác đồ mới; Warehouse Manager tạo đơn mua. Đơn mua về trễ hơn ngày cần thuốc thì thông báo bác sĩ xem lại.</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BR_07</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F3-06</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Kho chỉ cấp thuốc sau khi bác sĩ xác nhận phương án của kho.</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BR_07</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F3-07</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Đến ngày bắt đầu giai đoạn mới của phác đồ mà chủ ngựa chưa thanh toán chi phí giai đoạn đó thì phác đồ bị tạm dừng.</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BR_16</w:t>
            </w:r>
          </w:p>
        </w:tc>
        <w:tc>
          <w:tcPr>
            <w:tcW w:type="pct" w:w="17%"/>
            <w:tcBorders>
              <w:top w:val="single" w:color="8EAADB" w:sz="4"/>
              <w:left w:val="single" w:color="8EAADB" w:sz="4"/>
              <w:bottom w:val="single" w:color="8EAADB" w:sz="4"/>
              <w:right w:val="single" w:color="8EAADB" w:sz="4"/>
            </w:tcBorders>
            <w:shd w:fill="F8D7DA"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Chưa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F3-08</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Ngoại lệ: ca cấp cứu (CRITICAL) được điều trị trước và không bị tạm dừng vì chưa thanh toán.</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BR_17</w:t>
            </w:r>
          </w:p>
        </w:tc>
        <w:tc>
          <w:tcPr>
            <w:tcW w:type="pct" w:w="17%"/>
            <w:tcBorders>
              <w:top w:val="single" w:color="8EAADB" w:sz="4"/>
              <w:left w:val="single" w:color="8EAADB" w:sz="4"/>
              <w:bottom w:val="single" w:color="8EAADB" w:sz="4"/>
              <w:right w:val="single" w:color="8EAADB" w:sz="4"/>
            </w:tcBorders>
            <w:shd w:fill="F8D7DA"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Chưa áp dụng</w:t>
            </w:r>
          </w:p>
        </w:tc>
      </w:tr>
    </w:tbl>
    <w:p>
      <w:pPr>
        <w:spacing w:after="120"/>
      </w:pPr>
    </w:p>
    <w:p>
      <w:pPr>
        <w:pStyle w:val="Heading2"/>
        <w:spacing w:before="240" w:after="120"/>
      </w:pPr>
      <w:r>
        <w:rPr>
          <w:b/>
          <w:bCs/>
          <w:color w:val="1F3864"/>
          <w:sz w:val="26"/>
          <w:szCs w:val="26"/>
          <w:rFonts w:ascii="Times New Roman" w:cs="Times New Roman" w:eastAsia="Times New Roman" w:hAnsi="Times New Roman"/>
        </w:rPr>
        <w:t xml:space="preserve">2.6. Flow 4: Chăm sóc chuồng trại &amp; dinh dưỡng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9%"/>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w:t>
            </w:r>
          </w:p>
        </w:tc>
        <w:tc>
          <w:tcPr>
            <w:tcW w:type="pct" w:w="61%"/>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Nội dung business rule</w:t>
            </w:r>
          </w:p>
        </w:tc>
        <w:tc>
          <w:tcPr>
            <w:tcW w:type="pct" w:w="13%"/>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 cũ</w:t>
            </w:r>
          </w:p>
        </w:tc>
        <w:tc>
          <w:tcPr>
            <w:tcW w:type="pct" w:w="17%"/>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Trạng thái</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F4-01</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Ngựa khỏe thì Trainer lập khẩu phần dinh dưỡng; ngựa đang VetLock thì chỉ bác sĩ thú y được lập khẩu phần.</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BR_03</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F4-02</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Định lượng khẩu phần phải lớn hơn 0; ngày kết thúc không được trước ngày bắt đầu.</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BR32</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F4-03</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Chỉ giao việc chăm sóc cho Groom đang hoạt động và phụ trách đúng khu chuồng của ngựa; ngày làm việc không được ở quá khứ.</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BR35, BR31</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F4-04</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Công việc chăm sóc chưa được đánh dấu hoàn thành sau 45 phút kể từ giờ hẹn thì hệ thống cảnh báo Club Manager.</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BR_05</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F4-05</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Groom chỉ được yêu cầu vật tư thông thường, không được yêu cầu thuốc hay vaccine. Kho cấp không vượt quá số lượng khả dụng; từ chối yêu cầu phải ghi lý do.</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BR30 (mở rộng)</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r>
        <w:tc>
          <w:tcPr>
            <w:tcW w:type="pct" w:w="9%"/>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F4-06</w:t>
            </w:r>
          </w:p>
        </w:tc>
        <w:tc>
          <w:tcPr>
            <w:tcW w:type="pct" w:w="61%"/>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Số lượng khả dụng (tồn kho trừ hàng đang giữ) thấp hơn mức an toàn thì cảnh báo Warehouse Manager.</w:t>
            </w:r>
          </w:p>
        </w:tc>
        <w:tc>
          <w:tcPr>
            <w:tcW w:type="pct" w:w="13%"/>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BR_08</w:t>
            </w:r>
          </w:p>
        </w:tc>
        <w:tc>
          <w:tcPr>
            <w:tcW w:type="pct" w:w="17%"/>
            <w:tcBorders>
              <w:top w:val="single" w:color="8EAADB" w:sz="4"/>
              <w:left w:val="single" w:color="8EAADB" w:sz="4"/>
              <w:bottom w:val="single" w:color="8EAADB" w:sz="4"/>
              <w:right w:val="single" w:color="8EAADB" w:sz="4"/>
            </w:tcBorders>
            <w:shd w:fill="E2F0D9" w:color="auto" w:val="clear"/>
            <w:tcMar>
              <w:top w:type="dxa" w:w="60"/>
              <w:left w:type="dxa" w:w="100"/>
              <w:bottom w:type="dxa" w:w="60"/>
              <w:right w:type="dxa" w:w="100"/>
            </w:tcMar>
          </w:tcPr>
          <w:p>
            <w:r>
              <w:rPr>
                <w:sz w:val="22"/>
                <w:szCs w:val="22"/>
                <w:rFonts w:ascii="Times New Roman" w:cs="Times New Roman" w:eastAsia="Times New Roman" w:hAnsi="Times New Roman"/>
              </w:rPr>
              <w:t xml:space="preserve">Đã áp dụng</w:t>
            </w:r>
          </w:p>
        </w:tc>
      </w:tr>
    </w:tbl>
    <w:p>
      <w:pPr>
        <w:spacing w:after="120"/>
      </w:pPr>
    </w:p>
    <w:p>
      <w:pPr>
        <w:pStyle w:val="Heading1"/>
        <w:spacing w:before="240" w:after="120"/>
      </w:pPr>
      <w:r>
        <w:rPr>
          <w:b/>
          <w:bCs/>
          <w:color w:val="1F3864"/>
          <w:sz w:val="30"/>
          <w:szCs w:val="30"/>
          <w:rFonts w:ascii="Times New Roman" w:cs="Times New Roman" w:eastAsia="Times New Roman" w:hAnsi="Times New Roman"/>
        </w:rPr>
        <w:t xml:space="preserve">3. Rule ngoài 5 flow (phạm vi giai đoạn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6%"/>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Mã cũ</w:t>
            </w:r>
          </w:p>
        </w:tc>
        <w:tc>
          <w:tcPr>
            <w:tcW w:type="pct" w:w="54%"/>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Nội dung</w:t>
            </w:r>
          </w:p>
        </w:tc>
        <w:tc>
          <w:tcPr>
            <w:tcW w:type="pct" w:w="3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Ghi chú</w:t>
            </w:r>
          </w:p>
        </w:tc>
      </w:tr>
      <w:tr>
        <w:tc>
          <w:tcPr>
            <w:tcW w:type="pct" w:w="16%"/>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BR_04</w:t>
            </w:r>
          </w:p>
        </w:tc>
        <w:tc>
          <w:tcPr>
            <w:tcW w:type="pct" w:w="54%"/>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Điều kiện ngựa được đăng ký thi đấu (cần xác nhận của Trainer, bác sĩ thú y và chủ ngựa).</w:t>
            </w:r>
          </w:p>
        </w:tc>
        <w:tc>
          <w:tcPr>
            <w:tcW w:type="pct" w:w="30%"/>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Cần thêm flow thi đấu</w:t>
            </w:r>
          </w:p>
        </w:tc>
      </w:tr>
      <w:tr>
        <w:tc>
          <w:tcPr>
            <w:tcW w:type="pct" w:w="16%"/>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BR_11</w:t>
            </w:r>
          </w:p>
        </w:tc>
        <w:tc>
          <w:tcPr>
            <w:tcW w:type="pct" w:w="54%"/>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Chia tiền thưởng giải đấu.</w:t>
            </w:r>
          </w:p>
        </w:tc>
        <w:tc>
          <w:tcPr>
            <w:tcW w:type="pct" w:w="30%"/>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Chưa có module</w:t>
            </w:r>
          </w:p>
        </w:tc>
      </w:tr>
      <w:tr>
        <w:tc>
          <w:tcPr>
            <w:tcW w:type="pct" w:w="16%"/>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BR_12 – BR_15</w:t>
            </w:r>
          </w:p>
        </w:tc>
        <w:tc>
          <w:tcPr>
            <w:tcW w:type="pct" w:w="54%"/>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Hóa đơn, ân hạn 10 ngày, đình chỉ dịch vụ sau 25 ngày, phí kích hoạt lại, chấm dứt hợp đồng sau 60 ngày.</w:t>
            </w:r>
          </w:p>
        </w:tc>
        <w:tc>
          <w:tcPr>
            <w:tcW w:type="pct" w:w="30%"/>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Cần thêm flow tài chính; nên ghi rõ mức phí trễ hạn trong BR_12</w:t>
            </w:r>
          </w:p>
        </w:tc>
      </w:tr>
    </w:tbl>
    <w:p>
      <w:pPr>
        <w:spacing w:after="120"/>
      </w:pPr>
    </w:p>
    <w:p>
      <w:pPr>
        <w:pStyle w:val="Heading1"/>
        <w:spacing w:before="240" w:after="120"/>
      </w:pPr>
      <w:r>
        <w:rPr>
          <w:b/>
          <w:bCs/>
          <w:color w:val="1F3864"/>
          <w:sz w:val="30"/>
          <w:szCs w:val="30"/>
          <w:rFonts w:ascii="Times New Roman" w:cs="Times New Roman" w:eastAsia="Times New Roman" w:hAnsi="Times New Roman"/>
        </w:rPr>
        <w:t xml:space="preserve">4. Rule cũ đã gộp hoặc điều chỉnh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Rule cũ</w:t>
            </w:r>
          </w:p>
        </w:tc>
        <w:tc>
          <w:tcPr>
            <w:tcW w:type="pct" w:w="38%"/>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Lý do</w:t>
            </w:r>
          </w:p>
        </w:tc>
        <w:tc>
          <w:tcPr>
            <w:tcW w:type="pct" w:w="40%"/>
            <w:tcBorders>
              <w:top w:val="single" w:color="8EAADB" w:sz="4"/>
              <w:left w:val="single" w:color="8EAADB" w:sz="4"/>
              <w:bottom w:val="single" w:color="8EAADB" w:sz="4"/>
              <w:right w:val="single" w:color="8EAADB" w:sz="4"/>
            </w:tcBorders>
            <w:shd w:fill="1F3864" w:color="auto" w:val="clear"/>
            <w:tcMar>
              <w:top w:type="dxa" w:w="60"/>
              <w:left w:type="dxa" w:w="100"/>
              <w:bottom w:type="dxa" w:w="60"/>
              <w:right w:type="dxa" w:w="100"/>
            </w:tcMar>
          </w:tcPr>
          <w:p>
            <w:r>
              <w:rPr>
                <w:b/>
                <w:bCs/>
                <w:color w:val="FFFFFF"/>
                <w:sz w:val="22"/>
                <w:szCs w:val="22"/>
                <w:rFonts w:ascii="Times New Roman" w:cs="Times New Roman" w:eastAsia="Times New Roman" w:hAnsi="Times New Roman"/>
              </w:rPr>
              <w:t xml:space="preserve">Xử lý</w:t>
            </w:r>
          </w:p>
        </w:tc>
      </w:tr>
      <w:tr>
        <w:tc>
          <w:tcPr>
            <w:tcW w:type="pct" w:w="22%"/>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BR_18 + BR27 + BR28</w:t>
            </w:r>
          </w:p>
        </w:tc>
        <w:tc>
          <w:tcPr>
            <w:tcW w:type="pct" w:w="38%"/>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Cùng nói về chuồng khi xếp ngựa (mỗi chuồng 1 ngựa, trạng thái chuồng)</w:t>
            </w:r>
          </w:p>
        </w:tc>
        <w:tc>
          <w:tcPr>
            <w:tcW w:type="pct" w:w="40%"/>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Gộp thành F1-05, dùng giá trị CLEAN / NEEDS_CLEANING / MAINTENANCE</w:t>
            </w:r>
          </w:p>
        </w:tc>
      </w:tr>
      <w:tr>
        <w:tc>
          <w:tcPr>
            <w:tcW w:type="pct" w:w="22%"/>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BR31 + BR33</w:t>
            </w:r>
          </w:p>
        </w:tc>
        <w:tc>
          <w:tcPr>
            <w:tcW w:type="pct" w:w="38%"/>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Cùng quy định thời gian không ở quá khứ</w:t>
            </w:r>
          </w:p>
        </w:tc>
        <w:tc>
          <w:tcPr>
            <w:tcW w:type="pct" w:w="40%"/>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Gộp vào F21-03 và F4-03</w:t>
            </w:r>
          </w:p>
        </w:tc>
      </w:tr>
      <w:tr>
        <w:tc>
          <w:tcPr>
            <w:tcW w:type="pct" w:w="22%"/>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BR_07 + BR30</w:t>
            </w:r>
          </w:p>
        </w:tc>
        <w:tc>
          <w:tcPr>
            <w:tcW w:type="pct" w:w="38%"/>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Cùng nói không xuất quá tồn kho</w:t>
            </w:r>
          </w:p>
        </w:tc>
        <w:tc>
          <w:tcPr>
            <w:tcW w:type="pct" w:w="40%"/>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BR30 vào F3-04 / F4-05; BR_07 giữ phần quy trình trả phác đồ (F3-05, F3-06)</w:t>
            </w:r>
          </w:p>
        </w:tc>
      </w:tr>
      <w:tr>
        <w:tc>
          <w:tcPr>
            <w:tcW w:type="pct" w:w="22%"/>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BR_06</w:t>
            </w:r>
          </w:p>
        </w:tc>
        <w:tc>
          <w:tcPr>
            <w:tcW w:type="pct" w:w="38%"/>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Đã được đảm bảo bởi GEN-01 và GEN-03</w:t>
            </w:r>
          </w:p>
        </w:tc>
        <w:tc>
          <w:tcPr>
            <w:tcW w:type="pct" w:w="40%"/>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Gộp vào GEN-03</w:t>
            </w:r>
          </w:p>
        </w:tc>
      </w:tr>
      <w:tr>
        <w:tc>
          <w:tcPr>
            <w:tcW w:type="pct" w:w="22%"/>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BR_16 ↔ BR_17</w:t>
            </w:r>
          </w:p>
        </w:tc>
        <w:tc>
          <w:tcPr>
            <w:tcW w:type="pct" w:w="38%"/>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Xung đột: nợ thì tạm dừng phác đồ nhưng ca cấp cứu được ưu tiên</w:t>
            </w:r>
          </w:p>
        </w:tc>
        <w:tc>
          <w:tcPr>
            <w:tcW w:type="pct" w:w="40%"/>
            <w:tcBorders>
              <w:top w:val="single" w:color="8EAADB" w:sz="4"/>
              <w:left w:val="single" w:color="8EAADB" w:sz="4"/>
              <w:bottom w:val="single" w:color="8EAADB" w:sz="4"/>
              <w:right w:val="single" w:color="8EAADB" w:sz="4"/>
            </w:tcBorders>
            <w:tcMar>
              <w:top w:type="dxa" w:w="60"/>
              <w:left w:type="dxa" w:w="100"/>
              <w:bottom w:type="dxa" w:w="60"/>
              <w:right w:type="dxa" w:w="100"/>
            </w:tcMar>
          </w:tcPr>
          <w:p>
            <w:r>
              <w:rPr>
                <w:sz w:val="22"/>
                <w:szCs w:val="22"/>
                <w:rFonts w:ascii="Times New Roman" w:cs="Times New Roman" w:eastAsia="Times New Roman" w:hAnsi="Times New Roman"/>
              </w:rPr>
              <w:t xml:space="preserve">Tách thành F3-07 và ngoại lệ F3-08</w:t>
            </w:r>
          </w:p>
        </w:tc>
      </w:tr>
    </w:tbl>
    <w:p>
      <w:pPr>
        <w:spacing w:after="120"/>
      </w:pPr>
    </w:p>
    <w:p>
      <w:pPr>
        <w:pStyle w:val="Heading1"/>
        <w:spacing w:before="240" w:after="120"/>
      </w:pPr>
      <w:r>
        <w:rPr>
          <w:b/>
          <w:bCs/>
          <w:color w:val="1F3864"/>
          <w:sz w:val="30"/>
          <w:szCs w:val="30"/>
          <w:rFonts w:ascii="Times New Roman" w:cs="Times New Roman" w:eastAsia="Times New Roman" w:hAnsi="Times New Roman"/>
        </w:rPr>
        <w:t xml:space="preserve">5. Đề xuất chỉnh sửa các flow</w:t>
      </w:r>
    </w:p>
    <w:p>
      <w:pPr>
        <w:pStyle w:val="ListParagraph"/>
        <w:numPr>
          <w:ilvl w:val="0"/>
          <w:numId w:val="1"/>
        </w:numPr>
        <w:spacing w:after="60"/>
      </w:pPr>
      <w:r>
        <w:rPr>
          <w:sz w:val="22"/>
          <w:szCs w:val="22"/>
          <w:rFonts w:ascii="Times New Roman" w:cs="Times New Roman" w:eastAsia="Times New Roman" w:hAnsi="Times New Roman"/>
        </w:rPr>
        <w:t xml:space="preserve">Flow 1: đổi bước "Xác nhận phê duyệt &amp; gán chủ sở hữu" thành "Xác nhận phê duyệt &amp; cấp chuồng", vì chủ sở hữu đã được xác định từ lúc đăng ký.</w:t>
      </w:r>
    </w:p>
    <w:p>
      <w:pPr>
        <w:pStyle w:val="ListParagraph"/>
        <w:numPr>
          <w:ilvl w:val="0"/>
          <w:numId w:val="1"/>
        </w:numPr>
        <w:spacing w:after="60"/>
      </w:pPr>
      <w:r>
        <w:rPr>
          <w:sz w:val="22"/>
          <w:szCs w:val="22"/>
          <w:rFonts w:ascii="Times New Roman" w:cs="Times New Roman" w:eastAsia="Times New Roman" w:hAnsi="Times New Roman"/>
        </w:rPr>
        <w:t xml:space="preserve">Flow 2.1: đổi tên lane "Head Trainer" thành "Trainer", vì hệ thống chỉ có một vai trò huấn luyện viên.</w:t>
      </w:r>
    </w:p>
    <w:p>
      <w:pPr>
        <w:pStyle w:val="ListParagraph"/>
        <w:numPr>
          <w:ilvl w:val="0"/>
          <w:numId w:val="1"/>
        </w:numPr>
        <w:spacing w:after="60"/>
      </w:pPr>
      <w:r>
        <w:rPr>
          <w:sz w:val="22"/>
          <w:szCs w:val="22"/>
          <w:rFonts w:ascii="Times New Roman" w:cs="Times New Roman" w:eastAsia="Times New Roman" w:hAnsi="Times New Roman"/>
        </w:rPr>
        <w:t xml:space="preserve">Flow 3: chuyển bước "Thẩm định kho dược phẩm" sang lane Warehouse Manager, và đổi "Quản lý duyệt phác đồ" thành "Bác sĩ xác nhận phương án kho" cho khớp với SRS.</w:t>
      </w:r>
    </w:p>
    <w:p>
      <w:pPr>
        <w:pStyle w:val="ListParagraph"/>
        <w:numPr>
          <w:ilvl w:val="0"/>
          <w:numId w:val="1"/>
        </w:numPr>
        <w:spacing w:after="60"/>
      </w:pPr>
      <w:r>
        <w:rPr>
          <w:sz w:val="22"/>
          <w:szCs w:val="22"/>
          <w:rFonts w:ascii="Times New Roman" w:cs="Times New Roman" w:eastAsia="Times New Roman" w:hAnsi="Times New Roman"/>
        </w:rPr>
        <w:t xml:space="preserve">Flow 4: đổi "Materials Manager" thành "Warehouse Manager" cho thống nhất tên gọi.</w:t>
      </w:r>
    </w:p>
    <w:p>
      <w:pPr>
        <w:pStyle w:val="Heading1"/>
        <w:spacing w:before="240" w:after="120"/>
      </w:pPr>
      <w:r>
        <w:rPr>
          <w:b/>
          <w:bCs/>
          <w:color w:val="1F3864"/>
          <w:sz w:val="30"/>
          <w:szCs w:val="30"/>
          <w:rFonts w:ascii="Times New Roman" w:cs="Times New Roman" w:eastAsia="Times New Roman" w:hAnsi="Times New Roman"/>
        </w:rPr>
        <w:t xml:space="preserve">6. Rule chưa áp dụng và việc cần làm</w:t>
      </w:r>
    </w:p>
    <w:p>
      <w:pPr>
        <w:pStyle w:val="ListParagraph"/>
        <w:numPr>
          <w:ilvl w:val="0"/>
          <w:numId w:val="1"/>
        </w:numPr>
        <w:spacing w:after="60"/>
      </w:pPr>
      <w:r>
        <w:rPr>
          <w:sz w:val="22"/>
          <w:szCs w:val="22"/>
          <w:rFonts w:ascii="Times New Roman" w:cs="Times New Roman" w:eastAsia="Times New Roman" w:hAnsi="Times New Roman"/>
        </w:rPr>
        <w:t xml:space="preserve">F22-02, F22-04: cần lưu chỉ số nhịp tim / tốc độ và điểm phong độ (bảng Training_Days, Session_Readings).</w:t>
      </w:r>
    </w:p>
    <w:p>
      <w:pPr>
        <w:pStyle w:val="ListParagraph"/>
        <w:numPr>
          <w:ilvl w:val="0"/>
          <w:numId w:val="1"/>
        </w:numPr>
        <w:spacing w:after="60"/>
      </w:pPr>
      <w:r>
        <w:rPr>
          <w:sz w:val="22"/>
          <w:szCs w:val="22"/>
          <w:rFonts w:ascii="Times New Roman" w:cs="Times New Roman" w:eastAsia="Times New Roman" w:hAnsi="Times New Roman"/>
        </w:rPr>
        <w:t xml:space="preserve">F3-07, F3-08: cần module thanh toán theo giai đoạn phác đồ.</w:t>
      </w:r>
    </w:p>
    <w:p>
      <w:pPr>
        <w:pStyle w:val="ListParagraph"/>
        <w:numPr>
          <w:ilvl w:val="0"/>
          <w:numId w:val="1"/>
        </w:numPr>
        <w:spacing w:after="60"/>
      </w:pPr>
      <w:r>
        <w:rPr>
          <w:sz w:val="22"/>
          <w:szCs w:val="22"/>
          <w:rFonts w:ascii="Times New Roman" w:cs="Times New Roman" w:eastAsia="Times New Roman" w:hAnsi="Times New Roman"/>
        </w:rPr>
        <w:t xml:space="preserve">GEN-07: mở rộng Audit Log cho điều chỉnh tồn kho và thao tác phác đồ.</w:t>
      </w:r>
    </w:p>
    <w:p>
      <w:pPr>
        <w:pStyle w:val="ListParagraph"/>
        <w:numPr>
          <w:ilvl w:val="0"/>
          <w:numId w:val="1"/>
        </w:numPr>
        <w:spacing w:after="60"/>
      </w:pPr>
      <w:r>
        <w:rPr>
          <w:sz w:val="22"/>
          <w:szCs w:val="22"/>
          <w:rFonts w:ascii="Times New Roman" w:cs="Times New Roman" w:eastAsia="Times New Roman" w:hAnsi="Times New Roman"/>
        </w:rPr>
        <w:t xml:space="preserve">BR_04, BR_11, BR_12 – BR_15: cần thêm flow thi đấu và flow tài chính.</w:t>
      </w:r>
    </w:p>
    <w:sectPr>
      <w:pgSz w:w="11906" w:h="16838" w:orient="portrait"/>
      <w:pgMar w:top="1000" w:right="10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2026-10-21T06:48:55.705Z</dcterms:created>
  <dcterms:modified xsi:type="dcterms:W3CDTF">2026-10-21T06:48:55.706Z</dcterms:modified>
</cp:coreProperties>
</file>

<file path=docProps/custom.xml><?xml version="1.0" encoding="utf-8"?>
<Properties xmlns="http://schemas.openxmlformats.org/officeDocument/2006/custom-properties" xmlns:vt="http://schemas.openxmlformats.org/officeDocument/2006/docPropsVTypes"/>
</file>