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33D17" w14:textId="77777777" w:rsidR="00325DB8" w:rsidRDefault="00DD02E3">
      <w:pPr>
        <w:spacing w:before="960"/>
        <w:ind w:firstLineChars="0" w:firstLine="0"/>
        <w:jc w:val="center"/>
        <w:rPr>
          <w:rFonts w:eastAsia="黑体"/>
          <w:b/>
          <w:sz w:val="48"/>
        </w:rPr>
      </w:pPr>
      <w:r>
        <w:rPr>
          <w:rFonts w:eastAsia="黑体"/>
          <w:sz w:val="56"/>
        </w:rPr>
        <w:t>电</w:t>
      </w:r>
      <w:r>
        <w:rPr>
          <w:rFonts w:eastAsia="黑体"/>
          <w:sz w:val="56"/>
        </w:rPr>
        <w:t xml:space="preserve"> </w:t>
      </w:r>
      <w:r>
        <w:rPr>
          <w:rFonts w:eastAsia="黑体"/>
          <w:sz w:val="56"/>
        </w:rPr>
        <w:t>子</w:t>
      </w:r>
      <w:r>
        <w:rPr>
          <w:rFonts w:eastAsia="黑体"/>
          <w:sz w:val="56"/>
        </w:rPr>
        <w:t xml:space="preserve"> </w:t>
      </w:r>
      <w:r>
        <w:rPr>
          <w:rFonts w:eastAsia="黑体"/>
          <w:sz w:val="56"/>
        </w:rPr>
        <w:t>科</w:t>
      </w:r>
      <w:r>
        <w:rPr>
          <w:rFonts w:eastAsia="黑体"/>
          <w:sz w:val="56"/>
        </w:rPr>
        <w:t xml:space="preserve"> </w:t>
      </w:r>
      <w:r>
        <w:rPr>
          <w:rFonts w:eastAsia="黑体"/>
          <w:sz w:val="56"/>
        </w:rPr>
        <w:t>技</w:t>
      </w:r>
      <w:r>
        <w:rPr>
          <w:rFonts w:eastAsia="黑体"/>
          <w:sz w:val="56"/>
        </w:rPr>
        <w:t xml:space="preserve"> </w:t>
      </w:r>
      <w:r>
        <w:rPr>
          <w:rFonts w:eastAsia="黑体"/>
          <w:sz w:val="56"/>
        </w:rPr>
        <w:t>大</w:t>
      </w:r>
      <w:r>
        <w:rPr>
          <w:rFonts w:eastAsia="黑体"/>
          <w:sz w:val="56"/>
        </w:rPr>
        <w:t xml:space="preserve"> </w:t>
      </w:r>
      <w:r>
        <w:rPr>
          <w:rFonts w:eastAsia="黑体"/>
          <w:sz w:val="56"/>
        </w:rPr>
        <w:t>学</w:t>
      </w:r>
    </w:p>
    <w:p w14:paraId="02133D18" w14:textId="77777777" w:rsidR="00325DB8" w:rsidRDefault="00DD02E3">
      <w:pPr>
        <w:spacing w:before="240" w:after="2160"/>
        <w:ind w:firstLineChars="0" w:firstLine="0"/>
        <w:jc w:val="center"/>
        <w:rPr>
          <w:rFonts w:eastAsia="黑体"/>
          <w:spacing w:val="50"/>
          <w:sz w:val="46"/>
          <w:szCs w:val="46"/>
        </w:rPr>
      </w:pPr>
      <w:r>
        <w:rPr>
          <w:rFonts w:eastAsia="黑体"/>
          <w:sz w:val="46"/>
        </w:rPr>
        <w:t>学术学位研究生学位论文中期考评表</w:t>
      </w:r>
    </w:p>
    <w:p w14:paraId="02133D19" w14:textId="55821C50" w:rsidR="00325DB8" w:rsidRDefault="00DD02E3">
      <w:pPr>
        <w:tabs>
          <w:tab w:val="left" w:pos="1276"/>
        </w:tabs>
        <w:spacing w:after="360" w:line="240" w:lineRule="auto"/>
        <w:ind w:firstLineChars="0" w:firstLine="0"/>
        <w:jc w:val="left"/>
        <w:rPr>
          <w:rFonts w:eastAsia="楷体"/>
          <w:sz w:val="30"/>
          <w:u w:val="single"/>
        </w:rPr>
      </w:pPr>
      <w:r>
        <w:rPr>
          <w:rFonts w:eastAsia="黑体"/>
          <w:sz w:val="30"/>
        </w:rPr>
        <w:tab/>
      </w:r>
      <w:r>
        <w:rPr>
          <w:rFonts w:eastAsia="黑体"/>
          <w:sz w:val="30"/>
        </w:rPr>
        <w:t>攻读学位级别：</w:t>
      </w:r>
      <w:r>
        <w:rPr>
          <w:rFonts w:eastAsia="黑体"/>
          <w:sz w:val="30"/>
        </w:rPr>
        <w:t xml:space="preserve"> □</w:t>
      </w:r>
      <w:r>
        <w:rPr>
          <w:rFonts w:eastAsia="黑体"/>
          <w:sz w:val="30"/>
        </w:rPr>
        <w:t>博士</w:t>
      </w:r>
      <w:r>
        <w:rPr>
          <w:rFonts w:eastAsia="黑体"/>
          <w:sz w:val="30"/>
        </w:rPr>
        <w:t xml:space="preserve">        </w:t>
      </w:r>
      <w:r w:rsidR="00903EA3" w:rsidRPr="00903EA3">
        <w:rPr>
          <w:rFonts w:ascii="Segoe UI Symbol" w:eastAsia="黑体" w:hAnsi="Segoe UI Symbol" w:cs="Segoe UI Symbol"/>
          <w:sz w:val="30"/>
        </w:rPr>
        <w:t>☑</w:t>
      </w:r>
      <w:r>
        <w:rPr>
          <w:rFonts w:eastAsia="黑体"/>
          <w:sz w:val="30"/>
        </w:rPr>
        <w:t>硕士</w:t>
      </w:r>
    </w:p>
    <w:p w14:paraId="02133D1A" w14:textId="77777777" w:rsidR="00325DB8" w:rsidRDefault="00DD02E3">
      <w:pPr>
        <w:tabs>
          <w:tab w:val="left" w:pos="1276"/>
        </w:tabs>
        <w:spacing w:after="360" w:line="240" w:lineRule="auto"/>
        <w:ind w:firstLineChars="0" w:firstLine="0"/>
        <w:jc w:val="left"/>
        <w:rPr>
          <w:rFonts w:eastAsia="黑体"/>
          <w:sz w:val="30"/>
        </w:rPr>
      </w:pPr>
      <w:r>
        <w:rPr>
          <w:rFonts w:eastAsia="黑体"/>
          <w:sz w:val="30"/>
        </w:rPr>
        <w:tab/>
      </w:r>
      <w:r>
        <w:rPr>
          <w:rFonts w:eastAsia="黑体"/>
          <w:sz w:val="30"/>
        </w:rPr>
        <w:t>学科专业：</w:t>
      </w:r>
      <w:r>
        <w:rPr>
          <w:rFonts w:eastAsia="黑体"/>
          <w:sz w:val="30"/>
        </w:rPr>
        <w:t xml:space="preserve">      </w:t>
      </w:r>
      <w:r>
        <w:rPr>
          <w:rFonts w:eastAsia="黑体"/>
          <w:sz w:val="30"/>
        </w:rPr>
        <w:t>控制科学与工程</w:t>
      </w:r>
      <w:r>
        <w:rPr>
          <w:rFonts w:eastAsia="黑体"/>
          <w:sz w:val="30"/>
        </w:rPr>
        <w:t xml:space="preserve">       </w:t>
      </w:r>
    </w:p>
    <w:p w14:paraId="02133D1B" w14:textId="77777777" w:rsidR="00325DB8" w:rsidRDefault="00DD02E3">
      <w:pPr>
        <w:tabs>
          <w:tab w:val="left" w:pos="1276"/>
        </w:tabs>
        <w:spacing w:after="360" w:line="240" w:lineRule="auto"/>
        <w:ind w:firstLineChars="0" w:firstLine="0"/>
        <w:jc w:val="left"/>
        <w:rPr>
          <w:rFonts w:eastAsia="楷体"/>
          <w:sz w:val="30"/>
          <w:u w:val="single"/>
        </w:rPr>
      </w:pPr>
      <w:r>
        <w:rPr>
          <w:rFonts w:eastAsia="黑体"/>
          <w:sz w:val="30"/>
        </w:rPr>
        <w:tab/>
      </w:r>
      <w:r>
        <w:rPr>
          <w:rFonts w:eastAsia="黑体"/>
          <w:sz w:val="30"/>
        </w:rPr>
        <w:t>学</w:t>
      </w:r>
      <w:r>
        <w:rPr>
          <w:rFonts w:eastAsia="黑体"/>
          <w:sz w:val="30"/>
        </w:rPr>
        <w:t xml:space="preserve">        </w:t>
      </w:r>
      <w:r>
        <w:rPr>
          <w:rFonts w:eastAsia="黑体"/>
          <w:sz w:val="30"/>
        </w:rPr>
        <w:t>院：</w:t>
      </w:r>
      <w:r>
        <w:rPr>
          <w:rFonts w:eastAsia="黑体"/>
          <w:sz w:val="30"/>
        </w:rPr>
        <w:t xml:space="preserve">      </w:t>
      </w:r>
      <w:r>
        <w:rPr>
          <w:rFonts w:eastAsia="黑体"/>
          <w:sz w:val="30"/>
        </w:rPr>
        <w:t>自动化工程学院</w:t>
      </w:r>
      <w:r>
        <w:rPr>
          <w:rFonts w:eastAsia="黑体"/>
          <w:sz w:val="30"/>
        </w:rPr>
        <w:t xml:space="preserve">       </w:t>
      </w:r>
    </w:p>
    <w:p w14:paraId="02133D1C" w14:textId="77777777" w:rsidR="00325DB8" w:rsidRDefault="00DD02E3">
      <w:pPr>
        <w:tabs>
          <w:tab w:val="left" w:pos="1276"/>
        </w:tabs>
        <w:spacing w:after="360" w:line="240" w:lineRule="auto"/>
        <w:ind w:firstLineChars="0" w:firstLine="0"/>
        <w:jc w:val="left"/>
        <w:rPr>
          <w:rFonts w:eastAsia="黑体"/>
          <w:sz w:val="30"/>
        </w:rPr>
      </w:pPr>
      <w:r>
        <w:rPr>
          <w:rFonts w:eastAsia="黑体"/>
          <w:sz w:val="30"/>
        </w:rPr>
        <w:tab/>
      </w:r>
      <w:r>
        <w:rPr>
          <w:rFonts w:eastAsia="黑体"/>
          <w:sz w:val="30"/>
        </w:rPr>
        <w:t>学</w:t>
      </w:r>
      <w:r>
        <w:rPr>
          <w:rFonts w:eastAsia="黑体"/>
          <w:sz w:val="30"/>
        </w:rPr>
        <w:t xml:space="preserve">        </w:t>
      </w:r>
      <w:r>
        <w:rPr>
          <w:rFonts w:eastAsia="黑体"/>
          <w:sz w:val="30"/>
        </w:rPr>
        <w:t>号：</w:t>
      </w:r>
      <w:r>
        <w:rPr>
          <w:rFonts w:eastAsia="黑体"/>
          <w:sz w:val="30"/>
        </w:rPr>
        <w:t xml:space="preserve">       202421060724        </w:t>
      </w:r>
    </w:p>
    <w:p w14:paraId="02133D1D" w14:textId="77777777" w:rsidR="00325DB8" w:rsidRDefault="00DD02E3">
      <w:pPr>
        <w:tabs>
          <w:tab w:val="left" w:pos="1276"/>
        </w:tabs>
        <w:spacing w:after="360" w:line="240" w:lineRule="auto"/>
        <w:ind w:firstLineChars="0" w:firstLine="0"/>
        <w:jc w:val="left"/>
        <w:rPr>
          <w:rFonts w:eastAsia="黑体"/>
          <w:sz w:val="30"/>
        </w:rPr>
      </w:pPr>
      <w:r>
        <w:rPr>
          <w:rFonts w:eastAsia="黑体"/>
          <w:sz w:val="30"/>
        </w:rPr>
        <w:tab/>
      </w:r>
      <w:r>
        <w:rPr>
          <w:rFonts w:eastAsia="黑体"/>
          <w:sz w:val="30"/>
        </w:rPr>
        <w:t>姓</w:t>
      </w:r>
      <w:r>
        <w:rPr>
          <w:rFonts w:eastAsia="黑体"/>
          <w:sz w:val="30"/>
        </w:rPr>
        <w:t xml:space="preserve">        </w:t>
      </w:r>
      <w:r>
        <w:rPr>
          <w:rFonts w:eastAsia="黑体"/>
          <w:sz w:val="30"/>
        </w:rPr>
        <w:t>名：</w:t>
      </w:r>
      <w:r>
        <w:rPr>
          <w:rFonts w:eastAsia="黑体"/>
          <w:sz w:val="30"/>
        </w:rPr>
        <w:t xml:space="preserve">           </w:t>
      </w:r>
      <w:r>
        <w:rPr>
          <w:rFonts w:eastAsia="黑体"/>
          <w:sz w:val="30"/>
        </w:rPr>
        <w:t>华羽霄</w:t>
      </w:r>
      <w:r>
        <w:rPr>
          <w:rFonts w:eastAsia="黑体"/>
          <w:sz w:val="30"/>
        </w:rPr>
        <w:t xml:space="preserve">          </w:t>
      </w:r>
    </w:p>
    <w:p w14:paraId="02133D1E" w14:textId="77777777" w:rsidR="00325DB8" w:rsidRDefault="00DD02E3">
      <w:pPr>
        <w:tabs>
          <w:tab w:val="left" w:pos="1276"/>
        </w:tabs>
        <w:spacing w:before="120" w:after="360" w:line="240" w:lineRule="auto"/>
        <w:ind w:firstLineChars="0" w:firstLine="0"/>
        <w:jc w:val="left"/>
        <w:rPr>
          <w:rFonts w:eastAsia="黑体"/>
          <w:sz w:val="30"/>
          <w:u w:val="single"/>
        </w:rPr>
      </w:pPr>
      <w:bookmarkStart w:id="0" w:name="OLE_LINK11"/>
      <w:bookmarkStart w:id="1" w:name="OLE_LINK10"/>
      <w:r>
        <w:rPr>
          <w:rFonts w:eastAsia="黑体"/>
          <w:sz w:val="30"/>
        </w:rPr>
        <w:tab/>
      </w:r>
      <w:r>
        <w:rPr>
          <w:rFonts w:eastAsia="黑体"/>
          <w:sz w:val="30"/>
        </w:rPr>
        <w:t>论文题目：</w:t>
      </w:r>
      <w:r>
        <w:rPr>
          <w:rFonts w:eastAsia="黑体"/>
          <w:sz w:val="30"/>
        </w:rPr>
        <w:t xml:space="preserve">  </w:t>
      </w:r>
      <w:r>
        <w:rPr>
          <w:rFonts w:eastAsia="黑体"/>
          <w:sz w:val="30"/>
        </w:rPr>
        <w:t>基于多模态逐级物理约束的</w:t>
      </w:r>
      <w:bookmarkEnd w:id="0"/>
      <w:bookmarkEnd w:id="1"/>
    </w:p>
    <w:p w14:paraId="02133D1F" w14:textId="77777777" w:rsidR="00325DB8" w:rsidRDefault="00DD02E3">
      <w:pPr>
        <w:tabs>
          <w:tab w:val="left" w:pos="1276"/>
        </w:tabs>
        <w:spacing w:after="360" w:line="240" w:lineRule="auto"/>
        <w:ind w:firstLineChars="0" w:firstLine="0"/>
        <w:jc w:val="left"/>
        <w:rPr>
          <w:rFonts w:eastAsia="黑体"/>
          <w:sz w:val="30"/>
        </w:rPr>
      </w:pPr>
      <w:r>
        <w:rPr>
          <w:rFonts w:eastAsia="黑体"/>
          <w:sz w:val="30"/>
        </w:rPr>
        <w:tab/>
        <w:t xml:space="preserve">                   </w:t>
      </w:r>
      <w:r>
        <w:rPr>
          <w:rFonts w:eastAsia="黑体"/>
          <w:sz w:val="30"/>
        </w:rPr>
        <w:t>无人机自主电磁超声探测技术研究</w:t>
      </w:r>
      <w:r>
        <w:rPr>
          <w:rFonts w:eastAsia="黑体"/>
          <w:sz w:val="30"/>
        </w:rPr>
        <w:t xml:space="preserve">    </w:t>
      </w:r>
    </w:p>
    <w:p w14:paraId="02133D20" w14:textId="77777777" w:rsidR="00325DB8" w:rsidRDefault="00DD02E3">
      <w:pPr>
        <w:tabs>
          <w:tab w:val="left" w:pos="1276"/>
        </w:tabs>
        <w:spacing w:after="360" w:line="240" w:lineRule="auto"/>
        <w:ind w:firstLineChars="0" w:firstLine="0"/>
        <w:jc w:val="left"/>
        <w:rPr>
          <w:rFonts w:eastAsia="黑体"/>
          <w:sz w:val="30"/>
          <w:u w:val="single"/>
        </w:rPr>
      </w:pPr>
      <w:r>
        <w:rPr>
          <w:rFonts w:eastAsia="黑体"/>
          <w:sz w:val="30"/>
        </w:rPr>
        <w:tab/>
      </w:r>
      <w:r>
        <w:rPr>
          <w:rFonts w:eastAsia="黑体"/>
          <w:sz w:val="30"/>
        </w:rPr>
        <w:t>指导教师：</w:t>
      </w:r>
      <w:r>
        <w:rPr>
          <w:rFonts w:eastAsia="黑体"/>
          <w:sz w:val="30"/>
        </w:rPr>
        <w:t xml:space="preserve">        </w:t>
      </w:r>
      <w:r>
        <w:rPr>
          <w:rFonts w:eastAsia="黑体"/>
          <w:sz w:val="30"/>
        </w:rPr>
        <w:t>高斌</w:t>
      </w:r>
      <w:r>
        <w:rPr>
          <w:rFonts w:eastAsia="黑体"/>
          <w:sz w:val="30"/>
        </w:rPr>
        <w:t xml:space="preserve">  </w:t>
      </w:r>
      <w:r>
        <w:rPr>
          <w:rFonts w:eastAsia="黑体"/>
          <w:sz w:val="30"/>
        </w:rPr>
        <w:t>教授</w:t>
      </w:r>
      <w:r>
        <w:rPr>
          <w:rFonts w:eastAsia="黑体"/>
          <w:sz w:val="30"/>
        </w:rPr>
        <w:t xml:space="preserve">         </w:t>
      </w:r>
    </w:p>
    <w:p w14:paraId="02133D21" w14:textId="77777777" w:rsidR="00325DB8" w:rsidRDefault="00DD02E3">
      <w:pPr>
        <w:tabs>
          <w:tab w:val="left" w:pos="1276"/>
        </w:tabs>
        <w:spacing w:after="360" w:line="240" w:lineRule="auto"/>
        <w:ind w:firstLineChars="0" w:firstLine="0"/>
        <w:jc w:val="left"/>
        <w:rPr>
          <w:rFonts w:eastAsia="黑体"/>
          <w:sz w:val="30"/>
          <w:u w:val="single"/>
        </w:rPr>
      </w:pPr>
      <w:r>
        <w:rPr>
          <w:rFonts w:eastAsia="黑体"/>
          <w:sz w:val="30"/>
        </w:rPr>
        <w:tab/>
      </w:r>
      <w:r>
        <w:rPr>
          <w:rFonts w:eastAsia="黑体"/>
          <w:sz w:val="30"/>
        </w:rPr>
        <w:t>填表日期：</w:t>
      </w:r>
      <w:r>
        <w:rPr>
          <w:rFonts w:eastAsia="黑体"/>
          <w:sz w:val="30"/>
        </w:rPr>
        <w:t xml:space="preserve">  2026  </w:t>
      </w:r>
      <w:r>
        <w:rPr>
          <w:rFonts w:eastAsia="黑体"/>
          <w:sz w:val="30"/>
        </w:rPr>
        <w:t>年</w:t>
      </w:r>
      <w:r>
        <w:rPr>
          <w:rFonts w:eastAsia="黑体"/>
          <w:sz w:val="30"/>
        </w:rPr>
        <w:t xml:space="preserve">   5  </w:t>
      </w:r>
      <w:r>
        <w:rPr>
          <w:rFonts w:eastAsia="黑体"/>
          <w:sz w:val="30"/>
        </w:rPr>
        <w:t>月</w:t>
      </w:r>
      <w:r>
        <w:rPr>
          <w:rFonts w:eastAsia="黑体"/>
          <w:sz w:val="30"/>
        </w:rPr>
        <w:t xml:space="preserve">   27   </w:t>
      </w:r>
      <w:r>
        <w:rPr>
          <w:rFonts w:eastAsia="黑体"/>
          <w:sz w:val="30"/>
        </w:rPr>
        <w:t>日</w:t>
      </w:r>
    </w:p>
    <w:p w14:paraId="02133D22" w14:textId="77777777" w:rsidR="00325DB8" w:rsidRDefault="00325DB8">
      <w:pPr>
        <w:tabs>
          <w:tab w:val="left" w:pos="1276"/>
        </w:tabs>
        <w:spacing w:after="360" w:line="240" w:lineRule="auto"/>
        <w:ind w:firstLineChars="0" w:firstLine="0"/>
        <w:jc w:val="left"/>
        <w:rPr>
          <w:rFonts w:eastAsia="楷体"/>
          <w:sz w:val="32"/>
        </w:rPr>
      </w:pPr>
    </w:p>
    <w:p w14:paraId="02133D23" w14:textId="77777777" w:rsidR="00325DB8" w:rsidRDefault="00DD02E3">
      <w:pPr>
        <w:tabs>
          <w:tab w:val="left" w:pos="1276"/>
        </w:tabs>
        <w:spacing w:line="240" w:lineRule="auto"/>
        <w:ind w:firstLineChars="1200" w:firstLine="3840"/>
        <w:jc w:val="left"/>
        <w:rPr>
          <w:rFonts w:eastAsia="黑体"/>
          <w:sz w:val="30"/>
          <w:u w:val="single"/>
        </w:rPr>
        <w:sectPr w:rsidR="00325DB8">
          <w:headerReference w:type="even" r:id="rId8"/>
          <w:headerReference w:type="default" r:id="rId9"/>
          <w:footerReference w:type="even" r:id="rId10"/>
          <w:footerReference w:type="default" r:id="rId11"/>
          <w:headerReference w:type="first" r:id="rId12"/>
          <w:footerReference w:type="first" r:id="rId13"/>
          <w:pgSz w:w="11906" w:h="16838"/>
          <w:pgMar w:top="1418" w:right="1191" w:bottom="1418" w:left="1474" w:header="851" w:footer="992" w:gutter="0"/>
          <w:cols w:space="720"/>
          <w:formProt w:val="0"/>
          <w:docGrid w:linePitch="312"/>
        </w:sectPr>
      </w:pPr>
      <w:r>
        <w:rPr>
          <w:rFonts w:eastAsia="楷体"/>
          <w:sz w:val="32"/>
        </w:rPr>
        <w:t>电子科技大学研究生院</w:t>
      </w:r>
    </w:p>
    <w:p w14:paraId="02133D24" w14:textId="77777777" w:rsidR="00325DB8" w:rsidRDefault="00DD02E3">
      <w:pPr>
        <w:numPr>
          <w:ilvl w:val="0"/>
          <w:numId w:val="1"/>
        </w:numPr>
        <w:ind w:left="0" w:firstLineChars="0" w:firstLine="0"/>
        <w:jc w:val="center"/>
        <w:rPr>
          <w:rFonts w:eastAsia="黑体"/>
          <w:bCs/>
          <w:sz w:val="28"/>
        </w:rPr>
      </w:pPr>
      <w:r>
        <w:rPr>
          <w:rFonts w:eastAsia="黑体"/>
          <w:sz w:val="28"/>
        </w:rPr>
        <w:lastRenderedPageBreak/>
        <w:t>已完成的主要工作</w:t>
      </w:r>
    </w:p>
    <w:tbl>
      <w:tblPr>
        <w:tblW w:w="5000" w:type="pct"/>
        <w:jc w:val="center"/>
        <w:tblLayout w:type="fixed"/>
        <w:tblCellMar>
          <w:top w:w="80" w:type="dxa"/>
          <w:left w:w="100" w:type="dxa"/>
          <w:bottom w:w="80" w:type="dxa"/>
          <w:right w:w="100" w:type="dxa"/>
        </w:tblCellMar>
        <w:tblLook w:val="0000" w:firstRow="0" w:lastRow="0" w:firstColumn="0" w:lastColumn="0" w:noHBand="0" w:noVBand="0"/>
      </w:tblPr>
      <w:tblGrid>
        <w:gridCol w:w="1151"/>
        <w:gridCol w:w="2403"/>
        <w:gridCol w:w="1839"/>
        <w:gridCol w:w="378"/>
        <w:gridCol w:w="3857"/>
      </w:tblGrid>
      <w:tr w:rsidR="00325DB8" w14:paraId="02133D26"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5" w14:textId="77777777" w:rsidR="00325DB8" w:rsidRDefault="00DD02E3">
            <w:pPr>
              <w:spacing w:line="276" w:lineRule="auto"/>
              <w:ind w:firstLine="420"/>
              <w:jc w:val="left"/>
            </w:pPr>
            <w:r>
              <w:t>1.</w:t>
            </w:r>
            <w:r>
              <w:t>开题报告通过时间：</w:t>
            </w:r>
            <w:r>
              <w:t xml:space="preserve"> 2026  </w:t>
            </w:r>
            <w:r>
              <w:t>年</w:t>
            </w:r>
            <w:r>
              <w:t xml:space="preserve">  2  </w:t>
            </w:r>
            <w:r>
              <w:t>月</w:t>
            </w:r>
            <w:r>
              <w:t xml:space="preserve">  25  </w:t>
            </w:r>
            <w:r>
              <w:t>日</w:t>
            </w:r>
          </w:p>
        </w:tc>
      </w:tr>
      <w:tr w:rsidR="00325DB8" w14:paraId="02133D28"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7" w14:textId="77777777" w:rsidR="00325DB8" w:rsidRDefault="00DD02E3">
            <w:pPr>
              <w:spacing w:line="276" w:lineRule="auto"/>
              <w:ind w:firstLine="420"/>
              <w:jc w:val="left"/>
            </w:pPr>
            <w:r>
              <w:t xml:space="preserve">2. </w:t>
            </w:r>
            <w:r>
              <w:t>课程学习情况</w:t>
            </w:r>
          </w:p>
        </w:tc>
      </w:tr>
      <w:tr w:rsidR="00325DB8" w14:paraId="02133D2B" w14:textId="77777777">
        <w:trPr>
          <w:trHeight w:val="340"/>
          <w:jc w:val="center"/>
        </w:trPr>
        <w:tc>
          <w:tcPr>
            <w:tcW w:w="5399" w:type="dxa"/>
            <w:gridSpan w:val="3"/>
            <w:tcBorders>
              <w:top w:val="single" w:sz="4" w:space="0" w:color="000000"/>
              <w:left w:val="single" w:sz="4" w:space="0" w:color="000000"/>
              <w:bottom w:val="single" w:sz="4" w:space="0" w:color="000000"/>
              <w:right w:val="single" w:sz="4" w:space="0" w:color="000000"/>
            </w:tcBorders>
            <w:vAlign w:val="center"/>
          </w:tcPr>
          <w:p w14:paraId="02133D29" w14:textId="77777777" w:rsidR="00325DB8" w:rsidRDefault="00DD02E3">
            <w:pPr>
              <w:spacing w:line="276" w:lineRule="auto"/>
              <w:ind w:firstLine="420"/>
              <w:jc w:val="center"/>
            </w:pPr>
            <w:r>
              <w:t>是否已达到培养方案规定的学分要求</w:t>
            </w:r>
          </w:p>
        </w:tc>
        <w:tc>
          <w:tcPr>
            <w:tcW w:w="4239" w:type="dxa"/>
            <w:gridSpan w:val="2"/>
            <w:tcBorders>
              <w:top w:val="single" w:sz="4" w:space="0" w:color="000000"/>
              <w:left w:val="single" w:sz="4" w:space="0" w:color="000000"/>
              <w:bottom w:val="single" w:sz="4" w:space="0" w:color="000000"/>
              <w:right w:val="single" w:sz="4" w:space="0" w:color="000000"/>
            </w:tcBorders>
            <w:vAlign w:val="center"/>
          </w:tcPr>
          <w:p w14:paraId="02133D2A" w14:textId="2A18F5AE" w:rsidR="00325DB8" w:rsidRDefault="001572D3">
            <w:pPr>
              <w:spacing w:line="276" w:lineRule="auto"/>
              <w:ind w:firstLine="420"/>
              <w:jc w:val="center"/>
            </w:pPr>
            <w:r w:rsidRPr="001572D3">
              <w:rPr>
                <w:rFonts w:ascii="Segoe UI Symbol" w:hAnsi="Segoe UI Symbol" w:cs="Segoe UI Symbol"/>
              </w:rPr>
              <w:t>☑</w:t>
            </w:r>
            <w:r w:rsidR="00DD02E3">
              <w:t>是</w:t>
            </w:r>
            <w:r w:rsidR="00DD02E3">
              <w:t xml:space="preserve">   □</w:t>
            </w:r>
            <w:r w:rsidR="00DD02E3">
              <w:t>否</w:t>
            </w:r>
          </w:p>
        </w:tc>
      </w:tr>
      <w:tr w:rsidR="00325DB8" w14:paraId="02133D2D"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C" w14:textId="77777777" w:rsidR="00325DB8" w:rsidRDefault="00DD02E3">
            <w:pPr>
              <w:spacing w:line="276" w:lineRule="auto"/>
              <w:ind w:firstLine="420"/>
              <w:jc w:val="left"/>
            </w:pPr>
            <w:r>
              <w:t xml:space="preserve">3. </w:t>
            </w:r>
            <w:r>
              <w:t>论文研究进展</w:t>
            </w:r>
          </w:p>
        </w:tc>
      </w:tr>
      <w:tr w:rsidR="00325DB8" w14:paraId="02133D9A" w14:textId="77777777">
        <w:trPr>
          <w:trHeight w:val="6936"/>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2E" w14:textId="77777777" w:rsidR="00325DB8" w:rsidRDefault="00DD02E3">
            <w:pPr>
              <w:spacing w:line="300" w:lineRule="auto"/>
              <w:ind w:firstLine="420"/>
              <w:jc w:val="left"/>
            </w:pPr>
            <w:r>
              <w:t>从理论分析或计算部分、实验（或实证）工作等方面进行总结（可续页）</w:t>
            </w:r>
          </w:p>
          <w:p w14:paraId="02133D2F" w14:textId="77777777" w:rsidR="00325DB8" w:rsidRDefault="00DD02E3">
            <w:pPr>
              <w:spacing w:before="40" w:after="40" w:line="300" w:lineRule="auto"/>
              <w:ind w:firstLine="442"/>
              <w:jc w:val="left"/>
            </w:pPr>
            <w:r>
              <w:rPr>
                <w:rFonts w:eastAsia="黑体"/>
                <w:b/>
                <w:sz w:val="22"/>
              </w:rPr>
              <w:t>1</w:t>
            </w:r>
            <w:r>
              <w:rPr>
                <w:rFonts w:eastAsia="黑体"/>
                <w:b/>
                <w:sz w:val="22"/>
              </w:rPr>
              <w:t>、概述</w:t>
            </w:r>
          </w:p>
          <w:p w14:paraId="02133D30" w14:textId="77777777" w:rsidR="00325DB8" w:rsidRDefault="00DD02E3">
            <w:pPr>
              <w:spacing w:line="300" w:lineRule="auto"/>
              <w:ind w:firstLine="420"/>
              <w:jc w:val="left"/>
            </w:pPr>
            <w:r>
              <w:t>本课题面向无人机无损检测中探头接触状态难以精确判定的核心问题，构建融合电磁超声回波、位姿误差及</w:t>
            </w:r>
            <w:r>
              <w:t>RGBD</w:t>
            </w:r>
            <w:r>
              <w:t>视觉特征的多模态时序感知模型。自开题以来，课题按计划推进，已完成文献调研、实验平台搭建、</w:t>
            </w:r>
            <w:r>
              <w:t>EMAT</w:t>
            </w:r>
            <w:r>
              <w:t>硬件开发及数据采集系统构建等关键工作。当前处于多模态融合算法设计与实验验证阶段。</w:t>
            </w:r>
          </w:p>
          <w:p w14:paraId="02133D31" w14:textId="77777777" w:rsidR="00325DB8" w:rsidRDefault="00DD02E3">
            <w:pPr>
              <w:spacing w:before="40" w:after="40" w:line="300" w:lineRule="auto"/>
              <w:ind w:firstLine="442"/>
              <w:jc w:val="left"/>
            </w:pPr>
            <w:r>
              <w:rPr>
                <w:rFonts w:eastAsia="黑体" w:hint="eastAsia"/>
                <w:b/>
                <w:sz w:val="22"/>
              </w:rPr>
              <w:t>2</w:t>
            </w:r>
            <w:r>
              <w:rPr>
                <w:rFonts w:eastAsia="黑体"/>
                <w:b/>
                <w:sz w:val="22"/>
              </w:rPr>
              <w:t>、理论分析</w:t>
            </w:r>
          </w:p>
          <w:p w14:paraId="02133D32" w14:textId="77777777" w:rsidR="00325DB8" w:rsidRDefault="00DD02E3">
            <w:pPr>
              <w:spacing w:before="40" w:after="20" w:line="300" w:lineRule="auto"/>
              <w:ind w:firstLine="422"/>
              <w:jc w:val="left"/>
            </w:pPr>
            <w:r>
              <w:rPr>
                <w:rFonts w:eastAsia="黑体" w:hint="eastAsia"/>
                <w:b/>
              </w:rPr>
              <w:t>2</w:t>
            </w:r>
            <w:r>
              <w:rPr>
                <w:rFonts w:eastAsia="黑体"/>
                <w:b/>
              </w:rPr>
              <w:t xml:space="preserve">.1 </w:t>
            </w:r>
            <w:r>
              <w:rPr>
                <w:rFonts w:eastAsia="黑体"/>
                <w:b/>
              </w:rPr>
              <w:t>电磁超声换能的电磁</w:t>
            </w:r>
            <w:r>
              <w:rPr>
                <w:rFonts w:eastAsia="黑体"/>
                <w:b/>
              </w:rPr>
              <w:t>—</w:t>
            </w:r>
            <w:r>
              <w:rPr>
                <w:rFonts w:eastAsia="黑体"/>
                <w:b/>
              </w:rPr>
              <w:t>弹性耦合机制</w:t>
            </w:r>
          </w:p>
          <w:p w14:paraId="02133D33" w14:textId="77777777" w:rsidR="00325DB8" w:rsidRDefault="00DD02E3">
            <w:pPr>
              <w:spacing w:line="300" w:lineRule="auto"/>
              <w:ind w:firstLine="420"/>
              <w:jc w:val="left"/>
            </w:pPr>
            <w:r>
              <w:t>电磁超声检测的独特价值在于，它把探头与结构之间的接触问题从</w:t>
            </w:r>
            <w:r>
              <w:t>“</w:t>
            </w:r>
            <w:r>
              <w:t>是否有耦合剂</w:t>
            </w:r>
            <w:r>
              <w:t>”</w:t>
            </w:r>
            <w:r>
              <w:t>转化为</w:t>
            </w:r>
            <w:r>
              <w:t>“</w:t>
            </w:r>
            <w:r>
              <w:t>电磁场、材料边界与机械约束是否共同产生可解释的回波</w:t>
            </w:r>
            <w:r>
              <w:t>”</w:t>
            </w:r>
            <w:r>
              <w:t>。在无人机平台上，这一点尤为关键：机体姿态、末端压力和探头升距会同时改变回波幅值与相位，使单一阈值不再可靠。因此，本研究首先从电磁</w:t>
            </w:r>
            <w:r>
              <w:t>—</w:t>
            </w:r>
            <w:r>
              <w:t>弹性耦合出发，将</w:t>
            </w:r>
            <w:r>
              <w:t>EMAT</w:t>
            </w:r>
            <w:r>
              <w:t>信号视为由激励、传播、反射和接收四个环节串联形成的可观测动态过程。</w:t>
            </w:r>
          </w:p>
          <w:p w14:paraId="02133D34" w14:textId="77777777" w:rsidR="00325DB8" w:rsidRDefault="00DD02E3">
            <w:pPr>
              <w:spacing w:line="300" w:lineRule="auto"/>
              <w:ind w:firstLine="420"/>
              <w:jc w:val="left"/>
            </w:pPr>
            <w:r>
              <w:t>在导电材料表面，交变线圈诱导涡流，涡流与永磁体提供的静磁场相互作用，形成洛伦兹体力。该体力并不是抽象的信号源，而是直接进入材料弹性动力学方程的体载荷项，决定超声波初始能量、极化方向与空间分布。其基本形式写作：</w:t>
            </w:r>
          </w:p>
          <w:p w14:paraId="02133D35" w14:textId="77777777" w:rsidR="00325DB8" w:rsidRDefault="00DD02E3">
            <w:pPr>
              <w:spacing w:before="60" w:after="60" w:line="300" w:lineRule="auto"/>
              <w:ind w:firstLine="420"/>
              <w:jc w:val="center"/>
            </w:pPr>
            <m:oMathPara>
              <m:oMathParaPr>
                <m:jc m:val="center"/>
              </m:oMathParaPr>
              <m:oMath>
                <m:r>
                  <m:rPr>
                    <m:lit/>
                    <m:nor/>
                  </m:rPr>
                  <m:t>L=</m:t>
                </m:r>
                <m:r>
                  <w:rPr>
                    <w:rFonts w:ascii="Cambria Math" w:hAnsi="Cambria Math"/>
                  </w:rPr>
                  <m:t>J×B</m:t>
                </m:r>
              </m:oMath>
            </m:oMathPara>
          </w:p>
          <w:p w14:paraId="02133D36" w14:textId="77777777" w:rsidR="00325DB8" w:rsidRDefault="00DD02E3">
            <w:pPr>
              <w:spacing w:line="300" w:lineRule="auto"/>
              <w:ind w:firstLine="420"/>
              <w:jc w:val="left"/>
            </w:pPr>
            <w:r>
              <w:t>其中电流密度由材料电导率、局部电场和运动诱导项共同决定：</w:t>
            </w:r>
          </w:p>
          <w:p w14:paraId="02133D37" w14:textId="77777777" w:rsidR="00325DB8" w:rsidRDefault="00DD02E3">
            <w:pPr>
              <w:spacing w:before="60" w:after="60" w:line="300" w:lineRule="auto"/>
              <w:ind w:firstLine="420"/>
              <w:jc w:val="center"/>
            </w:pPr>
            <m:oMathPara>
              <m:oMathParaPr>
                <m:jc m:val="center"/>
              </m:oMathParaPr>
              <m:oMath>
                <m:r>
                  <w:rPr>
                    <w:rFonts w:ascii="Cambria Math" w:hAnsi="Cambria Math"/>
                  </w:rPr>
                  <m:t>J</m:t>
                </m:r>
                <m:r>
                  <m:rPr>
                    <m:lit/>
                    <m:nor/>
                  </m:rPr>
                  <m:t>=</m:t>
                </m:r>
                <m:r>
                  <w:rPr>
                    <w:rFonts w:ascii="Cambria Math" w:hAnsi="Cambria Math"/>
                  </w:rPr>
                  <m:t>σ</m:t>
                </m:r>
                <m:d>
                  <m:dPr>
                    <m:ctrlPr>
                      <w:rPr>
                        <w:rFonts w:ascii="Cambria Math" w:hAnsi="Cambria Math"/>
                      </w:rPr>
                    </m:ctrlPr>
                  </m:dPr>
                  <m:e>
                    <m:r>
                      <w:rPr>
                        <w:rFonts w:ascii="Cambria Math" w:hAnsi="Cambria Math"/>
                      </w:rPr>
                      <m:t>E</m:t>
                    </m:r>
                    <m:r>
                      <m:rPr>
                        <m:lit/>
                        <m:nor/>
                      </m:rPr>
                      <m:t>+</m:t>
                    </m:r>
                    <m:r>
                      <w:rPr>
                        <w:rFonts w:ascii="Cambria Math" w:hAnsi="Cambria Math"/>
                      </w:rPr>
                      <m:t>v×B</m:t>
                    </m:r>
                  </m:e>
                </m:d>
              </m:oMath>
            </m:oMathPara>
          </w:p>
          <w:p w14:paraId="02133D38" w14:textId="77777777" w:rsidR="00325DB8" w:rsidRDefault="00DD02E3">
            <w:pPr>
              <w:spacing w:line="300" w:lineRule="auto"/>
              <w:ind w:firstLine="420"/>
              <w:jc w:val="left"/>
            </w:pPr>
            <w:r>
              <w:t>该表达式说明，</w:t>
            </w:r>
            <w:r>
              <w:t>EMAT</w:t>
            </w:r>
            <w:r>
              <w:t>信号天然携带材料电磁属性和相对运动信息。对于无人机检测而言，探头微小的法向摆动会改变升距与涡流分布，切向速度会改变等效运动项，因而回波变化不能简单归因于缺陷或厚度变化，而应在位姿与接触状态约束下联合解释。</w:t>
            </w:r>
          </w:p>
          <w:p w14:paraId="02133D39" w14:textId="77777777" w:rsidR="00325DB8" w:rsidRDefault="00DD02E3">
            <w:pPr>
              <w:spacing w:line="300" w:lineRule="auto"/>
              <w:ind w:firstLine="420"/>
              <w:jc w:val="left"/>
            </w:pPr>
            <w:r>
              <w:t>超声波在材料中的传播可由弹性动力学方程描述。为了把物理先验转化为可用于学习模型的约束，本研究采用连续介质力学中的位移场表示，将</w:t>
            </w:r>
            <w:r>
              <w:t>EMAT</w:t>
            </w:r>
            <w:r>
              <w:t>激励作为外部体力输入：</w:t>
            </w:r>
          </w:p>
          <w:p w14:paraId="02133D3A" w14:textId="77777777" w:rsidR="00325DB8" w:rsidRDefault="00DD02E3">
            <w:pPr>
              <w:spacing w:before="60" w:after="60" w:line="300" w:lineRule="auto"/>
              <w:ind w:firstLine="420"/>
              <w:jc w:val="center"/>
            </w:pPr>
            <m:oMathPara>
              <m:oMathParaPr>
                <m:jc m:val="center"/>
              </m:oMathParaPr>
              <m:oMath>
                <m:r>
                  <w:rPr>
                    <w:rFonts w:ascii="Cambria Math" w:hAnsi="Cambria Math"/>
                  </w:rPr>
                  <m:t>ρ</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m:rPr>
                    <m:lit/>
                    <m:nor/>
                  </m:rPr>
                  <m:t>=</m:t>
                </m:r>
                <m:r>
                  <w:rPr>
                    <w:rFonts w:ascii="Cambria Math" w:hAnsi="Cambria Math"/>
                  </w:rPr>
                  <m:t>∇⋅σ</m:t>
                </m:r>
                <m:r>
                  <m:rPr>
                    <m:lit/>
                    <m:nor/>
                  </m:rPr>
                  <m:t>+L</m:t>
                </m:r>
              </m:oMath>
            </m:oMathPara>
          </w:p>
          <w:p w14:paraId="02133D3B" w14:textId="77777777" w:rsidR="00325DB8" w:rsidRDefault="00DD02E3">
            <w:pPr>
              <w:spacing w:line="300" w:lineRule="auto"/>
              <w:ind w:firstLine="420"/>
              <w:jc w:val="left"/>
            </w:pPr>
            <w:r>
              <w:t>在各向同性近似下，应力与应变满足线弹性关系：</w:t>
            </w:r>
          </w:p>
          <w:p w14:paraId="02133D3C" w14:textId="77777777" w:rsidR="00325DB8" w:rsidRDefault="00DD02E3">
            <w:pPr>
              <w:spacing w:before="60" w:after="60" w:line="300" w:lineRule="auto"/>
              <w:ind w:firstLine="420"/>
              <w:jc w:val="center"/>
            </w:pPr>
            <m:oMathPara>
              <m:oMathParaPr>
                <m:jc m:val="center"/>
              </m:oMathParaPr>
              <m:oMath>
                <m:r>
                  <w:rPr>
                    <w:rFonts w:ascii="Cambria Math" w:hAnsi="Cambria Math"/>
                  </w:rPr>
                  <m:t>σ</m:t>
                </m:r>
                <m:r>
                  <m:rPr>
                    <m:lit/>
                    <m:nor/>
                  </m:rPr>
                  <m:t>=</m:t>
                </m:r>
                <m:r>
                  <w:rPr>
                    <w:rFonts w:ascii="Cambria Math" w:hAnsi="Cambria Math"/>
                  </w:rPr>
                  <m:t>C:ε,ε</m:t>
                </m:r>
                <m:r>
                  <m:rPr>
                    <m:lit/>
                    <m:nor/>
                  </m: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∇u</m:t>
                    </m:r>
                    <m:r>
                      <m:rPr>
                        <m:lit/>
                        <m:nor/>
                      </m:rPr>
                      <m:t>+</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T</m:t>
                        </m:r>
                      </m:sup>
                    </m:sSup>
                  </m:e>
                </m:d>
              </m:oMath>
            </m:oMathPara>
          </w:p>
          <w:p w14:paraId="02133D3D" w14:textId="77777777" w:rsidR="00325DB8" w:rsidRDefault="00DD02E3">
            <w:pPr>
              <w:spacing w:line="300" w:lineRule="auto"/>
              <w:ind w:firstLine="420"/>
              <w:jc w:val="left"/>
            </w:pPr>
            <w:r>
              <w:t>由此可得到纵波与横波的传播速度：</w:t>
            </w:r>
          </w:p>
          <w:p w14:paraId="02133D3E" w14:textId="77777777" w:rsidR="00325DB8" w:rsidRDefault="00380551">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c</m:t>
                    </m:r>
                  </m:e>
                  <m:sub>
                    <m:r>
                      <m:rPr>
                        <m:lit/>
                        <m:nor/>
                      </m:rPr>
                      <m:t>L</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λ</m:t>
                        </m:r>
                        <m:r>
                          <m:rPr>
                            <m:lit/>
                            <m:nor/>
                          </m:rPr>
                          <m:t>+</m:t>
                        </m:r>
                        <m:r>
                          <w:rPr>
                            <w:rFonts w:ascii="Cambria Math" w:hAnsi="Cambria Math"/>
                          </w:rPr>
                          <m:t>2μ</m:t>
                        </m:r>
                      </m:num>
                      <m:den>
                        <m:r>
                          <w:rPr>
                            <w:rFonts w:ascii="Cambria Math" w:hAnsi="Cambria Math"/>
                          </w:rPr>
                          <m:t>ρ</m:t>
                        </m:r>
                      </m:den>
                    </m:f>
                  </m:e>
                </m:rad>
                <m:r>
                  <w:rPr>
                    <w:rFonts w:ascii="Cambria Math" w:hAnsi="Cambria Math"/>
                  </w:rPr>
                  <m:t>,</m:t>
                </m:r>
                <m:sSub>
                  <m:sSubPr>
                    <m:ctrlPr>
                      <w:rPr>
                        <w:rFonts w:ascii="Cambria Math" w:hAnsi="Cambria Math"/>
                      </w:rPr>
                    </m:ctrlPr>
                  </m:sSubPr>
                  <m:e>
                    <m:r>
                      <w:rPr>
                        <w:rFonts w:ascii="Cambria Math" w:hAnsi="Cambria Math"/>
                      </w:rPr>
                      <m:t>c</m:t>
                    </m:r>
                  </m:e>
                  <m:sub>
                    <m:r>
                      <m:rPr>
                        <m:lit/>
                        <m:nor/>
                      </m:rPr>
                      <m:t>T</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μ</m:t>
                        </m:r>
                      </m:num>
                      <m:den>
                        <m:r>
                          <w:rPr>
                            <w:rFonts w:ascii="Cambria Math" w:hAnsi="Cambria Math"/>
                          </w:rPr>
                          <m:t>ρ</m:t>
                        </m:r>
                      </m:den>
                    </m:f>
                  </m:e>
                </m:rad>
              </m:oMath>
            </m:oMathPara>
          </w:p>
          <w:p w14:paraId="02133D3F" w14:textId="77777777" w:rsidR="00325DB8" w:rsidRDefault="00DD02E3">
            <w:pPr>
              <w:spacing w:line="300" w:lineRule="auto"/>
              <w:ind w:firstLine="420"/>
              <w:jc w:val="left"/>
            </w:pPr>
            <w:r>
              <w:lastRenderedPageBreak/>
              <w:t>这些关系为后续模型提供了两个重要约束：一是有效回波的到达时间应与材料厚度和波速处于同一物理量级；二是接触状态变化引起的信号扰动必须表现为连续的幅相变化，而不应在相邻时间帧之间出现无法由无人机动力学解释的突变。</w:t>
            </w:r>
          </w:p>
          <w:p w14:paraId="02133D40" w14:textId="63867660" w:rsidR="00325DB8" w:rsidRDefault="00DD02E3">
            <w:pPr>
              <w:spacing w:line="300" w:lineRule="auto"/>
              <w:ind w:firstLine="420"/>
              <w:jc w:val="left"/>
            </w:pPr>
            <w:r>
              <w:t>EMAT</w:t>
            </w:r>
            <w:r>
              <w:t>回波的每一个峰值都对应一次由电磁换能、弹性传播和边界反射共同决定的能量转移；无人机姿态的每一次微小调整，都会通过升距、法向角和切向滑移改变这一能量转移效率。由此，本课题把</w:t>
            </w:r>
            <w:r>
              <w:t>“</w:t>
            </w:r>
            <w:r>
              <w:t>能否检测</w:t>
            </w:r>
            <w:r>
              <w:t>”</w:t>
            </w:r>
            <w:r>
              <w:t>定义为一个物理可观测性问题：只有当姿态稳定、升距合理且回波统计可重复时，后续厚度或缺陷分析才具有可信基础。</w:t>
            </w:r>
          </w:p>
          <w:p w14:paraId="02133D41" w14:textId="77777777" w:rsidR="00325DB8" w:rsidRDefault="00DD02E3">
            <w:pPr>
              <w:spacing w:before="40" w:after="20" w:line="300" w:lineRule="auto"/>
              <w:ind w:firstLine="422"/>
              <w:jc w:val="left"/>
            </w:pPr>
            <w:r>
              <w:rPr>
                <w:rFonts w:eastAsia="黑体" w:hint="eastAsia"/>
                <w:b/>
              </w:rPr>
              <w:t>2</w:t>
            </w:r>
            <w:r>
              <w:rPr>
                <w:rFonts w:eastAsia="黑体"/>
                <w:b/>
              </w:rPr>
              <w:t xml:space="preserve">.2 </w:t>
            </w:r>
            <w:r>
              <w:rPr>
                <w:rFonts w:eastAsia="黑体"/>
                <w:b/>
              </w:rPr>
              <w:t>接触边界、升距效应与回波统计表征</w:t>
            </w:r>
          </w:p>
          <w:p w14:paraId="02133D42" w14:textId="77777777" w:rsidR="00325DB8" w:rsidRDefault="00DD02E3">
            <w:pPr>
              <w:spacing w:line="300" w:lineRule="auto"/>
              <w:ind w:firstLine="420"/>
              <w:jc w:val="left"/>
            </w:pPr>
            <w:r>
              <w:t>EMAT</w:t>
            </w:r>
            <w:r>
              <w:t>常被称为非接触式超声技术，但在无人机自主检测任务中，探头与被测表面的相对位置仍然是决定信号质量的核心变量。升距过大时，涡流密度和磁场耦合效率迅速衰减；接触压力过大时，机体姿态扰动和表面摩擦又会破坏稳定扫查。因此，本课题所说的接触状态并非传统压电探头意义上的耦合剂接触，而是一个由升距、法向约束、末端力学稳定性和回波可观测性共同定义的工作状态。</w:t>
            </w:r>
          </w:p>
          <w:p w14:paraId="02133D43" w14:textId="77777777" w:rsidR="00325DB8" w:rsidRDefault="00DD02E3">
            <w:pPr>
              <w:spacing w:line="300" w:lineRule="auto"/>
              <w:ind w:firstLine="420"/>
              <w:jc w:val="left"/>
            </w:pPr>
            <w:r>
              <w:t>在时域上，接收回波可以近似写成带衰减包络和噪声项的调制信号：</w:t>
            </w:r>
          </w:p>
          <w:p w14:paraId="02133D44" w14:textId="77777777" w:rsidR="00325DB8" w:rsidRDefault="00DD02E3">
            <w:pPr>
              <w:spacing w:before="60" w:after="60" w:line="300" w:lineRule="auto"/>
              <w:ind w:firstLine="420"/>
              <w:jc w:val="center"/>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t</m:t>
                    </m:r>
                  </m:e>
                </m:d>
                <m:r>
                  <m:rPr>
                    <m:lit/>
                    <m:nor/>
                  </m: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exp</m:t>
                </m:r>
                <m:d>
                  <m:dPr>
                    <m:ctrlPr>
                      <w:rPr>
                        <w:rFonts w:ascii="Cambria Math" w:hAnsi="Cambria Math"/>
                      </w:rPr>
                    </m:ctrlPr>
                  </m:dPr>
                  <m:e>
                    <m:r>
                      <m:rPr>
                        <m:lit/>
                        <m:nor/>
                      </m:rPr>
                      <m:t>-</m:t>
                    </m:r>
                    <m:r>
                      <w:rPr>
                        <w:rFonts w:ascii="Cambria Math" w:hAnsi="Cambria Math"/>
                      </w:rPr>
                      <m:t>αt</m:t>
                    </m:r>
                  </m:e>
                </m:d>
                <m:r>
                  <w:rPr>
                    <w:rFonts w:ascii="Cambria Math" w:hAnsi="Cambria Math"/>
                  </w:rPr>
                  <m:t>sin</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r>
                      <m:rPr>
                        <m:lit/>
                        <m:nor/>
                      </m:rPr>
                      <m:t>+</m:t>
                    </m:r>
                    <m:r>
                      <w:rPr>
                        <w:rFonts w:ascii="Cambria Math" w:hAnsi="Cambria Math"/>
                      </w:rPr>
                      <m:t>ϕ</m:t>
                    </m:r>
                  </m:e>
                </m:d>
                <m:r>
                  <m:rPr>
                    <m:lit/>
                    <m:nor/>
                  </m:rPr>
                  <m:t>+</m:t>
                </m:r>
                <m:r>
                  <w:rPr>
                    <w:rFonts w:ascii="Cambria Math" w:hAnsi="Cambria Math"/>
                  </w:rPr>
                  <m:t>η</m:t>
                </m:r>
                <m:d>
                  <m:dPr>
                    <m:ctrlPr>
                      <w:rPr>
                        <w:rFonts w:ascii="Cambria Math" w:hAnsi="Cambria Math"/>
                      </w:rPr>
                    </m:ctrlPr>
                  </m:dPr>
                  <m:e>
                    <m:r>
                      <w:rPr>
                        <w:rFonts w:ascii="Cambria Math" w:hAnsi="Cambria Math"/>
                      </w:rPr>
                      <m:t>t</m:t>
                    </m:r>
                  </m:e>
                </m:d>
              </m:oMath>
            </m:oMathPara>
          </w:p>
          <w:p w14:paraId="02133D45" w14:textId="77777777" w:rsidR="00325DB8" w:rsidRDefault="00DD02E3">
            <w:pPr>
              <w:spacing w:line="300" w:lineRule="auto"/>
              <w:ind w:firstLine="420"/>
              <w:jc w:val="left"/>
            </w:pPr>
            <w:r>
              <w:t>其中包络幅值、中心频率附近的能量分布、相位延迟和噪声底共同构成接触状态的证据。接触边界改变时，等效声阻抗发生变化，反射系数随之改变：</w:t>
            </w:r>
          </w:p>
          <w:p w14:paraId="02133D46" w14:textId="77777777" w:rsidR="00325DB8" w:rsidRDefault="00DD02E3">
            <w:pPr>
              <w:spacing w:before="60" w:after="60" w:line="300" w:lineRule="auto"/>
              <w:ind w:firstLine="420"/>
              <w:jc w:val="center"/>
            </w:pPr>
            <m:oMathPara>
              <m:oMathParaPr>
                <m:jc m:val="center"/>
              </m:oMathParaPr>
              <m:oMath>
                <m:r>
                  <w:rPr>
                    <w:rFonts w:ascii="Cambria Math" w:hAnsi="Cambria Math"/>
                  </w:rPr>
                  <m:t>R</m:t>
                </m:r>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2</m:t>
                        </m:r>
                      </m:sub>
                    </m:sSub>
                    <m:r>
                      <m:rPr>
                        <m:lit/>
                        <m:nor/>
                      </m:rPr>
                      <m:t>-</m:t>
                    </m:r>
                    <m:sSub>
                      <m:sSubPr>
                        <m:ctrlPr>
                          <w:rPr>
                            <w:rFonts w:ascii="Cambria Math" w:hAnsi="Cambria Math"/>
                          </w:rPr>
                        </m:ctrlPr>
                      </m:sSubPr>
                      <m:e>
                        <m:r>
                          <w:rPr>
                            <w:rFonts w:ascii="Cambria Math" w:hAnsi="Cambria Math"/>
                          </w:rPr>
                          <m:t>Z</m:t>
                        </m:r>
                      </m:e>
                      <m:sub>
                        <m:r>
                          <w:rPr>
                            <w:rFonts w:ascii="Cambria Math" w:hAnsi="Cambria Math"/>
                          </w:rPr>
                          <m:t>1</m:t>
                        </m:r>
                      </m:sub>
                    </m:sSub>
                  </m:num>
                  <m:den>
                    <m:sSub>
                      <m:sSubPr>
                        <m:ctrlPr>
                          <w:rPr>
                            <w:rFonts w:ascii="Cambria Math" w:hAnsi="Cambria Math"/>
                          </w:rPr>
                        </m:ctrlPr>
                      </m:sSubPr>
                      <m:e>
                        <m:r>
                          <w:rPr>
                            <w:rFonts w:ascii="Cambria Math" w:hAnsi="Cambria Math"/>
                          </w:rPr>
                          <m:t>Z</m:t>
                        </m:r>
                      </m:e>
                      <m:sub>
                        <m:r>
                          <w:rPr>
                            <w:rFonts w:ascii="Cambria Math" w:hAnsi="Cambria Math"/>
                          </w:rPr>
                          <m:t>2</m:t>
                        </m:r>
                      </m:sub>
                    </m:sSub>
                    <m:r>
                      <m:rPr>
                        <m:lit/>
                        <m:nor/>
                      </m:rPr>
                      <m:t>+</m:t>
                    </m:r>
                    <m:sSub>
                      <m:sSubPr>
                        <m:ctrlPr>
                          <w:rPr>
                            <w:rFonts w:ascii="Cambria Math" w:hAnsi="Cambria Math"/>
                          </w:rPr>
                        </m:ctrlPr>
                      </m:sSubPr>
                      <m:e>
                        <m:r>
                          <w:rPr>
                            <w:rFonts w:ascii="Cambria Math" w:hAnsi="Cambria Math"/>
                          </w:rPr>
                          <m:t>Z</m:t>
                        </m:r>
                      </m:e>
                      <m:sub>
                        <m:r>
                          <w:rPr>
                            <w:rFonts w:ascii="Cambria Math" w:hAnsi="Cambria Math"/>
                          </w:rPr>
                          <m:t>1</m:t>
                        </m:r>
                      </m:sub>
                    </m:sSub>
                  </m:den>
                </m:f>
              </m:oMath>
            </m:oMathPara>
          </w:p>
          <w:p w14:paraId="02133D47" w14:textId="77777777" w:rsidR="00325DB8" w:rsidRDefault="00DD02E3">
            <w:pPr>
              <w:spacing w:line="300" w:lineRule="auto"/>
              <w:ind w:firstLine="420"/>
              <w:jc w:val="left"/>
            </w:pPr>
            <w:r>
              <w:t>当探头远离表面时，电磁能量向材料内部耦合不足，回波幅值降低且波形不稳定；当探头接近有效工作区间时，回波能量增强，主要峰值的到达时间更稳定，短时统计特征呈现更好的重复性。该机理意味着接触判别不能只依赖单帧幅值，而应综合观察时间窗口内的能量、相位、峰度、互相关和频谱重心等特征。</w:t>
            </w:r>
          </w:p>
          <w:p w14:paraId="02133D48" w14:textId="77777777" w:rsidR="00325DB8" w:rsidRDefault="00DD02E3">
            <w:pPr>
              <w:spacing w:line="300" w:lineRule="auto"/>
              <w:ind w:firstLine="420"/>
              <w:jc w:val="left"/>
            </w:pPr>
            <w:r>
              <w:t>因此，本研究将接触状态建模为隐变量，并以回波、位姿和视觉特征为观测量。若记当前接触状态为二值变量，接触概率可表示为：</w:t>
            </w:r>
          </w:p>
          <w:p w14:paraId="02133D49"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lit/>
                        <m:nor/>
                      </m:rPr>
                      <m:t>=</m:t>
                    </m:r>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t</m:t>
                        </m:r>
                      </m:sub>
                    </m:sSub>
                  </m:e>
                </m:d>
                <m:r>
                  <m:rPr>
                    <m:lit/>
                    <m:nor/>
                  </m:rPr>
                  <m:t>=</m:t>
                </m:r>
                <m:r>
                  <w:rPr>
                    <w:rFonts w:ascii="Cambria Math" w:hAnsi="Cambria Math"/>
                  </w:rPr>
                  <m:t>σ</m:t>
                </m:r>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lit/>
                        <m:nor/>
                      </m:rPr>
                      <m:t>+</m:t>
                    </m:r>
                    <m:r>
                      <w:rPr>
                        <w:rFonts w:ascii="Cambria Math" w:hAnsi="Cambria Math"/>
                      </w:rPr>
                      <m:t>b</m:t>
                    </m:r>
                  </m:e>
                </m:d>
              </m:oMath>
            </m:oMathPara>
          </w:p>
          <w:p w14:paraId="02133D4A" w14:textId="77777777" w:rsidR="00325DB8" w:rsidRDefault="00DD02E3">
            <w:pPr>
              <w:spacing w:line="300" w:lineRule="auto"/>
              <w:ind w:firstLine="420"/>
              <w:jc w:val="left"/>
            </w:pPr>
            <w:r>
              <w:t>这一形式的意义不在于限定最终模型为线性分类器，而在于明确</w:t>
            </w:r>
            <w:r>
              <w:t>“</w:t>
            </w:r>
            <w:r>
              <w:t>接触</w:t>
            </w:r>
            <w:r>
              <w:t>”</w:t>
            </w:r>
            <w:r>
              <w:t>应被看作概率估计问题。概率输出能够表达临界接触、轻微脱离和稳定接触之间的连续过渡，并可直接接入飞行控制状态机，用于从目标接近、接触确认到保持扫查的平滑切换。</w:t>
            </w:r>
          </w:p>
          <w:p w14:paraId="02133D4B" w14:textId="77777777" w:rsidR="00325DB8" w:rsidRDefault="00DD02E3">
            <w:pPr>
              <w:spacing w:line="300" w:lineRule="auto"/>
              <w:ind w:firstLine="420"/>
              <w:jc w:val="left"/>
            </w:pPr>
            <w:r>
              <w:t>更进一步，接触边界的判别应具有滞回意识。无人机从远场接近表面时，回波增强通常伴随视觉深度减小和法向速度收敛；而从稳定接触转向脱离时，回波衰减往往先于视觉目标丢失出现。若模型只看当前时刻，容易把这两种过程混为一谈。为此，理论上需要在时间窗口内同时建模</w:t>
            </w:r>
            <w:r>
              <w:t>“</w:t>
            </w:r>
            <w:r>
              <w:t>进入接触区</w:t>
            </w:r>
            <w:r>
              <w:t>”</w:t>
            </w:r>
            <w:r>
              <w:t>和</w:t>
            </w:r>
            <w:r>
              <w:t>“</w:t>
            </w:r>
            <w:r>
              <w:t>离开接触区</w:t>
            </w:r>
            <w:r>
              <w:t>”</w:t>
            </w:r>
            <w:r>
              <w:t>两类方向性证据，使判别结果不仅准确，而且符合运动过程的先后顺序。</w:t>
            </w:r>
          </w:p>
          <w:p w14:paraId="02133D4C" w14:textId="77777777" w:rsidR="00325DB8" w:rsidRDefault="00DD02E3">
            <w:pPr>
              <w:spacing w:before="40" w:after="20" w:line="300" w:lineRule="auto"/>
              <w:ind w:firstLine="422"/>
              <w:jc w:val="left"/>
            </w:pPr>
            <w:r>
              <w:rPr>
                <w:rFonts w:eastAsia="黑体" w:hint="eastAsia"/>
                <w:b/>
              </w:rPr>
              <w:t>2</w:t>
            </w:r>
            <w:r>
              <w:rPr>
                <w:rFonts w:eastAsia="黑体"/>
                <w:b/>
              </w:rPr>
              <w:t xml:space="preserve">.3 </w:t>
            </w:r>
            <w:r>
              <w:rPr>
                <w:rFonts w:eastAsia="黑体"/>
                <w:b/>
              </w:rPr>
              <w:t>多模态时序对齐与统一状态表示</w:t>
            </w:r>
          </w:p>
          <w:p w14:paraId="02133D4D" w14:textId="77777777" w:rsidR="00325DB8" w:rsidRDefault="00DD02E3">
            <w:pPr>
              <w:spacing w:line="300" w:lineRule="auto"/>
              <w:ind w:firstLine="420"/>
              <w:jc w:val="left"/>
            </w:pPr>
            <w:r>
              <w:t>无人机电磁超声检测的观测链条具有典型的异步多源特征：</w:t>
            </w:r>
            <w:r>
              <w:t>EMAT</w:t>
            </w:r>
            <w:r>
              <w:t>回波频率约</w:t>
            </w:r>
            <w:r>
              <w:t>40 Hz</w:t>
            </w:r>
            <w:r>
              <w:t>，飞控和里程计反馈约</w:t>
            </w:r>
            <w:r>
              <w:t>100 Hz</w:t>
            </w:r>
            <w:r>
              <w:t>，</w:t>
            </w:r>
            <w:r>
              <w:t>RGBD</w:t>
            </w:r>
            <w:r>
              <w:t>视觉约</w:t>
            </w:r>
            <w:r>
              <w:t>30 Hz</w:t>
            </w:r>
            <w:r>
              <w:t>。若直接拼接不同频率的原始数据，模型会把采样误差误认为物理变化，导致接触边界附近出现误判。因此，理论框架首先需要建立统一时间基准，把不同模态映射到同一状态序列。</w:t>
            </w:r>
          </w:p>
          <w:p w14:paraId="02133D4E" w14:textId="77777777" w:rsidR="00325DB8" w:rsidRDefault="00DD02E3">
            <w:pPr>
              <w:spacing w:line="300" w:lineRule="auto"/>
              <w:ind w:firstLine="420"/>
              <w:jc w:val="left"/>
            </w:pPr>
            <w:r>
              <w:t>设超声、位姿和视觉三类模态分别为不同时间戳上的观测序列，统一状态向量可写为：</w:t>
            </w:r>
          </w:p>
          <w:p w14:paraId="02133D4F" w14:textId="77777777" w:rsidR="00325DB8" w:rsidRDefault="00380551">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lit/>
                    <m:nor/>
                  </m: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u</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p</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v</m:t>
                        </m:r>
                      </m:sup>
                    </m:sSubSup>
                  </m:e>
                </m:d>
              </m:oMath>
            </m:oMathPara>
          </w:p>
          <w:p w14:paraId="02133D50" w14:textId="77777777" w:rsidR="00325DB8" w:rsidRDefault="00DD02E3">
            <w:pPr>
              <w:spacing w:line="300" w:lineRule="auto"/>
              <w:ind w:firstLine="420"/>
              <w:jc w:val="left"/>
            </w:pPr>
            <w:r>
              <w:t>对任一模态，本研究采用局部时间窗口内的加权插值完成对齐：</w:t>
            </w:r>
          </w:p>
          <w:p w14:paraId="02133D51" w14:textId="77777777" w:rsidR="00325DB8" w:rsidRDefault="00380551">
            <w:pPr>
              <w:spacing w:before="60" w:after="60" w:line="300" w:lineRule="auto"/>
              <w:ind w:firstLine="420"/>
              <w:jc w:val="center"/>
            </w:pPr>
            <m:oMathPara>
              <m:oMathParaPr>
                <m:jc m:val="center"/>
              </m:oMathParaPr>
              <m:oMath>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e>
                </m:acc>
                <m:r>
                  <m:rPr>
                    <m:lit/>
                    <m:nor/>
                  </m: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t,k</m:t>
                        </m:r>
                      </m:sub>
                      <m:sup>
                        <m:r>
                          <w:rPr>
                            <w:rFonts w:ascii="Cambria Math" w:hAnsi="Cambria Math"/>
                          </w:rPr>
                          <m:t>m</m:t>
                        </m:r>
                      </m:sup>
                    </m:sSubSup>
                    <m:sSubSup>
                      <m:sSubSupPr>
                        <m:ctrlPr>
                          <w:rPr>
                            <w:rFonts w:ascii="Cambria Math" w:hAnsi="Cambria Math"/>
                          </w:rPr>
                        </m:ctrlPr>
                      </m:sSubSupPr>
                      <m:e>
                        <m:r>
                          <w:rPr>
                            <w:rFonts w:ascii="Cambria Math" w:hAnsi="Cambria Math"/>
                          </w:rPr>
                          <m:t>x</m:t>
                        </m:r>
                      </m:e>
                      <m:sub>
                        <m:sSub>
                          <m:sSubPr>
                            <m:ctrlPr>
                              <w:rPr>
                                <w:rFonts w:ascii="Cambria Math" w:hAnsi="Cambria Math"/>
                              </w:rPr>
                            </m:ctrlPr>
                          </m:sSubPr>
                          <m:e>
                            <m:r>
                              <w:rPr>
                                <w:rFonts w:ascii="Cambria Math" w:hAnsi="Cambria Math"/>
                              </w:rPr>
                              <m:t>τ</m:t>
                            </m:r>
                          </m:e>
                          <m:sub>
                            <m:r>
                              <w:rPr>
                                <w:rFonts w:ascii="Cambria Math" w:hAnsi="Cambria Math"/>
                              </w:rPr>
                              <m:t>k</m:t>
                            </m:r>
                          </m:sub>
                        </m:sSub>
                      </m:sub>
                      <m:sup>
                        <m:r>
                          <w:rPr>
                            <w:rFonts w:ascii="Cambria Math" w:hAnsi="Cambria Math"/>
                          </w:rPr>
                          <m:t>m</m:t>
                        </m:r>
                      </m:sup>
                    </m:sSubSup>
                  </m:e>
                </m:nary>
                <m:r>
                  <w:rPr>
                    <w:rFonts w:ascii="Cambria Math" w:hAnsi="Cambria Math"/>
                  </w: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t,k</m:t>
                        </m:r>
                      </m:sub>
                      <m:sup>
                        <m:r>
                          <w:rPr>
                            <w:rFonts w:ascii="Cambria Math" w:hAnsi="Cambria Math"/>
                          </w:rPr>
                          <m:t>m</m:t>
                        </m:r>
                      </m:sup>
                    </m:sSubSup>
                  </m:e>
                </m:nary>
                <m:r>
                  <m:rPr>
                    <m:lit/>
                    <m:nor/>
                  </m:rPr>
                  <m:t>=</m:t>
                </m:r>
                <m:r>
                  <w:rPr>
                    <w:rFonts w:ascii="Cambria Math" w:hAnsi="Cambria Math"/>
                  </w:rPr>
                  <m:t>1</m:t>
                </m:r>
              </m:oMath>
            </m:oMathPara>
          </w:p>
          <w:p w14:paraId="02133D52" w14:textId="77777777" w:rsidR="00325DB8" w:rsidRDefault="00DD02E3">
            <w:pPr>
              <w:spacing w:line="300" w:lineRule="auto"/>
              <w:ind w:firstLine="420"/>
              <w:jc w:val="left"/>
            </w:pPr>
            <w:r>
              <w:t>该步骤保留了原始传感器的采样特性，同时避免粗暴重采样造成的信息损失。随后，各模态通过独立编码器映射到统一维度的隐空间：</w:t>
            </w:r>
          </w:p>
          <w:p w14:paraId="02133D53" w14:textId="77777777" w:rsidR="00325DB8" w:rsidRDefault="00380551">
            <w:pPr>
              <w:spacing w:before="60" w:after="60" w:line="300" w:lineRule="auto"/>
              <w:ind w:firstLine="420"/>
              <w:jc w:val="center"/>
            </w:pPr>
            <m:oMathPara>
              <m:oMathParaPr>
                <m:jc m:val="center"/>
              </m:oMathParaPr>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m</m:t>
                    </m:r>
                  </m:sup>
                </m:sSubSup>
                <m:r>
                  <m:rPr>
                    <m:lit/>
                    <m:nor/>
                  </m:rPr>
                  <m:t>=</m:t>
                </m:r>
                <m:sSub>
                  <m:sSubPr>
                    <m:ctrlPr>
                      <w:rPr>
                        <w:rFonts w:ascii="Cambria Math" w:hAnsi="Cambria Math"/>
                      </w:rPr>
                    </m:ctrlPr>
                  </m:sSubPr>
                  <m:e>
                    <m:r>
                      <w:rPr>
                        <w:rFonts w:ascii="Cambria Math" w:hAnsi="Cambria Math"/>
                      </w:rPr>
                      <m:t>E</m:t>
                    </m:r>
                  </m:e>
                  <m:sub>
                    <m:r>
                      <w:rPr>
                        <w:rFonts w:ascii="Cambria Math" w:hAnsi="Cambria Math"/>
                      </w:rPr>
                      <m:t>m</m:t>
                    </m:r>
                  </m:sub>
                </m:sSub>
                <m:d>
                  <m:dPr>
                    <m:ctrlPr>
                      <w:rPr>
                        <w:rFonts w:ascii="Cambria Math" w:hAnsi="Cambria Math"/>
                      </w:rPr>
                    </m:ctrlPr>
                  </m:dPr>
                  <m:e>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r>
                              <m:rPr>
                                <m:lit/>
                                <m:nor/>
                              </m:rPr>
                              <m:t>-</m:t>
                            </m:r>
                            <m:r>
                              <w:rPr>
                                <w:rFonts w:ascii="Cambria Math" w:hAnsi="Cambria Math"/>
                              </w:rPr>
                              <m:t>L:t</m:t>
                            </m:r>
                          </m:sub>
                          <m:sup>
                            <m:r>
                              <w:rPr>
                                <w:rFonts w:ascii="Cambria Math" w:hAnsi="Cambria Math"/>
                              </w:rPr>
                              <m:t>m</m:t>
                            </m:r>
                          </m:sup>
                        </m:sSubSup>
                      </m:e>
                    </m:acc>
                  </m:e>
                </m:d>
                <m:r>
                  <w:rPr>
                    <w:rFonts w:ascii="Cambria Math" w:hAnsi="Cambria Math"/>
                  </w:rPr>
                  <m:t>,m∈</m:t>
                </m:r>
                <m:r>
                  <m:rPr>
                    <m:lit/>
                    <m:nor/>
                  </m:rPr>
                  <m:t>{</m:t>
                </m:r>
                <m:r>
                  <w:rPr>
                    <w:rFonts w:ascii="Cambria Math" w:hAnsi="Cambria Math"/>
                  </w:rPr>
                  <m:t>u,p,v</m:t>
                </m:r>
                <m:r>
                  <m:rPr>
                    <m:lit/>
                    <m:nor/>
                  </m:rPr>
                  <m:t>}</m:t>
                </m:r>
              </m:oMath>
            </m:oMathPara>
          </w:p>
          <w:p w14:paraId="02133D54" w14:textId="77777777" w:rsidR="00325DB8" w:rsidRDefault="00DD02E3">
            <w:pPr>
              <w:spacing w:line="300" w:lineRule="auto"/>
              <w:ind w:firstLine="420"/>
              <w:jc w:val="left"/>
            </w:pPr>
            <w:r>
              <w:t>其中超声编码器侧重短时频谱和包络变化，位姿编码器侧重位置误差、速度和法向角度，视觉编码器侧重目标</w:t>
            </w:r>
            <w:r>
              <w:t>ROI</w:t>
            </w:r>
            <w:r>
              <w:t>、表面法向和几何纹理。为保留时间顺序，序列编码中引入正弦位置编码：</w:t>
            </w:r>
          </w:p>
          <w:p w14:paraId="02133D55"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pos,2i</m:t>
                    </m:r>
                  </m:e>
                </m:d>
                <m:r>
                  <m:rPr>
                    <m:lit/>
                    <m:nor/>
                  </m: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6"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pos,2i</m:t>
                    </m:r>
                    <m:r>
                      <m:rPr>
                        <m:lit/>
                        <m:nor/>
                      </m:rPr>
                      <m:t>+</m:t>
                    </m:r>
                    <m:r>
                      <w:rPr>
                        <w:rFonts w:ascii="Cambria Math" w:hAnsi="Cambria Math"/>
                      </w:rPr>
                      <m:t>1</m:t>
                    </m:r>
                  </m:e>
                </m:d>
                <m:r>
                  <m:rPr>
                    <m:lit/>
                    <m:nor/>
                  </m: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7" w14:textId="77777777" w:rsidR="00325DB8" w:rsidRDefault="00DD02E3">
            <w:pPr>
              <w:spacing w:line="300" w:lineRule="auto"/>
              <w:ind w:firstLine="420"/>
              <w:jc w:val="left"/>
            </w:pPr>
            <w:r>
              <w:t>统一表示的核心目标，是让模型在同一时间窗口内同时看到</w:t>
            </w:r>
            <w:r>
              <w:t>“</w:t>
            </w:r>
            <w:r>
              <w:t>探头是否靠近目标</w:t>
            </w:r>
            <w:r>
              <w:t>”“</w:t>
            </w:r>
            <w:r>
              <w:t>位姿是否进入稳定约束区</w:t>
            </w:r>
            <w:r>
              <w:t>”“</w:t>
            </w:r>
            <w:r>
              <w:t>超声回波是否具备有效耦合特征</w:t>
            </w:r>
            <w:r>
              <w:t>”</w:t>
            </w:r>
            <w:r>
              <w:t>。三者分别对应几何可达性、控制稳定性与检测可观测性，缺一都不足以支持可靠的自主检测。</w:t>
            </w:r>
          </w:p>
          <w:p w14:paraId="02133D58" w14:textId="77777777" w:rsidR="00325DB8" w:rsidRDefault="00DD02E3">
            <w:pPr>
              <w:spacing w:line="300" w:lineRule="auto"/>
              <w:ind w:firstLine="420"/>
              <w:jc w:val="left"/>
            </w:pPr>
            <w:r>
              <w:t>在工程实现上，多模态对齐还需要处理传感器延迟。视觉图像经历曝光和深度计算，</w:t>
            </w:r>
            <w:r>
              <w:t>EMAT</w:t>
            </w:r>
            <w:r>
              <w:t>波形经历采样和</w:t>
            </w:r>
            <w:r>
              <w:t>USB</w:t>
            </w:r>
            <w:r>
              <w:t>传输，飞控位姿经历滤波和</w:t>
            </w:r>
            <w:r>
              <w:t>MAVROS</w:t>
            </w:r>
            <w:r>
              <w:t>转发。若这些延迟不被显式建模，数据集中的标签将发生系统性偏移。后续实验将通过时间戳对齐、互相关峰值校正和固定延迟补偿三种方式估计模态间偏差，使模型学习到的不是软件管线延迟，而是接触状态的真实动态。</w:t>
            </w:r>
          </w:p>
          <w:p w14:paraId="02133D59" w14:textId="77777777" w:rsidR="00325DB8" w:rsidRDefault="00DD02E3">
            <w:pPr>
              <w:spacing w:before="40" w:after="20" w:line="300" w:lineRule="auto"/>
              <w:ind w:firstLine="422"/>
              <w:jc w:val="left"/>
            </w:pPr>
            <w:r>
              <w:rPr>
                <w:rFonts w:eastAsia="黑体" w:hint="eastAsia"/>
                <w:b/>
              </w:rPr>
              <w:t>2</w:t>
            </w:r>
            <w:r>
              <w:rPr>
                <w:rFonts w:eastAsia="黑体"/>
                <w:b/>
              </w:rPr>
              <w:t xml:space="preserve">.4 </w:t>
            </w:r>
            <w:r>
              <w:rPr>
                <w:rFonts w:eastAsia="黑体"/>
                <w:b/>
              </w:rPr>
              <w:t>物理约束注意力机制与可解释融合</w:t>
            </w:r>
          </w:p>
          <w:p w14:paraId="02133D5A" w14:textId="77777777" w:rsidR="00325DB8" w:rsidRDefault="00DD02E3">
            <w:pPr>
              <w:spacing w:line="300" w:lineRule="auto"/>
              <w:ind w:firstLine="420"/>
              <w:jc w:val="left"/>
            </w:pPr>
            <w:r>
              <w:t>传统</w:t>
            </w:r>
            <w:r>
              <w:t>Transformer</w:t>
            </w:r>
            <w:r>
              <w:t>的注意力权重主要由特征相似度决定，这在大规模语义数据中有效，但在物理测量系统中可能产生不可解释的关联。例如，模型可能把一次视觉反光误认为接触增强，或把飞行姿态瞬时抖动误认为材料回波变化。为降低这类风险，本研究在注意力机制中显式引入物理先验，使跨模态交互同时服从时间邻近、空间邻近和运动连续性。</w:t>
            </w:r>
          </w:p>
          <w:p w14:paraId="02133D5B" w14:textId="77777777" w:rsidR="00325DB8" w:rsidRDefault="00DD02E3">
            <w:pPr>
              <w:spacing w:line="300" w:lineRule="auto"/>
              <w:ind w:firstLine="420"/>
              <w:jc w:val="left"/>
            </w:pPr>
            <w:r>
              <w:t>标准缩放点积注意力写作：</w:t>
            </w:r>
          </w:p>
          <w:p w14:paraId="02133D64" w14:textId="7F91F0CF" w:rsidR="00325DB8" w:rsidRDefault="005553B6" w:rsidP="005553B6">
            <w:pPr>
              <w:spacing w:before="60" w:after="60" w:line="300" w:lineRule="auto"/>
              <w:ind w:firstLine="420"/>
              <w:jc w:val="center"/>
            </w:pPr>
            <m:oMathPara>
              <m:oMath>
                <m:r>
                  <w:rPr>
                    <w:rFonts w:ascii="Cambria Math" w:hAnsi="Cambria Math"/>
                  </w:rPr>
                  <m:t>Attn</m:t>
                </m:r>
                <m:d>
                  <m:dPr>
                    <m:ctrlPr>
                      <w:rPr>
                        <w:rFonts w:ascii="Cambria Math" w:hAnsi="Cambria Math"/>
                        <w:i/>
                      </w:rPr>
                    </m:ctrlPr>
                  </m:dPr>
                  <m:e>
                    <m:r>
                      <w:rPr>
                        <w:rFonts w:ascii="Cambria Math" w:hAnsi="Cambria Math"/>
                      </w:rPr>
                      <m:t>Q,K,V</m:t>
                    </m:r>
                  </m:e>
                </m:d>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e>
                </m:d>
                <m:r>
                  <w:rPr>
                    <w:rFonts w:ascii="Cambria Math" w:hAnsi="Cambria Math"/>
                  </w:rPr>
                  <m:t>V</m:t>
                </m:r>
              </m:oMath>
            </m:oMathPara>
          </w:p>
          <w:p w14:paraId="02133D65" w14:textId="77777777" w:rsidR="00325DB8" w:rsidRDefault="00DD02E3">
            <w:pPr>
              <w:spacing w:line="300" w:lineRule="auto"/>
              <w:ind w:firstLine="420"/>
              <w:jc w:val="left"/>
            </w:pPr>
            <w:r>
              <w:t>在此基础上，构造物理约束矩阵，用于描述两个时间片之间的动力学相容性：</w:t>
            </w:r>
          </w:p>
          <w:p w14:paraId="02133D66" w14:textId="77777777" w:rsidR="00325DB8" w:rsidRDefault="00380551">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ij</m:t>
                    </m:r>
                  </m:sub>
                </m:sSub>
                <m:r>
                  <m:rPr>
                    <m:lit/>
                    <m:nor/>
                  </m:rPr>
                  <m:t>=</m:t>
                </m:r>
                <m:r>
                  <w:rPr>
                    <w:rFonts w:ascii="Cambria Math" w:hAnsi="Cambria Math"/>
                  </w:rPr>
                  <m:t>exp</m:t>
                </m:r>
                <m:d>
                  <m:dPr>
                    <m:ctrlPr>
                      <w:rPr>
                        <w:rFonts w:ascii="Cambria Math" w:hAnsi="Cambria Math"/>
                      </w:rPr>
                    </m:ctrlPr>
                  </m:dPr>
                  <m:e>
                    <m:r>
                      <m:rPr>
                        <m:lit/>
                        <m:nor/>
                      </m:rPr>
                      <m:t>-</m:t>
                    </m:r>
                    <m:r>
                      <w:rPr>
                        <w:rFonts w:ascii="Cambria Math" w:hAnsi="Cambria Math"/>
                      </w:rPr>
                      <m:t>γΔ</m:t>
                    </m:r>
                    <m:sSub>
                      <m:sSubPr>
                        <m:ctrlPr>
                          <w:rPr>
                            <w:rFonts w:ascii="Cambria Math" w:hAnsi="Cambria Math"/>
                          </w:rPr>
                        </m:ctrlPr>
                      </m:sSubPr>
                      <m:e>
                        <m:r>
                          <w:rPr>
                            <w:rFonts w:ascii="Cambria Math" w:hAnsi="Cambria Math"/>
                          </w:rPr>
                          <m:t>t</m:t>
                        </m:r>
                      </m:e>
                      <m:sub>
                        <m:r>
                          <w:rPr>
                            <w:rFonts w:ascii="Cambria Math" w:hAnsi="Cambria Math"/>
                          </w:rPr>
                          <m:t>ij</m:t>
                        </m:r>
                      </m:sub>
                    </m:sSub>
                  </m:e>
                </m:d>
                <m:r>
                  <w:rPr>
                    <w:rFonts w:ascii="Cambria Math" w:hAnsi="Cambria Math"/>
                  </w:rPr>
                  <m:t>exp</m:t>
                </m:r>
                <m:d>
                  <m:dPr>
                    <m:ctrlPr>
                      <w:rPr>
                        <w:rFonts w:ascii="Cambria Math" w:hAnsi="Cambria Math"/>
                      </w:rPr>
                    </m:ctrlPr>
                  </m:dPr>
                  <m:e>
                    <m:r>
                      <m:rPr>
                        <m:lit/>
                        <m:nor/>
                      </m:rPr>
                      <m:t>-</m:t>
                    </m:r>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lit/>
                                <m:nor/>
                              </m:rPr>
                              <m:t>-</m:t>
                            </m:r>
                            <m:sSub>
                              <m:sSubPr>
                                <m:ctrlPr>
                                  <w:rPr>
                                    <w:rFonts w:ascii="Cambria Math" w:hAnsi="Cambria Math"/>
                                  </w:rPr>
                                </m:ctrlPr>
                              </m:sSubPr>
                              <m:e>
                                <m:r>
                                  <w:rPr>
                                    <w:rFonts w:ascii="Cambria Math" w:hAnsi="Cambria Math"/>
                                  </w:rPr>
                                  <m:t>r</m:t>
                                </m:r>
                              </m:e>
                              <m:sub>
                                <m:r>
                                  <w:rPr>
                                    <w:rFonts w:ascii="Cambria Math" w:hAnsi="Cambria Math"/>
                                  </w:rPr>
                                  <m:t>j</m:t>
                                </m:r>
                              </m:sub>
                            </m:sSub>
                          </m:e>
                        </m:d>
                      </m:e>
                      <m:sub>
                        <m:r>
                          <w:rPr>
                            <w:rFonts w:ascii="Cambria Math" w:hAnsi="Cambria Math"/>
                          </w:rPr>
                          <m:t>2</m:t>
                        </m:r>
                      </m:sub>
                      <m:sup>
                        <m:r>
                          <w:rPr>
                            <w:rFonts w:ascii="Cambria Math" w:hAnsi="Cambria Math"/>
                          </w:rPr>
                          <m:t>2</m:t>
                        </m:r>
                      </m:sup>
                    </m:sSubSup>
                  </m:e>
                </m:d>
              </m:oMath>
            </m:oMathPara>
          </w:p>
          <w:p w14:paraId="02133D67" w14:textId="77777777" w:rsidR="00325DB8" w:rsidRDefault="00DD02E3">
            <w:pPr>
              <w:spacing w:line="300" w:lineRule="auto"/>
              <w:ind w:firstLine="420"/>
              <w:jc w:val="left"/>
            </w:pPr>
            <w:r>
              <w:t>其中时间间隔约束保证模型优先关注相邻动态片段，空间残差约束保证注意力集中在运动学可解释的状态转移上。将该先验以对数偏置形式加入注意力计算，可得物理约束注意力：</w:t>
            </w:r>
          </w:p>
          <w:p w14:paraId="02133D68" w14:textId="0FA40FF7" w:rsidR="00325DB8" w:rsidRPr="00FB3245" w:rsidRDefault="00FB3245">
            <w:pPr>
              <w:spacing w:before="60" w:after="60" w:line="300" w:lineRule="auto"/>
              <w:ind w:firstLine="420"/>
              <w:jc w:val="center"/>
            </w:pPr>
            <m:oMathPara>
              <m:oMathParaPr>
                <m:jc m:val="center"/>
              </m:oMathParaPr>
              <m:oMath>
                <m:r>
                  <w:rPr>
                    <w:rFonts w:ascii="Cambria Math" w:hAnsi="Cambria Math"/>
                  </w:rPr>
                  <m:t>A</m:t>
                </m:r>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r>
                      <m:rPr>
                        <m:lit/>
                        <m:nor/>
                      </m:rPr>
                      <m:t>+</m:t>
                    </m:r>
                    <m:d>
                      <m:dPr>
                        <m:ctrlPr>
                          <w:rPr>
                            <w:rFonts w:ascii="Cambria Math" w:hAnsi="Cambria Math"/>
                            <w:i/>
                          </w:rPr>
                        </m:ctrlPr>
                      </m:dPr>
                      <m:e>
                        <m:r>
                          <w:rPr>
                            <w:rFonts w:ascii="Cambria Math" w:hAnsi="Cambria Math"/>
                          </w:rPr>
                          <m:t>P</m:t>
                        </m:r>
                        <m:r>
                          <m:rPr>
                            <m:lit/>
                            <m:nor/>
                          </m:rPr>
                          <m:t>+</m:t>
                        </m:r>
                      </m:e>
                    </m:d>
                  </m:e>
                </m:d>
              </m:oMath>
            </m:oMathPara>
          </w:p>
          <w:p w14:paraId="02133D69" w14:textId="77777777" w:rsidR="00325DB8" w:rsidRDefault="00DD02E3">
            <w:pPr>
              <w:spacing w:line="300" w:lineRule="auto"/>
              <w:ind w:firstLine="420"/>
              <w:jc w:val="left"/>
            </w:pPr>
            <w:r>
              <w:t>这种设计保留了</w:t>
            </w:r>
            <w:r>
              <w:t>Transformer</w:t>
            </w:r>
            <w:r>
              <w:t>的长程依赖建模能力，同时避免模型完全依赖数据相关性。对于无人机接触检测而言，真正可信的判据应当同时满足三个条件：视觉上目标处于可接近区域，位姿上法向误差和速度误差收敛，超声上回波统计进入稳定区间。物理约束注意力能够把这些条件组织为可学习但受限的证据链。</w:t>
            </w:r>
          </w:p>
          <w:p w14:paraId="02133D6A" w14:textId="77777777" w:rsidR="00325DB8" w:rsidRDefault="00DD02E3">
            <w:pPr>
              <w:spacing w:line="300" w:lineRule="auto"/>
              <w:ind w:firstLine="420"/>
              <w:jc w:val="left"/>
            </w:pPr>
            <w:r>
              <w:t>训练目标相应地由分类损失、时序平滑损失和物理一致性损失共同组成：</w:t>
            </w:r>
          </w:p>
          <w:p w14:paraId="02133D6B" w14:textId="77777777" w:rsidR="00325DB8" w:rsidRDefault="00DD02E3">
            <w:pPr>
              <w:spacing w:before="60" w:after="60" w:line="300" w:lineRule="auto"/>
              <w:ind w:firstLine="420"/>
              <w:jc w:val="cente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L</m:t>
                    </m:r>
                  </m:e>
                  <m:sub>
                    <m:r>
                      <m:rPr>
                        <m:lit/>
                        <m:nor/>
                      </m:rPr>
                      <m:t>c</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L</m:t>
                    </m:r>
                  </m:e>
                  <m:sub>
                    <m:r>
                      <m:rPr>
                        <m:lit/>
                        <m:nor/>
                      </m:rPr>
                      <m:t>sot</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2</m:t>
                    </m:r>
                  </m:sub>
                </m:sSub>
                <m:sSub>
                  <m:sSubPr>
                    <m:ctrlPr>
                      <w:rPr>
                        <w:rFonts w:ascii="Cambria Math" w:hAnsi="Cambria Math"/>
                      </w:rPr>
                    </m:ctrlPr>
                  </m:sSubPr>
                  <m:e>
                    <m:r>
                      <w:rPr>
                        <w:rFonts w:ascii="Cambria Math" w:hAnsi="Cambria Math"/>
                      </w:rPr>
                      <m:t>L</m:t>
                    </m:r>
                  </m:e>
                  <m:sub>
                    <m:r>
                      <m:rPr>
                        <m:lit/>
                        <m:nor/>
                      </m:rPr>
                      <m:t>py</m:t>
                    </m:r>
                  </m:sub>
                </m:sSub>
              </m:oMath>
            </m:oMathPara>
          </w:p>
          <w:p w14:paraId="02133D6C" w14:textId="77777777" w:rsidR="00325DB8" w:rsidRDefault="00DD02E3">
            <w:pPr>
              <w:spacing w:line="300" w:lineRule="auto"/>
              <w:ind w:firstLine="420"/>
              <w:jc w:val="left"/>
            </w:pPr>
            <w:r>
              <w:t>其中分类损失用于监督接触状态，平滑损失抑制相邻帧之间不合理的概率震荡，物理一致性损失约束预测结果与位姿收敛、升距变化和回波能量变化保持同向解释。该损失结构使模型不仅追求判别准确率，也追求在飞行控制闭环中可使用的稳定性。</w:t>
            </w:r>
          </w:p>
          <w:p w14:paraId="02133D6D" w14:textId="77777777" w:rsidR="00325DB8" w:rsidRDefault="00DD02E3">
            <w:pPr>
              <w:spacing w:before="40" w:after="20" w:line="300" w:lineRule="auto"/>
              <w:ind w:firstLine="422"/>
              <w:jc w:val="left"/>
            </w:pPr>
            <w:r>
              <w:rPr>
                <w:rFonts w:eastAsia="黑体" w:hint="eastAsia"/>
                <w:b/>
              </w:rPr>
              <w:lastRenderedPageBreak/>
              <w:t>2</w:t>
            </w:r>
            <w:r>
              <w:rPr>
                <w:rFonts w:eastAsia="黑体"/>
                <w:b/>
              </w:rPr>
              <w:t xml:space="preserve">.5 </w:t>
            </w:r>
            <w:r>
              <w:rPr>
                <w:rFonts w:eastAsia="黑体"/>
                <w:b/>
              </w:rPr>
              <w:t>多源不确定性传播与可靠性判据</w:t>
            </w:r>
          </w:p>
          <w:p w14:paraId="02133D6E" w14:textId="77777777" w:rsidR="00325DB8" w:rsidRDefault="00DD02E3">
            <w:pPr>
              <w:spacing w:line="300" w:lineRule="auto"/>
              <w:ind w:firstLine="420"/>
              <w:jc w:val="left"/>
            </w:pPr>
            <w:r>
              <w:t>无人机检测系统的一个本质困难，是每个模态都在不同层面携带不确定性。视觉深度会受反光、纹理贫乏和边缘遮挡影响；</w:t>
            </w:r>
            <w:r>
              <w:t>FAST-LIO</w:t>
            </w:r>
            <w:r>
              <w:t>位姿会受点云退化和机体振动影响；</w:t>
            </w:r>
            <w:r>
              <w:t>EMAT</w:t>
            </w:r>
            <w:r>
              <w:t>回波会受电磁噪声、升距变化和材料表面状态影响。若模型只输出一个接触概率，而不刻画这些不确定性，就难以判断一次高概率结果究竟来自稳定证据，还是来自某一模态的偶然偏置。</w:t>
            </w:r>
          </w:p>
          <w:p w14:paraId="02133D6F" w14:textId="77777777" w:rsidR="00325DB8" w:rsidRDefault="00DD02E3">
            <w:pPr>
              <w:spacing w:line="300" w:lineRule="auto"/>
              <w:ind w:firstLine="420"/>
              <w:jc w:val="left"/>
            </w:pPr>
            <w:r>
              <w:t>因此，后续模型将把观测不确定性作为状态估计的一部分。对齐后的隐状态可配套维护协方差传播关系：</w:t>
            </w:r>
          </w:p>
          <w:p w14:paraId="02133D70" w14:textId="77777777" w:rsidR="00325DB8" w:rsidRDefault="00380551">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t</m:t>
                    </m:r>
                  </m:sub>
                </m:sSub>
                <m:r>
                  <m:rPr>
                    <m:lit/>
                    <m:nor/>
                  </m:rPr>
                  <m:t>=</m:t>
                </m:r>
                <m:sSub>
                  <m:sSubPr>
                    <m:ctrlPr>
                      <w:rPr>
                        <w:rFonts w:ascii="Cambria Math" w:hAnsi="Cambria Math"/>
                      </w:rPr>
                    </m:ctrlPr>
                  </m:sSubPr>
                  <m:e>
                    <m:r>
                      <w:rPr>
                        <w:rFonts w:ascii="Cambria Math" w:hAnsi="Cambria Math"/>
                      </w:rPr>
                      <m:t>J</m:t>
                    </m:r>
                  </m:e>
                  <m:sub>
                    <m:r>
                      <w:rPr>
                        <w:rFonts w:ascii="Cambria Math" w:hAnsi="Cambria Math"/>
                      </w:rPr>
                      <m:t>t</m:t>
                    </m:r>
                  </m:sub>
                </m:sSub>
                <m:sSub>
                  <m:sSubPr>
                    <m:ctrlPr>
                      <w:rPr>
                        <w:rFonts w:ascii="Cambria Math" w:hAnsi="Cambria Math"/>
                      </w:rPr>
                    </m:ctrlPr>
                  </m:sSubPr>
                  <m:e>
                    <m:r>
                      <w:rPr>
                        <w:rFonts w:ascii="Cambria Math" w:hAnsi="Cambria Math"/>
                      </w:rPr>
                      <m:t>Σ</m:t>
                    </m:r>
                  </m:e>
                  <m:sub>
                    <m:r>
                      <w:rPr>
                        <w:rFonts w:ascii="Cambria Math" w:hAnsi="Cambria Math"/>
                      </w:rPr>
                      <m:t>t</m:t>
                    </m:r>
                    <m:r>
                      <m:rPr>
                        <m:lit/>
                        <m:nor/>
                      </m:rPr>
                      <m:t>-</m:t>
                    </m:r>
                    <m:r>
                      <w:rPr>
                        <w:rFonts w:ascii="Cambria Math" w:hAnsi="Cambria Math"/>
                      </w:rPr>
                      <m:t>1</m:t>
                    </m:r>
                  </m:sub>
                </m:sSub>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T</m:t>
                    </m:r>
                  </m:sup>
                </m:sSubSup>
                <m:r>
                  <m:rPr>
                    <m:lit/>
                    <m:nor/>
                  </m:rPr>
                  <m:t>+</m:t>
                </m:r>
                <m:sSub>
                  <m:sSubPr>
                    <m:ctrlPr>
                      <w:rPr>
                        <w:rFonts w:ascii="Cambria Math" w:hAnsi="Cambria Math"/>
                      </w:rPr>
                    </m:ctrlPr>
                  </m:sSubPr>
                  <m:e>
                    <m:r>
                      <w:rPr>
                        <w:rFonts w:ascii="Cambria Math" w:hAnsi="Cambria Math"/>
                      </w:rPr>
                      <m:t>Q</m:t>
                    </m:r>
                  </m:e>
                  <m:sub>
                    <m:r>
                      <w:rPr>
                        <w:rFonts w:ascii="Cambria Math" w:hAnsi="Cambria Math"/>
                      </w:rPr>
                      <m:t>t</m:t>
                    </m:r>
                  </m:sub>
                </m:sSub>
              </m:oMath>
            </m:oMathPara>
          </w:p>
          <w:p w14:paraId="02133D71" w14:textId="77777777" w:rsidR="00325DB8" w:rsidRDefault="00DD02E3">
            <w:pPr>
              <w:spacing w:line="300" w:lineRule="auto"/>
              <w:ind w:firstLine="420"/>
              <w:jc w:val="left"/>
            </w:pPr>
            <w:r>
              <w:t>这里的雅可比矩阵用于近似动态传播，过程噪声项用于吸收未建模扰动。虽然最终网络不一定显式实现完整滤波器，但这一关系给出了物理上合理的约束：当飞行姿态快速变化或视觉深度波动增大时，接触判别的置信度应下降，而不是被短时回波峰值单独拉高。</w:t>
            </w:r>
          </w:p>
          <w:p w14:paraId="02133D72" w14:textId="77777777" w:rsidR="00325DB8" w:rsidRDefault="00DD02E3">
            <w:pPr>
              <w:spacing w:line="300" w:lineRule="auto"/>
              <w:ind w:firstLine="420"/>
              <w:jc w:val="left"/>
            </w:pPr>
            <w:r>
              <w:t>从贝叶斯视角看，多模态融合可理解为不同证据源对同一隐含接触状态的联合解释。若各模态条件独立近似成立，融合似然可写为：</w:t>
            </w:r>
          </w:p>
          <w:p w14:paraId="02133D73"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r>
                  <m:rPr>
                    <m:lit/>
                    <m:nor/>
                  </m:rPr>
                  <m:t>=</m:t>
                </m:r>
                <m:nary>
                  <m:naryPr>
                    <m:chr m:val="∏"/>
                    <m:supHide m:val="1"/>
                    <m:ctrlPr>
                      <w:rPr>
                        <w:rFonts w:ascii="Cambria Math" w:hAnsi="Cambria Math"/>
                      </w:rPr>
                    </m:ctrlPr>
                  </m:naryPr>
                  <m:sub>
                    <m:r>
                      <w:rPr>
                        <w:rFonts w:ascii="Cambria Math" w:hAnsi="Cambria Math"/>
                      </w:rPr>
                      <m:t>m∈</m:t>
                    </m:r>
                    <m:r>
                      <m:rPr>
                        <m:lit/>
                        <m:nor/>
                      </m:rPr>
                      <m:t>{</m:t>
                    </m:r>
                    <m:r>
                      <w:rPr>
                        <w:rFonts w:ascii="Cambria Math" w:hAnsi="Cambria Math"/>
                      </w:rPr>
                      <m:t>u,p,v</m:t>
                    </m:r>
                    <m:r>
                      <m:rPr>
                        <m:lit/>
                        <m:nor/>
                      </m:rPr>
                      <m:t>}</m:t>
                    </m:r>
                  </m:sub>
                  <m:sup/>
                  <m:e>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e>
                </m:nary>
              </m:oMath>
            </m:oMathPara>
          </w:p>
          <w:p w14:paraId="02133D74" w14:textId="77777777" w:rsidR="00325DB8" w:rsidRDefault="00DD02E3">
            <w:pPr>
              <w:spacing w:line="300" w:lineRule="auto"/>
              <w:ind w:firstLine="420"/>
              <w:jc w:val="left"/>
            </w:pPr>
            <w:r>
              <w:t>该表达式并非要求严格独立，而是提示模型应避免某一模态完全支配决策。实际网络中可以通过门控权重实现自适应证据分配：当视觉出现强反光或深度空洞时，系统降低视觉分支权重；当无人机姿态未收敛时，系统降低超声回波的接触解释权重；当多模态同时稳定时，接触概率才应快速上升。</w:t>
            </w:r>
          </w:p>
          <w:p w14:paraId="02133D75" w14:textId="77777777" w:rsidR="00325DB8" w:rsidRDefault="00DD02E3">
            <w:pPr>
              <w:spacing w:line="300" w:lineRule="auto"/>
              <w:ind w:firstLine="420"/>
              <w:jc w:val="left"/>
            </w:pPr>
            <w:r>
              <w:t>门控权重可由模态可靠性向量给出：</w:t>
            </w:r>
          </w:p>
          <w:p w14:paraId="02133D76" w14:textId="6F28507C" w:rsidR="00325DB8" w:rsidRDefault="000A2A31">
            <w:pPr>
              <w:spacing w:before="60" w:after="60" w:line="300" w:lineRule="auto"/>
              <w:ind w:firstLine="420"/>
              <w:jc w:val="center"/>
            </w:pPr>
            <m:oMathPara>
              <m:oMath>
                <m:r>
                  <w:rPr>
                    <w:rFonts w:ascii="Cambria Math" w:eastAsia="Times New Roman" w:hAnsi="Cambria Math"/>
                  </w:rPr>
                  <m:t>\mathbf{g}_t=\operatorname{softmax}\left(\mathbf{W}_g\left[\mathbf{z}^{u}_t;\mathbf{z}^{p}_t;\mathbf{z}^{v}_t\right]+\mathbf{b}_g\right)</m:t>
                </m:r>
              </m:oMath>
            </m:oMathPara>
          </w:p>
          <w:p w14:paraId="02133D77" w14:textId="77777777" w:rsidR="00325DB8" w:rsidRDefault="00DD02E3">
            <w:pPr>
              <w:spacing w:line="300" w:lineRule="auto"/>
              <w:ind w:firstLine="420"/>
              <w:jc w:val="left"/>
            </w:pPr>
            <w:r>
              <w:t>该权重具有清晰的工程含义：它不是任意注意力热图，而是对</w:t>
            </w:r>
            <w:r>
              <w:t>“</w:t>
            </w:r>
            <w:r>
              <w:t>当前时刻哪个模态更可信</w:t>
            </w:r>
            <w:r>
              <w:t>”</w:t>
            </w:r>
            <w:r>
              <w:t>的量化表达。将门控结果与物理约束注意力结合，可以形成一个从传感器质量到接触决策的连续证据路径，便于在实验中解释误判来源。</w:t>
            </w:r>
          </w:p>
          <w:p w14:paraId="02133D78" w14:textId="77777777" w:rsidR="00325DB8" w:rsidRDefault="00DD02E3">
            <w:pPr>
              <w:spacing w:line="300" w:lineRule="auto"/>
              <w:ind w:firstLine="420"/>
              <w:jc w:val="left"/>
            </w:pPr>
            <w:r>
              <w:t>此外，可靠性判据必须服务于控制安全。无人机靠近工件时，错误的接触确认可能导致扫查过早开始；错误的脱离判断则会造成频繁后退和姿态振荡。因此，本研究计划采用双阈值和持续时间约束，使状态切换具备有限滞回。只有当接触概率在连续窗口内超过上阈值时，系统才进入保持状态；只有当概率持续低于下阈值并伴随位姿残差增大时，系统才退出保持状态。</w:t>
            </w:r>
          </w:p>
          <w:p w14:paraId="02133D79" w14:textId="77777777" w:rsidR="00325DB8" w:rsidRDefault="00DD02E3">
            <w:pPr>
              <w:spacing w:line="300" w:lineRule="auto"/>
              <w:ind w:firstLine="420"/>
              <w:jc w:val="left"/>
            </w:pPr>
            <w:r>
              <w:t>该机制可写成面向控制的判据：</w:t>
            </w:r>
          </w:p>
          <w:p w14:paraId="02133D7A" w14:textId="49C1330D" w:rsidR="00325DB8" w:rsidRPr="00C67E54" w:rsidRDefault="00380551">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w:rPr>
                    <w:rFonts w:ascii="Cambria Math" w:eastAsia="Times New Roman" w:hAnsi="Cambria Math"/>
                  </w:rPr>
                  <m:t>=1</m:t>
                </m:r>
                <m:r>
                  <m:rPr>
                    <m:sty m:val="p"/>
                  </m:rPr>
                  <w:rPr>
                    <w:rFonts w:ascii="Cambria Math" w:eastAsia="Times New Roman" w:hAnsi="Cambria Math"/>
                  </w:rPr>
                  <m:t> </m:t>
                </m:r>
                <m:r>
                  <m:rPr>
                    <m:nor/>
                  </m:rPr>
                  <w:rPr>
                    <w:rFonts w:ascii="Cambria Math" w:eastAsia="Times New Roman" w:hAnsi="Cambria Math"/>
                  </w:rPr>
                  <m:t>if</m:t>
                </m:r>
                <m:r>
                  <m:rPr>
                    <m:sty m:val="p"/>
                  </m:rPr>
                  <w:rPr>
                    <w:rFonts w:ascii="Cambria Math" w:eastAsia="Times New Roman" w:hAnsi="Cambria Math"/>
                  </w:rPr>
                  <m:t> </m:t>
                </m:r>
                <m:f>
                  <m:fPr>
                    <m:ctrlPr>
                      <w:rPr>
                        <w:rFonts w:ascii="Cambria Math" w:eastAsia="Times New Roman" w:hAnsi="Cambria Math"/>
                      </w:rPr>
                    </m:ctrlPr>
                  </m:fPr>
                  <m:num>
                    <m:r>
                      <w:rPr>
                        <w:rFonts w:ascii="Cambria Math" w:eastAsia="Times New Roman" w:hAnsi="Cambria Math"/>
                      </w:rPr>
                      <m:t>1</m:t>
                    </m:r>
                    <m:ctrlPr>
                      <w:rPr>
                        <w:rFonts w:ascii="Cambria Math" w:eastAsia="Times New Roman" w:hAnsi="Cambria Math"/>
                        <w:i/>
                      </w:rPr>
                    </m:ctrlPr>
                  </m:num>
                  <m:den>
                    <m:r>
                      <w:rPr>
                        <w:rFonts w:ascii="Cambria Math" w:eastAsia="Times New Roman" w:hAnsi="Cambria Math"/>
                      </w:rPr>
                      <m:t>N</m:t>
                    </m:r>
                    <m:ctrlPr>
                      <w:rPr>
                        <w:rFonts w:ascii="Cambria Math" w:eastAsia="Times New Roman" w:hAnsi="Cambria Math"/>
                        <w:i/>
                      </w:rPr>
                    </m:ctrlPr>
                  </m:den>
                </m:f>
                <m:nary>
                  <m:naryPr>
                    <m:chr m:val="∑"/>
                    <m:ctrlPr>
                      <w:rPr>
                        <w:rFonts w:ascii="Cambria Math" w:eastAsia="Times New Roman" w:hAnsi="Cambria Math"/>
                      </w:rPr>
                    </m:ctrlPr>
                  </m:naryPr>
                  <m:sub>
                    <m:r>
                      <w:rPr>
                        <w:rFonts w:ascii="Cambria Math" w:eastAsia="Times New Roman" w:hAnsi="Cambria Math"/>
                      </w:rPr>
                      <m:t>i=0</m:t>
                    </m:r>
                    <m:ctrlPr>
                      <w:rPr>
                        <w:rFonts w:ascii="Cambria Math" w:eastAsia="Times New Roman" w:hAnsi="Cambria Math"/>
                        <w:i/>
                      </w:rPr>
                    </m:ctrlPr>
                  </m:sub>
                  <m:sup>
                    <m:r>
                      <w:rPr>
                        <w:rFonts w:ascii="Cambria Math" w:eastAsia="Times New Roman" w:hAnsi="Cambria Math"/>
                      </w:rPr>
                      <m:t>N-1</m:t>
                    </m:r>
                    <m:ctrlPr>
                      <w:rPr>
                        <w:rFonts w:ascii="Cambria Math" w:eastAsia="Times New Roman" w:hAnsi="Cambria Math"/>
                        <w:i/>
                      </w:rPr>
                    </m:ctrlPr>
                  </m:sup>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t-i</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t-i</m:t>
                            </m:r>
                          </m:sub>
                        </m:sSub>
                      </m:e>
                    </m:d>
                    <m:ctrlPr>
                      <w:rPr>
                        <w:rFonts w:ascii="Cambria Math" w:eastAsia="Times New Roman" w:hAnsi="Cambria Math"/>
                        <w:i/>
                      </w:rPr>
                    </m:ctrlPr>
                  </m:e>
                </m:nary>
                <m:r>
                  <w:rPr>
                    <w:rFonts w:ascii="Cambria Math" w:eastAsia="Times New Roman" w:hAnsi="Cambria Math"/>
                  </w:rPr>
                  <m:t>&gt;</m:t>
                </m:r>
                <m:sSub>
                  <m:sSubPr>
                    <m:ctrlPr>
                      <w:rPr>
                        <w:rFonts w:ascii="Cambria Math" w:eastAsia="Times New Roman" w:hAnsi="Cambria Math"/>
                        <w:i/>
                      </w:rPr>
                    </m:ctrlPr>
                  </m:sSubPr>
                  <m:e>
                    <m:r>
                      <m:rPr>
                        <m:sty m:val="p"/>
                      </m:rPr>
                      <w:rPr>
                        <w:rFonts w:ascii="Cambria Math" w:eastAsia="Times New Roman" w:hAnsi="Cambria Math"/>
                      </w:rPr>
                      <m:t>θ</m:t>
                    </m:r>
                  </m:e>
                  <m:sub>
                    <m:r>
                      <m:rPr>
                        <m:nor/>
                      </m:rPr>
                      <w:rPr>
                        <w:rFonts w:ascii="Cambria Math" w:eastAsia="Times New Roman" w:hAnsi="Cambria Math"/>
                      </w:rPr>
                      <m:t>on</m:t>
                    </m:r>
                  </m:sub>
                </m:sSub>
              </m:oMath>
            </m:oMathPara>
          </w:p>
          <w:p w14:paraId="02133D7B" w14:textId="77777777" w:rsidR="00325DB8" w:rsidRDefault="00DD02E3">
            <w:pPr>
              <w:spacing w:line="300" w:lineRule="auto"/>
              <w:ind w:firstLine="420"/>
              <w:jc w:val="left"/>
            </w:pPr>
            <w:r>
              <w:t>与单帧阈值相比，窗口判据把概率估计转化为事件确认，能够显著降低临界状态附近的闪烁。它也更符合无人机检测的物理事实：稳定接触不是一个瞬时标签，而是持续若干控制周期的动态关系。</w:t>
            </w:r>
          </w:p>
          <w:p w14:paraId="02133D7C" w14:textId="77777777" w:rsidR="00325DB8" w:rsidRDefault="00DD02E3">
            <w:pPr>
              <w:spacing w:line="300" w:lineRule="auto"/>
              <w:ind w:firstLine="420"/>
              <w:jc w:val="left"/>
            </w:pPr>
            <w:r>
              <w:t>从论文理论结构看，不确定性传播和可靠性判据把模型从</w:t>
            </w:r>
            <w:r>
              <w:t>“</w:t>
            </w:r>
            <w:r>
              <w:t>分类器</w:t>
            </w:r>
            <w:r>
              <w:t>”</w:t>
            </w:r>
            <w:r>
              <w:t>提升为</w:t>
            </w:r>
            <w:r>
              <w:t>“</w:t>
            </w:r>
            <w:r>
              <w:t>可用于闭环的测量系统</w:t>
            </w:r>
            <w:r>
              <w:t>”</w:t>
            </w:r>
            <w:r>
              <w:t>。这一区别非常重要。分类器只需回答当前帧是否接触，测量系统还必须说明证据是否充分、决策是否稳定、误差是否会通过控制环路放大。将这三点纳入理论分析，有助于后续实验围绕准确率、稳定性和安全性三个层面展开，而不是只报告离线分类指标。</w:t>
            </w:r>
          </w:p>
          <w:p w14:paraId="02133D7D" w14:textId="77777777" w:rsidR="00325DB8" w:rsidRDefault="00DD02E3">
            <w:pPr>
              <w:spacing w:before="40" w:after="20" w:line="300" w:lineRule="auto"/>
              <w:ind w:firstLine="422"/>
              <w:jc w:val="left"/>
            </w:pPr>
            <w:r>
              <w:rPr>
                <w:rFonts w:eastAsia="黑体" w:hint="eastAsia"/>
                <w:b/>
              </w:rPr>
              <w:t>2</w:t>
            </w:r>
            <w:r>
              <w:rPr>
                <w:rFonts w:eastAsia="黑体"/>
                <w:b/>
              </w:rPr>
              <w:t xml:space="preserve">.6 </w:t>
            </w:r>
            <w:r>
              <w:rPr>
                <w:rFonts w:eastAsia="黑体"/>
                <w:b/>
              </w:rPr>
              <w:t>数据闭环、标注策略与可证伪性</w:t>
            </w:r>
          </w:p>
          <w:p w14:paraId="02133D7E" w14:textId="77777777" w:rsidR="00325DB8" w:rsidRDefault="00DD02E3">
            <w:pPr>
              <w:spacing w:line="300" w:lineRule="auto"/>
              <w:ind w:firstLine="420"/>
              <w:jc w:val="left"/>
            </w:pPr>
            <w:r>
              <w:t>理论框架还必须回答数据如何支撑模型。无人机接触检测并不存在天然完美标签：视觉上看似接近的时刻，超声回波可能仍未进入有效耦合区；回波突然增强的时刻，也可能来自电磁噪声或姿态冲</w:t>
            </w:r>
            <w:r>
              <w:lastRenderedPageBreak/>
              <w:t>击。因此，本研究计划采用弱标签与人工复核结合的方式构建训练集。初始标签由状态机事件、位姿误差阈值和回波稳定度共同生成，再通过局部窗口复核修正临界片段，使模型学习到连续过程而非孤立帧。</w:t>
            </w:r>
          </w:p>
          <w:p w14:paraId="02133D7F" w14:textId="77777777" w:rsidR="00325DB8" w:rsidRDefault="00DD02E3">
            <w:pPr>
              <w:spacing w:line="300" w:lineRule="auto"/>
              <w:ind w:firstLine="420"/>
              <w:jc w:val="left"/>
            </w:pPr>
            <w:r>
              <w:t>可证伪性是该理论路线的重要约束。如果物理约束注意力确实有效，那么在传感器噪声增加、光照变化或姿态扰动增强时，模型不应只表现为总体准确率略有变化，而应在注意力权重、门控权重和接触概率曲线上呈现可解释的转移。例如，当视觉深度失效时，视觉门控应下降；当法向速度未收敛时，超声证据应被削弱；当三类证据同时稳定时，接触概率应快速且平滑地上升。</w:t>
            </w:r>
          </w:p>
          <w:p w14:paraId="02133D80" w14:textId="77777777" w:rsidR="00325DB8" w:rsidRDefault="00DD02E3">
            <w:pPr>
              <w:spacing w:line="300" w:lineRule="auto"/>
              <w:ind w:firstLine="420"/>
              <w:jc w:val="left"/>
            </w:pPr>
            <w:r>
              <w:t>为了验证这一点，后续实验将设置三类消融：去除物理约束矩阵、去除模态可靠性门控、去除时序平滑损失。若去除某一模块后模型在临界接触段出现概率闪烁、误报增加或状态切换延迟，就说明该模块不仅提升指标，而且承担了具体的物理解释功能。这种实验设计能够使论文从</w:t>
            </w:r>
            <w:r>
              <w:t>“</w:t>
            </w:r>
            <w:r>
              <w:t>提出一个模型</w:t>
            </w:r>
            <w:r>
              <w:t>”</w:t>
            </w:r>
            <w:r>
              <w:t>进一步推进到</w:t>
            </w:r>
            <w:r>
              <w:t>“</w:t>
            </w:r>
            <w:r>
              <w:t>证明模型为何有效</w:t>
            </w:r>
            <w:r>
              <w:t>”</w:t>
            </w:r>
            <w:r>
              <w:t>。</w:t>
            </w:r>
          </w:p>
          <w:p w14:paraId="02133D81" w14:textId="77777777" w:rsidR="00325DB8" w:rsidRDefault="00DD02E3">
            <w:pPr>
              <w:spacing w:line="300" w:lineRule="auto"/>
              <w:ind w:firstLine="420"/>
              <w:jc w:val="left"/>
            </w:pPr>
            <w:r>
              <w:t>该数据闭环也为后续无人机自主扫查提供反馈。模型输出的接触概率、置信度和模态可靠性可以作为控制层的观测量，指导无人机在不稳定时减速、在接触不足时微调法向位置、在视觉失效时保持保守动作。由此，感知模型不再只是离线分类器，而成为自主检测系统中连接物理测量与运动控制的中间层。</w:t>
            </w:r>
          </w:p>
          <w:p w14:paraId="02133D82" w14:textId="77777777" w:rsidR="00325DB8" w:rsidRDefault="00DD02E3">
            <w:pPr>
              <w:spacing w:before="40" w:after="20" w:line="300" w:lineRule="auto"/>
              <w:ind w:firstLine="422"/>
              <w:jc w:val="left"/>
            </w:pPr>
            <w:r>
              <w:rPr>
                <w:rFonts w:eastAsia="黑体"/>
                <w:b/>
              </w:rPr>
              <w:t xml:space="preserve">3.7 </w:t>
            </w:r>
            <w:r>
              <w:rPr>
                <w:rFonts w:eastAsia="黑体"/>
                <w:b/>
              </w:rPr>
              <w:t>视觉引导、坐标变换与闭环控制解释</w:t>
            </w:r>
          </w:p>
          <w:p w14:paraId="02133D83" w14:textId="77777777" w:rsidR="00325DB8" w:rsidRDefault="00DD02E3">
            <w:pPr>
              <w:spacing w:line="300" w:lineRule="auto"/>
              <w:ind w:firstLine="420"/>
              <w:jc w:val="left"/>
            </w:pPr>
            <w:r>
              <w:t>理论模型最终需要落到无人机控制闭环中。视觉端首先给出目标</w:t>
            </w:r>
            <w:r>
              <w:t>ROI</w:t>
            </w:r>
            <w:r>
              <w:t>和深度信息，结合相机内参得到相机坐标系下的目标点；随后通过</w:t>
            </w:r>
            <w:r>
              <w:t>TF</w:t>
            </w:r>
            <w:r>
              <w:t>链路将目标点转换到世界坐标系或机体系中，形成可由</w:t>
            </w:r>
            <w:r>
              <w:t>MAVROS</w:t>
            </w:r>
            <w:r>
              <w:t>发布的局部位置目标。该过程可写为齐次变换形式：</w:t>
            </w:r>
          </w:p>
          <w:p w14:paraId="02133D84" w14:textId="42C875A7" w:rsidR="00325DB8" w:rsidRPr="00C67E54" w:rsidRDefault="00380551">
            <w:pPr>
              <w:spacing w:before="60" w:after="60" w:line="300" w:lineRule="auto"/>
              <w:ind w:firstLine="1120"/>
              <w:jc w:val="center"/>
            </w:pPr>
            <m:oMathPara>
              <m:oMath>
                <m:sPre>
                  <m:sPrePr>
                    <m:ctrlPr>
                      <w:rPr>
                        <w:rFonts w:ascii="Cambria Math" w:eastAsia="黑体" w:hAnsi="Cambria Math"/>
                        <w:sz w:val="56"/>
                      </w:rPr>
                    </m:ctrlPr>
                  </m:sPrePr>
                  <m:sub>
                    <m:ctrlPr>
                      <w:rPr>
                        <w:rFonts w:ascii="Cambria Math" w:eastAsia="Times New Roman" w:hAnsi="Cambria Math"/>
                        <w:i/>
                      </w:rPr>
                    </m:ctrlPr>
                  </m:sub>
                  <m:sup>
                    <m:r>
                      <w:rPr>
                        <w:rFonts w:ascii="Cambria Math" w:eastAsia="Times New Roman" w:hAnsi="Cambria Math"/>
                      </w:rPr>
                      <m:t>W</m:t>
                    </m:r>
                    <m:ctrlPr>
                      <w:rPr>
                        <w:rFonts w:ascii="Cambria Math" w:eastAsia="Times New Roman" w:hAnsi="Cambria Math"/>
                      </w:rPr>
                    </m:ctrlPr>
                  </m:sup>
                  <m:e>
                    <m:r>
                      <m:rPr>
                        <m:sty m:val="p"/>
                      </m:rPr>
                      <w:rPr>
                        <w:rFonts w:ascii="Cambria Math" w:eastAsia="Times New Roman" w:hAnsi="Cambria Math"/>
                      </w:rPr>
                      <m:t>b</m:t>
                    </m:r>
                    <m:ctrlPr>
                      <w:rPr>
                        <w:rFonts w:ascii="Cambria Math" w:eastAsia="Times New Roman" w:hAnsi="Cambria Math"/>
                      </w:rPr>
                    </m:ctrlPr>
                  </m:e>
                </m:sPre>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sSup>
                  <m:sSupPr>
                    <m:ctrlPr>
                      <w:rPr>
                        <w:rFonts w:ascii="Cambria Math" w:eastAsia="Times New Roman" w:hAnsi="Cambria Math"/>
                        <w:i/>
                      </w:rPr>
                    </m:ctrlPr>
                  </m:sSupPr>
                  <m:e>
                    <m:r>
                      <w:rPr>
                        <w:rFonts w:ascii="Cambria Math" w:eastAsia="Times New Roman" w:hAnsi="Cambria Math"/>
                      </w:rPr>
                      <m:t>=</m:t>
                    </m:r>
                  </m:e>
                  <m:sup>
                    <m:r>
                      <w:rPr>
                        <w:rFonts w:ascii="Cambria Math" w:eastAsia="Times New Roman" w:hAnsi="Cambria Math"/>
                      </w:rPr>
                      <m:t>W</m:t>
                    </m:r>
                  </m:sup>
                </m:sSup>
                <m:sSub>
                  <m:sSubPr>
                    <m:ctrlPr>
                      <w:rPr>
                        <w:rFonts w:ascii="Cambria Math" w:eastAsia="Times New Roman" w:hAnsi="Cambria Math"/>
                        <w:i/>
                      </w:rPr>
                    </m:ctrlPr>
                  </m:sSubPr>
                  <m:e>
                    <m:r>
                      <w:rPr>
                        <w:rFonts w:ascii="Cambria Math" w:eastAsia="Times New Roman" w:hAnsi="Cambria Math"/>
                      </w:rPr>
                      <m:t>T</m:t>
                    </m:r>
                  </m:e>
                  <m:sub>
                    <m:r>
                      <w:rPr>
                        <w:rFonts w:ascii="Cambria Math" w:eastAsia="Times New Roman" w:hAnsi="Cambria Math"/>
                      </w:rPr>
                      <m:t>C</m:t>
                    </m:r>
                  </m:sub>
                </m:sSub>
                <m:sSup>
                  <m:sSupPr>
                    <m:ctrlPr>
                      <w:rPr>
                        <w:rFonts w:ascii="Cambria Math" w:eastAsia="Times New Roman" w:hAnsi="Cambria Math"/>
                        <w:i/>
                      </w:rPr>
                    </m:ctrlPr>
                  </m:sSupPr>
                  <m:e>
                    <m:r>
                      <w:rPr>
                        <w:rFonts w:ascii="Cambria Math" w:eastAsia="Times New Roman" w:hAnsi="Cambria Math"/>
                      </w:rPr>
                      <m:t> </m:t>
                    </m:r>
                  </m:e>
                  <m:sup>
                    <m:r>
                      <w:rPr>
                        <w:rFonts w:ascii="Cambria Math" w:eastAsia="Times New Roman" w:hAnsi="Cambria Math"/>
                      </w:rPr>
                      <m:t>C</m:t>
                    </m:r>
                  </m:sup>
                </m:sSup>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oMath>
            </m:oMathPara>
          </w:p>
          <w:p w14:paraId="02133D85" w14:textId="77777777" w:rsidR="00325DB8" w:rsidRDefault="00DD02E3">
            <w:pPr>
              <w:spacing w:line="300" w:lineRule="auto"/>
              <w:ind w:firstLine="420"/>
              <w:jc w:val="left"/>
            </w:pPr>
            <w:r>
              <w:t>接近控制采用位置和速度误差构成的反馈律：</w:t>
            </w:r>
          </w:p>
          <w:p w14:paraId="02133D86" w14:textId="04F26F33" w:rsidR="00325DB8" w:rsidRPr="00C67E54" w:rsidRDefault="00380551">
            <w:pPr>
              <w:spacing w:before="60" w:after="60" w:line="300" w:lineRule="auto"/>
              <w:ind w:firstLine="420"/>
              <w:jc w:val="center"/>
            </w:pPr>
            <m:oMathPara>
              <m:oMath>
                <m:sSub>
                  <m:sSubPr>
                    <m:ctrlPr>
                      <w:rPr>
                        <w:rFonts w:ascii="Cambria Math" w:eastAsia="Times New Roman" w:hAnsi="Cambria Math"/>
                        <w:i/>
                      </w:rPr>
                    </m:ctrlPr>
                  </m:sSubPr>
                  <m:e>
                    <m:r>
                      <w:rPr>
                        <w:rFonts w:ascii="Cambria Math" w:eastAsia="Times New Roman" w:hAnsi="Cambria Math"/>
                      </w:rPr>
                      <m:t>u</m:t>
                    </m:r>
                  </m:e>
                  <m:sub>
                    <m:r>
                      <w:rPr>
                        <w:rFonts w:ascii="Cambria Math" w:eastAsia="Times New Roman" w:hAnsi="Cambria Math"/>
                      </w:rPr>
                      <m:t>t</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p</m:t>
                    </m:r>
                  </m:sub>
                </m:sSub>
                <m:d>
                  <m:dPr>
                    <m:ctrlPr>
                      <w:rPr>
                        <w:rFonts w:ascii="Cambria Math" w:eastAsia="Times New Roman" w:hAnsi="Cambria Math"/>
                      </w:rPr>
                    </m:ctrlPr>
                  </m:dPr>
                  <m:e>
                    <m:sSup>
                      <m:sSupPr>
                        <m:ctrlPr>
                          <w:rPr>
                            <w:rFonts w:ascii="Cambria Math" w:eastAsia="Times New Roman" w:hAnsi="Cambria Math"/>
                            <w:i/>
                          </w:rPr>
                        </m:ctrlPr>
                      </m:sSupPr>
                      <m:e>
                        <m:r>
                          <w:rPr>
                            <w:rFonts w:ascii="Cambria Math" w:eastAsia="Times New Roman" w:hAnsi="Cambria Math"/>
                          </w:rPr>
                          <m:t>p</m:t>
                        </m:r>
                      </m:e>
                      <m:sup>
                        <m:r>
                          <m:rPr>
                            <m:sty m:val="p"/>
                          </m:rPr>
                          <w:rPr>
                            <w:rFonts w:ascii="Cambria Math" w:eastAsia="Times New Roman" w:hAnsi="Cambria Math"/>
                          </w:rPr>
                          <m:t>⋆</m:t>
                        </m:r>
                      </m:sup>
                    </m:sSup>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t</m:t>
                        </m:r>
                      </m:sub>
                    </m:sSub>
                    <m:ctrlPr>
                      <w:rPr>
                        <w:rFonts w:ascii="Cambria Math" w:eastAsia="Times New Roman" w:hAnsi="Cambria Math"/>
                        <w:i/>
                      </w:rPr>
                    </m:ctrlPr>
                  </m:e>
                </m:d>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d</m:t>
                    </m:r>
                  </m:sub>
                </m:sSub>
                <m:d>
                  <m:dPr>
                    <m:ctrlPr>
                      <w:rPr>
                        <w:rFonts w:ascii="Cambria Math" w:eastAsia="Times New Roman" w:hAnsi="Cambria Math"/>
                      </w:rPr>
                    </m:ctrlPr>
                  </m:dPr>
                  <m:e>
                    <m:acc>
                      <m:accPr>
                        <m:chr m:val="̇"/>
                        <m:ctrlPr>
                          <w:rPr>
                            <w:rFonts w:ascii="Cambria Math" w:eastAsia="Times New Roman" w:hAnsi="Cambria Math"/>
                          </w:rPr>
                        </m:ctrlPr>
                      </m:accPr>
                      <m:e>
                        <m:sSup>
                          <m:sSupPr>
                            <m:ctrlPr>
                              <w:rPr>
                                <w:rFonts w:ascii="Cambria Math" w:eastAsia="Times New Roman" w:hAnsi="Cambria Math"/>
                                <w:i/>
                              </w:rPr>
                            </m:ctrlPr>
                          </m:sSupPr>
                          <m:e>
                            <m:r>
                              <w:rPr>
                                <w:rFonts w:ascii="Cambria Math" w:eastAsia="Times New Roman" w:hAnsi="Cambria Math"/>
                              </w:rPr>
                              <m:t>p</m:t>
                            </m:r>
                            <m:ctrlPr>
                              <w:rPr>
                                <w:rFonts w:ascii="Cambria Math" w:eastAsia="Times New Roman" w:hAnsi="Cambria Math"/>
                              </w:rPr>
                            </m:ctrlPr>
                          </m:e>
                          <m:sup>
                            <m:r>
                              <m:rPr>
                                <m:sty m:val="p"/>
                              </m:rPr>
                              <w:rPr>
                                <w:rFonts w:ascii="Cambria Math" w:eastAsia="Times New Roman" w:hAnsi="Cambria Math"/>
                              </w:rPr>
                              <m:t>⋆</m:t>
                            </m:r>
                          </m:sup>
                        </m:sSup>
                      </m:e>
                    </m:acc>
                    <m:r>
                      <w:rPr>
                        <w:rFonts w:ascii="Cambria Math" w:eastAsia="Times New Roman" w:hAnsi="Cambria Math"/>
                      </w:rPr>
                      <m:t>-</m:t>
                    </m:r>
                    <m:acc>
                      <m:accPr>
                        <m:chr m:val="̇"/>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p</m:t>
                            </m:r>
                            <m:ctrlPr>
                              <w:rPr>
                                <w:rFonts w:ascii="Cambria Math" w:eastAsia="Times New Roman" w:hAnsi="Cambria Math"/>
                              </w:rPr>
                            </m:ctrlPr>
                          </m:e>
                          <m:sub>
                            <m:r>
                              <w:rPr>
                                <w:rFonts w:ascii="Cambria Math" w:eastAsia="Times New Roman" w:hAnsi="Cambria Math"/>
                              </w:rPr>
                              <m:t>t</m:t>
                            </m:r>
                          </m:sub>
                        </m:sSub>
                      </m:e>
                    </m:acc>
                    <m:ctrlPr>
                      <w:rPr>
                        <w:rFonts w:ascii="Cambria Math" w:eastAsia="Times New Roman" w:hAnsi="Cambria Math"/>
                        <w:i/>
                      </w:rPr>
                    </m:ctrlPr>
                  </m:e>
                </m:d>
              </m:oMath>
            </m:oMathPara>
          </w:p>
          <w:p w14:paraId="02133D87" w14:textId="77777777" w:rsidR="00325DB8" w:rsidRDefault="00DD02E3">
            <w:pPr>
              <w:spacing w:line="300" w:lineRule="auto"/>
              <w:ind w:firstLine="420"/>
              <w:jc w:val="left"/>
            </w:pPr>
            <w:r>
              <w:t>该控制律本身并不直接判断检测是否有效，而是提供几何上可执行的接近动作。多模态接触模型则作为状态机的观测层，在目标接近后评估是否进入有效检测区间。接触决策可写为：</w:t>
            </w:r>
          </w:p>
          <w:p w14:paraId="02133D88" w14:textId="0F804758" w:rsidR="00325DB8" w:rsidRPr="00C67E54" w:rsidRDefault="00380551">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m:rPr>
                    <m:scr m:val="double-struck"/>
                  </m:rPr>
                  <w:rPr>
                    <w:rFonts w:ascii="Cambria Math" w:eastAsia="Times New Roman" w:hAnsi="Cambria Math"/>
                  </w:rPr>
                  <m:t>=I</m:t>
                </m:r>
                <m:d>
                  <m:dPr>
                    <m:begChr m:val="["/>
                    <m:endChr m:val="]"/>
                    <m:ctrlPr>
                      <w:rPr>
                        <w:rFonts w:ascii="Cambria Math" w:eastAsia="Times New Roman" w:hAnsi="Cambria Math"/>
                      </w:rPr>
                    </m:ctrlPr>
                  </m:dPr>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m:t>
                            </m:r>
                          </m:sub>
                        </m:sSub>
                      </m:e>
                    </m:d>
                    <m:r>
                      <w:rPr>
                        <w:rFonts w:ascii="Cambria Math" w:eastAsia="Times New Roman" w:hAnsi="Cambria Math"/>
                      </w:rPr>
                      <m:t>&gt;</m:t>
                    </m:r>
                    <m:r>
                      <m:rPr>
                        <m:sty m:val="p"/>
                      </m:rPr>
                      <w:rPr>
                        <w:rFonts w:ascii="Cambria Math" w:eastAsia="Times New Roman" w:hAnsi="Cambria Math"/>
                      </w:rPr>
                      <m:t>θ</m:t>
                    </m:r>
                    <m:ctrlPr>
                      <w:rPr>
                        <w:rFonts w:ascii="Cambria Math" w:eastAsia="Times New Roman" w:hAnsi="Cambria Math"/>
                        <w:i/>
                      </w:rPr>
                    </m:ctrlPr>
                  </m:e>
                </m:d>
              </m:oMath>
            </m:oMathPara>
          </w:p>
          <w:p w14:paraId="02133D89" w14:textId="77777777" w:rsidR="00325DB8" w:rsidRDefault="00DD02E3">
            <w:pPr>
              <w:spacing w:line="300" w:lineRule="auto"/>
              <w:ind w:firstLine="420"/>
              <w:jc w:val="left"/>
            </w:pPr>
            <w:r>
              <w:t>其中历史窗口包含过去一段时间内的回波、位姿和视觉观测。采用历史窗口而非单帧判决，是为了避免飞行器姿态微振、表面反光或电磁噪声造成瞬时误触发。当概率连续保持在阈值以上时，系统进入保持或扫查状态；当概率下降并伴随法向误差增大时，系统回到调整状态。</w:t>
            </w:r>
          </w:p>
          <w:p w14:paraId="02133D8A" w14:textId="77777777" w:rsidR="00325DB8" w:rsidRDefault="00DD02E3">
            <w:pPr>
              <w:spacing w:line="300" w:lineRule="auto"/>
              <w:ind w:firstLine="420"/>
              <w:jc w:val="left"/>
            </w:pPr>
            <w:r>
              <w:t>在该闭环中，视觉、控制和超声并非简单串联，而是互为约束。视觉决定目标几何可达性，控制决定末端相对运动是否平稳，超声决定当前检测是否具备足够能量耦合。只有把三者统一到同一时序状态机中，系统才能避免</w:t>
            </w:r>
            <w:r>
              <w:t>“</w:t>
            </w:r>
            <w:r>
              <w:t>看得见但测不到</w:t>
            </w:r>
            <w:r>
              <w:t>”</w:t>
            </w:r>
            <w:r>
              <w:t>或</w:t>
            </w:r>
            <w:r>
              <w:t>“</w:t>
            </w:r>
            <w:r>
              <w:t>测得到但姿态不可控</w:t>
            </w:r>
            <w:r>
              <w:t>”</w:t>
            </w:r>
            <w:r>
              <w:t>的工程矛盾。这一理论认识也解释了为什么本课题采用多模态逐级物理约束，而不是直接训练端到端黑箱模型。</w:t>
            </w:r>
          </w:p>
          <w:p w14:paraId="02133D8B" w14:textId="77777777" w:rsidR="00325DB8" w:rsidRDefault="00DD02E3">
            <w:pPr>
              <w:spacing w:before="40" w:after="20" w:line="300" w:lineRule="auto"/>
              <w:ind w:firstLine="422"/>
              <w:jc w:val="left"/>
            </w:pPr>
            <w:r>
              <w:rPr>
                <w:rFonts w:eastAsia="黑体"/>
                <w:b/>
              </w:rPr>
              <w:t xml:space="preserve">3.8 </w:t>
            </w:r>
            <w:r>
              <w:rPr>
                <w:rFonts w:eastAsia="黑体"/>
                <w:b/>
              </w:rPr>
              <w:t>当前理论进展小结</w:t>
            </w:r>
          </w:p>
          <w:p w14:paraId="02133D8C" w14:textId="77777777" w:rsidR="00325DB8" w:rsidRDefault="00DD02E3">
            <w:pPr>
              <w:spacing w:line="300" w:lineRule="auto"/>
              <w:ind w:firstLine="420"/>
              <w:jc w:val="left"/>
            </w:pPr>
            <w:r>
              <w:t>综上，本课题已形成以</w:t>
            </w:r>
            <w:r>
              <w:t>“</w:t>
            </w:r>
            <w:r>
              <w:t>电磁</w:t>
            </w:r>
            <w:r>
              <w:t>—</w:t>
            </w:r>
            <w:r>
              <w:t>弹性耦合解释回波来源、接触边界解释信号变化、多模态时序模型解释状态演化、物理约束注意力解释跨模态融合、不确定性传播解释可靠性、数据闭环解释可证伪性</w:t>
            </w:r>
            <w:r>
              <w:t>”</w:t>
            </w:r>
            <w:r>
              <w:t>为主线的理论框架。该框架能够把</w:t>
            </w:r>
            <w:r>
              <w:t>EMAT</w:t>
            </w:r>
            <w:r>
              <w:t>硬件、无人机位姿、</w:t>
            </w:r>
            <w:r>
              <w:t>RGBD</w:t>
            </w:r>
            <w:r>
              <w:t>视觉和控制状态统一到一个可训练、可解释、可闭环使用的模型中。</w:t>
            </w:r>
          </w:p>
          <w:p w14:paraId="02133D8E" w14:textId="7DF48FEC" w:rsidR="00325DB8" w:rsidRDefault="00DD02E3" w:rsidP="00006E17">
            <w:pPr>
              <w:spacing w:line="300" w:lineRule="auto"/>
              <w:ind w:firstLine="420"/>
              <w:jc w:val="left"/>
            </w:pPr>
            <w:r>
              <w:t>下一阶段将基于已采集数据完成特征标注、模型训练与消融实验，重点验证物理约束注意力相对于单模态阈值、普通</w:t>
            </w:r>
            <w:r>
              <w:t>Transformer</w:t>
            </w:r>
            <w:r>
              <w:t>和简单特征拼接方法的提升幅度。预期评价指标包括接触判别准确</w:t>
            </w:r>
            <w:r>
              <w:lastRenderedPageBreak/>
              <w:t>率、临界状态误报率、接触概率时序平滑度以及无人机闭环扫查稳定性，从而为论文后续章节提供可量化的实验依据。</w:t>
            </w:r>
          </w:p>
          <w:p w14:paraId="02133D8F" w14:textId="01B759A5" w:rsidR="00325DB8" w:rsidRDefault="00006E17">
            <w:pPr>
              <w:spacing w:before="40" w:after="40" w:line="300" w:lineRule="auto"/>
              <w:ind w:firstLine="442"/>
              <w:jc w:val="left"/>
            </w:pPr>
            <w:r>
              <w:rPr>
                <w:rFonts w:eastAsia="黑体" w:hint="eastAsia"/>
                <w:b/>
                <w:sz w:val="22"/>
              </w:rPr>
              <w:t>3</w:t>
            </w:r>
            <w:r w:rsidR="00DD02E3">
              <w:rPr>
                <w:rFonts w:eastAsia="黑体"/>
                <w:b/>
                <w:sz w:val="22"/>
              </w:rPr>
              <w:t>、已完成的主要工作</w:t>
            </w:r>
          </w:p>
          <w:p w14:paraId="02133D90" w14:textId="77777777" w:rsidR="00325DB8" w:rsidRDefault="00DD02E3">
            <w:pPr>
              <w:spacing w:before="40" w:after="20" w:line="300" w:lineRule="auto"/>
              <w:ind w:firstLine="422"/>
              <w:jc w:val="left"/>
            </w:pPr>
            <w:r>
              <w:rPr>
                <w:rFonts w:eastAsia="黑体"/>
                <w:b/>
              </w:rPr>
              <w:t xml:space="preserve">2.1 </w:t>
            </w:r>
            <w:r>
              <w:rPr>
                <w:rFonts w:eastAsia="黑体"/>
                <w:b/>
              </w:rPr>
              <w:t>文献调研与理论框架（</w:t>
            </w:r>
            <w:r>
              <w:rPr>
                <w:rFonts w:eastAsia="黑体"/>
                <w:b/>
              </w:rPr>
              <w:t>2025.07—2025.10</w:t>
            </w:r>
            <w:r>
              <w:rPr>
                <w:rFonts w:eastAsia="黑体"/>
                <w:b/>
              </w:rPr>
              <w:t>）</w:t>
            </w:r>
          </w:p>
          <w:p w14:paraId="02133D91" w14:textId="77777777" w:rsidR="00325DB8" w:rsidRDefault="00DD02E3">
            <w:pPr>
              <w:spacing w:line="300" w:lineRule="auto"/>
              <w:ind w:firstLine="420"/>
              <w:jc w:val="left"/>
            </w:pPr>
            <w:r>
              <w:t>系统梳理了三个方向的国内外研究现状：无人机接触式无损检测、电磁超声换能器原理与测厚技术、物理约束神经网络与</w:t>
            </w:r>
            <w:r>
              <w:t>Transformer</w:t>
            </w:r>
            <w:r>
              <w:t>架构。共完成</w:t>
            </w:r>
            <w:r>
              <w:t>32</w:t>
            </w:r>
            <w:r>
              <w:t>篇文献的阅读与整理，涵盖无人机</w:t>
            </w:r>
            <w:r>
              <w:t>NDT</w:t>
            </w:r>
            <w:r>
              <w:t>系统设计（</w:t>
            </w:r>
            <w:r>
              <w:t>Watson</w:t>
            </w:r>
            <w:r>
              <w:t>等、</w:t>
            </w:r>
            <w:r>
              <w:t>Marcellini</w:t>
            </w:r>
            <w:r>
              <w:t>等、</w:t>
            </w:r>
            <w:r>
              <w:t>Kocer</w:t>
            </w:r>
            <w:r>
              <w:t>等）、</w:t>
            </w:r>
            <w:r>
              <w:t>EMAT</w:t>
            </w:r>
            <w:r>
              <w:t>测厚方法（</w:t>
            </w:r>
            <w:r>
              <w:t>Chen</w:t>
            </w:r>
            <w:r>
              <w:t>、</w:t>
            </w:r>
            <w:r>
              <w:t>Kubrusly</w:t>
            </w:r>
            <w:r>
              <w:t>、涂君等）、物理信息神经网络（</w:t>
            </w:r>
            <w:r>
              <w:t>RAMP-Net</w:t>
            </w:r>
            <w:r>
              <w:t>、</w:t>
            </w:r>
            <w:r>
              <w:t>PINNsFormer</w:t>
            </w:r>
            <w:r>
              <w:t>、</w:t>
            </w:r>
            <w:r>
              <w:t>MPFusionNet</w:t>
            </w:r>
            <w:r>
              <w:t>）等核心领域。由此明确三大关键技术问题：单模态检测在动态飞行平台上的局限性、纯数据驱动模型缺乏物理约束导致的泛化不足、接触判定结果的时序抖动。</w:t>
            </w:r>
          </w:p>
          <w:p w14:paraId="02133D92" w14:textId="4E726A23" w:rsidR="00325DB8" w:rsidRDefault="00006E17">
            <w:pPr>
              <w:spacing w:before="40" w:after="20" w:line="300" w:lineRule="auto"/>
              <w:ind w:firstLine="422"/>
              <w:jc w:val="left"/>
            </w:pPr>
            <w:r>
              <w:rPr>
                <w:rFonts w:eastAsia="黑体" w:hint="eastAsia"/>
                <w:b/>
              </w:rPr>
              <w:t>3</w:t>
            </w:r>
            <w:r w:rsidR="00DD02E3">
              <w:rPr>
                <w:rFonts w:eastAsia="黑体"/>
                <w:b/>
              </w:rPr>
              <w:t xml:space="preserve">.2 </w:t>
            </w:r>
            <w:r w:rsidR="00DD02E3">
              <w:rPr>
                <w:rFonts w:eastAsia="黑体"/>
                <w:b/>
              </w:rPr>
              <w:t>无人机实验平台搭建与集成（</w:t>
            </w:r>
            <w:r w:rsidR="00DD02E3">
              <w:rPr>
                <w:rFonts w:eastAsia="黑体"/>
                <w:b/>
              </w:rPr>
              <w:t>2025.11—2026.01</w:t>
            </w:r>
            <w:r w:rsidR="00DD02E3">
              <w:rPr>
                <w:rFonts w:eastAsia="黑体"/>
                <w:b/>
              </w:rPr>
              <w:t>）</w:t>
            </w:r>
          </w:p>
          <w:p w14:paraId="02133D93" w14:textId="77777777" w:rsidR="00325DB8" w:rsidRDefault="00DD02E3">
            <w:pPr>
              <w:spacing w:line="300" w:lineRule="auto"/>
              <w:ind w:firstLine="420"/>
              <w:jc w:val="left"/>
            </w:pPr>
            <w:r>
              <w:t>完成无人机系统平台搭建，集成</w:t>
            </w:r>
            <w:r>
              <w:t>Livox MID-360</w:t>
            </w:r>
            <w:r>
              <w:t>激光雷达、</w:t>
            </w:r>
            <w:r>
              <w:t>Intel RealSense D435</w:t>
            </w:r>
            <w:r>
              <w:t>深度相机与</w:t>
            </w:r>
            <w:r>
              <w:t>PX4</w:t>
            </w:r>
            <w:r>
              <w:t>飞控。通过</w:t>
            </w:r>
            <w:r>
              <w:t>MAVROS</w:t>
            </w:r>
            <w:r>
              <w:t>实现飞控与地面计算机通信，利用</w:t>
            </w:r>
            <w:r>
              <w:t>FAST-LIO 2.0</w:t>
            </w:r>
            <w:r>
              <w:t>（</w:t>
            </w:r>
            <w:r>
              <w:t>IEKF + ikd-Tree</w:t>
            </w:r>
            <w:r>
              <w:t>）提供实时</w:t>
            </w:r>
            <w:r>
              <w:t>6-DOF</w:t>
            </w:r>
            <w:r>
              <w:t>位姿估计。开发</w:t>
            </w:r>
            <w:r>
              <w:t>lidar_to_mavros.py</w:t>
            </w:r>
            <w:r>
              <w:t>桥接节点，将里程计数据转换为</w:t>
            </w:r>
            <w:r>
              <w:t>MAVROS</w:t>
            </w:r>
            <w:r>
              <w:t>视觉位姿反馈。系统已实现遥控下的姿态稳定飞行。</w:t>
            </w:r>
          </w:p>
          <w:p w14:paraId="02133D94" w14:textId="46592B63" w:rsidR="00325DB8" w:rsidRDefault="00006E17">
            <w:pPr>
              <w:spacing w:before="40" w:after="20" w:line="300" w:lineRule="auto"/>
              <w:ind w:firstLine="422"/>
              <w:jc w:val="left"/>
            </w:pPr>
            <w:r>
              <w:rPr>
                <w:rFonts w:eastAsia="黑体" w:hint="eastAsia"/>
                <w:b/>
              </w:rPr>
              <w:t>3</w:t>
            </w:r>
            <w:r w:rsidR="00DD02E3">
              <w:rPr>
                <w:rFonts w:eastAsia="黑体"/>
                <w:b/>
              </w:rPr>
              <w:t xml:space="preserve">.3 </w:t>
            </w:r>
            <w:r w:rsidR="00DD02E3">
              <w:rPr>
                <w:rFonts w:eastAsia="黑体"/>
                <w:b/>
              </w:rPr>
              <w:t>电磁超声探头硬件开发与调试（</w:t>
            </w:r>
            <w:r w:rsidR="00DD02E3">
              <w:rPr>
                <w:rFonts w:eastAsia="黑体"/>
                <w:b/>
              </w:rPr>
              <w:t>2026.02—2026.04</w:t>
            </w:r>
            <w:r w:rsidR="00DD02E3">
              <w:rPr>
                <w:rFonts w:eastAsia="黑体"/>
                <w:b/>
              </w:rPr>
              <w:t>）</w:t>
            </w:r>
          </w:p>
          <w:p w14:paraId="02133D95" w14:textId="77777777" w:rsidR="00325DB8" w:rsidRDefault="00DD02E3">
            <w:pPr>
              <w:spacing w:line="300" w:lineRule="auto"/>
              <w:ind w:firstLine="420"/>
              <w:jc w:val="left"/>
            </w:pPr>
            <w:r>
              <w:t>完成</w:t>
            </w:r>
            <w:r>
              <w:t>EMAT</w:t>
            </w:r>
            <w:r>
              <w:t>探头制作与调试。开发</w:t>
            </w:r>
            <w:r>
              <w:t>ROS</w:t>
            </w:r>
            <w:r>
              <w:t>驱动节点，通过</w:t>
            </w:r>
            <w:r>
              <w:t>USB</w:t>
            </w:r>
            <w:r>
              <w:t>直连</w:t>
            </w:r>
            <w:r>
              <w:t>CH346C</w:t>
            </w:r>
            <w:r>
              <w:t>芯片，以二进制协议（</w:t>
            </w:r>
            <w:r>
              <w:t>0xAB</w:t>
            </w:r>
            <w:r>
              <w:t>头，</w:t>
            </w:r>
            <w:r>
              <w:t>CRC-8</w:t>
            </w:r>
            <w:r>
              <w:t>校验）实现通信。支持厚度读取、波形采集（</w:t>
            </w:r>
            <w:r>
              <w:t>4</w:t>
            </w:r>
            <w:r>
              <w:t>块</w:t>
            </w:r>
            <w:r>
              <w:t>×8185</w:t>
            </w:r>
            <w:r>
              <w:t>采样点，</w:t>
            </w:r>
            <w:r>
              <w:t>8-bit ADC</w:t>
            </w:r>
            <w:r>
              <w:t>）、参数配置等命令。波形采集频率约</w:t>
            </w:r>
            <w:r>
              <w:t>40 Hz</w:t>
            </w:r>
            <w:r>
              <w:t>。开发</w:t>
            </w:r>
            <w:r>
              <w:t>Qt5 C++</w:t>
            </w:r>
            <w:r>
              <w:t>可视化工具，采用</w:t>
            </w:r>
            <w:r>
              <w:t>ring buffer + QTimer</w:t>
            </w:r>
            <w:r>
              <w:t>架构（</w:t>
            </w:r>
            <w:r>
              <w:t>25 ms</w:t>
            </w:r>
            <w:r>
              <w:t>刷新），支持</w:t>
            </w:r>
            <w:r>
              <w:t>DC</w:t>
            </w:r>
            <w:r>
              <w:t>去除与</w:t>
            </w:r>
            <w:r>
              <w:t>RMS</w:t>
            </w:r>
            <w:r>
              <w:t>显示。通过</w:t>
            </w:r>
            <w:r>
              <w:t>udev</w:t>
            </w:r>
            <w:r>
              <w:t>规则实现免</w:t>
            </w:r>
            <w:r>
              <w:t>sudo</w:t>
            </w:r>
            <w:r>
              <w:t>访问，具备断线自动重连能力。</w:t>
            </w:r>
          </w:p>
          <w:p w14:paraId="02133D96" w14:textId="2FE7F7D7" w:rsidR="00325DB8" w:rsidRDefault="00A72C51">
            <w:pPr>
              <w:spacing w:before="40" w:after="20" w:line="300" w:lineRule="auto"/>
              <w:ind w:firstLine="422"/>
              <w:jc w:val="left"/>
            </w:pPr>
            <w:r>
              <w:rPr>
                <w:rFonts w:eastAsia="黑体" w:hint="eastAsia"/>
                <w:b/>
              </w:rPr>
              <w:t>3</w:t>
            </w:r>
            <w:r w:rsidR="00DD02E3">
              <w:rPr>
                <w:rFonts w:eastAsia="黑体"/>
                <w:b/>
              </w:rPr>
              <w:t xml:space="preserve">.4 </w:t>
            </w:r>
            <w:r w:rsidR="00DD02E3">
              <w:rPr>
                <w:rFonts w:eastAsia="黑体"/>
                <w:b/>
              </w:rPr>
              <w:t>多模态数据采集系统构建</w:t>
            </w:r>
          </w:p>
          <w:p w14:paraId="02133D97" w14:textId="77777777" w:rsidR="00325DB8" w:rsidRDefault="00DD02E3">
            <w:pPr>
              <w:spacing w:line="300" w:lineRule="auto"/>
              <w:ind w:firstLine="420"/>
              <w:jc w:val="left"/>
            </w:pPr>
            <w:r>
              <w:t>开发基于视觉</w:t>
            </w:r>
            <w:r>
              <w:t>ROI</w:t>
            </w:r>
            <w:r>
              <w:t>的自主规划程序：用户在</w:t>
            </w:r>
            <w:r>
              <w:t>RGB</w:t>
            </w:r>
            <w:r>
              <w:t>图像中选取目标区域后，系统完成路径规划与末端精确接近。飞行过程中同步采集位姿、</w:t>
            </w:r>
            <w:r>
              <w:t>RGBD</w:t>
            </w:r>
            <w:r>
              <w:t>视频流与</w:t>
            </w:r>
            <w:r>
              <w:t>EMAT</w:t>
            </w:r>
            <w:r>
              <w:t>回波信号，构建结构化多模态数据集，为后续模型训练提供数据支撑。</w:t>
            </w:r>
          </w:p>
          <w:p w14:paraId="02133D98" w14:textId="4F92B41E" w:rsidR="00325DB8" w:rsidRDefault="00A72C51">
            <w:pPr>
              <w:spacing w:before="40" w:after="20" w:line="300" w:lineRule="auto"/>
              <w:ind w:firstLine="422"/>
              <w:jc w:val="left"/>
            </w:pPr>
            <w:r>
              <w:rPr>
                <w:rFonts w:eastAsia="黑体" w:hint="eastAsia"/>
                <w:b/>
              </w:rPr>
              <w:t>3</w:t>
            </w:r>
            <w:r w:rsidR="00DD02E3">
              <w:rPr>
                <w:rFonts w:eastAsia="黑体"/>
                <w:b/>
              </w:rPr>
              <w:t xml:space="preserve">.5 </w:t>
            </w:r>
            <w:r w:rsidR="00DD02E3">
              <w:rPr>
                <w:rFonts w:eastAsia="黑体"/>
                <w:b/>
              </w:rPr>
              <w:t>视觉引导与接触控制验证</w:t>
            </w:r>
          </w:p>
          <w:p w14:paraId="02133D99" w14:textId="77777777" w:rsidR="00325DB8" w:rsidRDefault="00DD02E3">
            <w:pPr>
              <w:spacing w:line="300" w:lineRule="auto"/>
              <w:ind w:firstLine="420"/>
              <w:jc w:val="left"/>
            </w:pPr>
            <w:r>
              <w:t>实现无人机完全自动驾驶下的任意曲面稳定接触。采用位置</w:t>
            </w:r>
            <w:r>
              <w:t>-</w:t>
            </w:r>
            <w:r>
              <w:t>速度串级</w:t>
            </w:r>
            <w:r>
              <w:t>PID</w:t>
            </w:r>
            <w:r>
              <w:t>控制，验证了从视觉引导到接触建立再到稳定扫查的完整流程。</w:t>
            </w:r>
          </w:p>
        </w:tc>
      </w:tr>
      <w:tr w:rsidR="00325DB8" w14:paraId="02133D9C"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9B" w14:textId="77777777" w:rsidR="00325DB8" w:rsidRDefault="00DD02E3">
            <w:pPr>
              <w:spacing w:line="276" w:lineRule="auto"/>
              <w:ind w:firstLine="420"/>
              <w:jc w:val="left"/>
            </w:pPr>
            <w:r>
              <w:lastRenderedPageBreak/>
              <w:t xml:space="preserve">4. </w:t>
            </w:r>
            <w:r>
              <w:t>阶段性研究成果</w:t>
            </w:r>
          </w:p>
        </w:tc>
      </w:tr>
      <w:tr w:rsidR="00325DB8" w14:paraId="02133DA8" w14:textId="77777777">
        <w:trPr>
          <w:trHeight w:val="4352"/>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9D" w14:textId="77777777" w:rsidR="00325DB8" w:rsidRDefault="00DD02E3">
            <w:pPr>
              <w:spacing w:line="300" w:lineRule="auto"/>
              <w:ind w:firstLine="420"/>
              <w:jc w:val="left"/>
            </w:pPr>
            <w:r>
              <w:lastRenderedPageBreak/>
              <w:t>按《研究生学位论文撰写格式规范》的格式要求分类填写与学位论文相关的阶段性研究成果</w:t>
            </w:r>
          </w:p>
          <w:p w14:paraId="02133D9E" w14:textId="77777777" w:rsidR="00325DB8" w:rsidRDefault="00DD02E3">
            <w:pPr>
              <w:spacing w:before="40" w:after="20" w:line="300" w:lineRule="auto"/>
              <w:ind w:firstLine="422"/>
              <w:jc w:val="left"/>
            </w:pPr>
            <w:r>
              <w:rPr>
                <w:rFonts w:eastAsia="黑体"/>
                <w:b/>
              </w:rPr>
              <w:t xml:space="preserve">1. </w:t>
            </w:r>
            <w:r>
              <w:rPr>
                <w:rFonts w:eastAsia="黑体"/>
                <w:b/>
              </w:rPr>
              <w:t>硬件系统</w:t>
            </w:r>
          </w:p>
          <w:p w14:paraId="02133D9F" w14:textId="77777777" w:rsidR="00325DB8" w:rsidRDefault="00DD02E3">
            <w:pPr>
              <w:spacing w:line="300" w:lineRule="auto"/>
              <w:ind w:firstLine="420"/>
              <w:jc w:val="left"/>
            </w:pPr>
            <w:r>
              <w:t>（</w:t>
            </w:r>
            <w:r>
              <w:t>1</w:t>
            </w:r>
            <w:r>
              <w:t>）完成</w:t>
            </w:r>
            <w:r>
              <w:t>EMAT</w:t>
            </w:r>
            <w:r>
              <w:t>探头制作、调试与</w:t>
            </w:r>
            <w:r>
              <w:t>ROS</w:t>
            </w:r>
            <w:r>
              <w:t>驱动开发，实现</w:t>
            </w:r>
            <w:r>
              <w:t>40 Hz</w:t>
            </w:r>
            <w:r>
              <w:t>稳定波形采集；</w:t>
            </w:r>
          </w:p>
          <w:p w14:paraId="02133DA0" w14:textId="77777777" w:rsidR="00325DB8" w:rsidRDefault="00DD02E3">
            <w:pPr>
              <w:spacing w:line="300" w:lineRule="auto"/>
              <w:ind w:firstLine="420"/>
              <w:jc w:val="left"/>
            </w:pPr>
            <w:r>
              <w:t>（</w:t>
            </w:r>
            <w:r>
              <w:t>2</w:t>
            </w:r>
            <w:r>
              <w:t>）完成无人机实验平台搭建，集成</w:t>
            </w:r>
            <w:r>
              <w:t>LiDAR</w:t>
            </w:r>
            <w:r>
              <w:t>、</w:t>
            </w:r>
            <w:r>
              <w:t>RGBD</w:t>
            </w:r>
            <w:r>
              <w:t>相机与</w:t>
            </w:r>
            <w:r>
              <w:t>PX4</w:t>
            </w:r>
            <w:r>
              <w:t>飞控，实现自主飞行与多模态数据同步采集。</w:t>
            </w:r>
          </w:p>
          <w:p w14:paraId="02133DA1" w14:textId="77777777" w:rsidR="00325DB8" w:rsidRDefault="00DD02E3">
            <w:pPr>
              <w:spacing w:before="40" w:after="20" w:line="300" w:lineRule="auto"/>
              <w:ind w:firstLine="422"/>
              <w:jc w:val="left"/>
            </w:pPr>
            <w:r>
              <w:rPr>
                <w:rFonts w:eastAsia="黑体"/>
                <w:b/>
              </w:rPr>
              <w:t xml:space="preserve">2. </w:t>
            </w:r>
            <w:r>
              <w:rPr>
                <w:rFonts w:eastAsia="黑体"/>
                <w:b/>
              </w:rPr>
              <w:t>软件系统</w:t>
            </w:r>
          </w:p>
          <w:p w14:paraId="02133DA2" w14:textId="77777777" w:rsidR="00325DB8" w:rsidRDefault="00DD02E3">
            <w:pPr>
              <w:spacing w:line="300" w:lineRule="auto"/>
              <w:ind w:firstLine="420"/>
              <w:jc w:val="left"/>
            </w:pPr>
            <w:r>
              <w:t>（</w:t>
            </w:r>
            <w:r>
              <w:t>1</w:t>
            </w:r>
            <w:r>
              <w:t>）开发</w:t>
            </w:r>
            <w:r>
              <w:t>EMAT ROS</w:t>
            </w:r>
            <w:r>
              <w:t>驱动节点（</w:t>
            </w:r>
            <w:r>
              <w:t>C++17</w:t>
            </w:r>
            <w:r>
              <w:t>），支持二进制协议通信、自动重连与</w:t>
            </w:r>
            <w:r>
              <w:t>Qt5</w:t>
            </w:r>
            <w:r>
              <w:t>波形可视化；</w:t>
            </w:r>
          </w:p>
          <w:p w14:paraId="02133DA3" w14:textId="77777777" w:rsidR="00325DB8" w:rsidRDefault="00DD02E3">
            <w:pPr>
              <w:spacing w:line="300" w:lineRule="auto"/>
              <w:ind w:firstLine="420"/>
              <w:jc w:val="left"/>
            </w:pPr>
            <w:r>
              <w:t>（</w:t>
            </w:r>
            <w:r>
              <w:t>2</w:t>
            </w:r>
            <w:r>
              <w:t>）开发视觉引导自主规划程序，实现目标选取、路径规划与精确接近的完整流程；</w:t>
            </w:r>
          </w:p>
          <w:p w14:paraId="02133DA4" w14:textId="77777777" w:rsidR="00325DB8" w:rsidRDefault="00DD02E3">
            <w:pPr>
              <w:spacing w:line="300" w:lineRule="auto"/>
              <w:ind w:firstLine="420"/>
              <w:jc w:val="left"/>
            </w:pPr>
            <w:r>
              <w:t>（</w:t>
            </w:r>
            <w:r>
              <w:t>3</w:t>
            </w:r>
            <w:r>
              <w:t>）开发</w:t>
            </w:r>
            <w:r>
              <w:t>record</w:t>
            </w:r>
            <w:r>
              <w:t>数据记录节点，同步记录位姿、</w:t>
            </w:r>
            <w:r>
              <w:t>RGBD</w:t>
            </w:r>
            <w:r>
              <w:t>视频与</w:t>
            </w:r>
            <w:r>
              <w:t>EMAT</w:t>
            </w:r>
            <w:r>
              <w:t>波形数据。</w:t>
            </w:r>
          </w:p>
          <w:p w14:paraId="02133DA5" w14:textId="77777777" w:rsidR="00325DB8" w:rsidRDefault="00DD02E3">
            <w:pPr>
              <w:spacing w:before="40" w:after="20" w:line="300" w:lineRule="auto"/>
              <w:ind w:firstLine="422"/>
              <w:jc w:val="left"/>
            </w:pPr>
            <w:r>
              <w:rPr>
                <w:rFonts w:eastAsia="黑体"/>
                <w:b/>
              </w:rPr>
              <w:t xml:space="preserve">3. </w:t>
            </w:r>
            <w:r>
              <w:rPr>
                <w:rFonts w:eastAsia="黑体"/>
                <w:b/>
              </w:rPr>
              <w:t>实验验证</w:t>
            </w:r>
          </w:p>
          <w:p w14:paraId="02133DA6" w14:textId="77777777" w:rsidR="00325DB8" w:rsidRDefault="00DD02E3">
            <w:pPr>
              <w:spacing w:line="300" w:lineRule="auto"/>
              <w:ind w:firstLine="420"/>
              <w:jc w:val="left"/>
            </w:pPr>
            <w:r>
              <w:t>（</w:t>
            </w:r>
            <w:r>
              <w:t>1</w:t>
            </w:r>
            <w:r>
              <w:t>）实现无人机完全自动驾驶下的任意曲面稳定接触；</w:t>
            </w:r>
          </w:p>
          <w:p w14:paraId="02133DA7" w14:textId="77777777" w:rsidR="00325DB8" w:rsidRDefault="00DD02E3">
            <w:pPr>
              <w:spacing w:line="300" w:lineRule="auto"/>
              <w:ind w:firstLine="420"/>
              <w:jc w:val="left"/>
            </w:pPr>
            <w:r>
              <w:t>（</w:t>
            </w:r>
            <w:r>
              <w:t>2</w:t>
            </w:r>
            <w:r>
              <w:t>）验证位置</w:t>
            </w:r>
            <w:r>
              <w:t>-</w:t>
            </w:r>
            <w:r>
              <w:t>速度串级</w:t>
            </w:r>
            <w:r>
              <w:t>PID</w:t>
            </w:r>
            <w:r>
              <w:t>接触控制闭环的有效性。</w:t>
            </w:r>
          </w:p>
        </w:tc>
      </w:tr>
      <w:tr w:rsidR="00325DB8" w14:paraId="02133DAA" w14:textId="77777777">
        <w:trPr>
          <w:cantSplit/>
          <w:trHeight w:val="2268"/>
          <w:jc w:val="center"/>
        </w:trPr>
        <w:tc>
          <w:tcPr>
            <w:tcW w:w="9638" w:type="dxa"/>
            <w:gridSpan w:val="5"/>
            <w:tcBorders>
              <w:top w:val="single" w:sz="6" w:space="0" w:color="000000"/>
              <w:left w:val="single" w:sz="6" w:space="0" w:color="000000"/>
              <w:right w:val="single" w:sz="6" w:space="0" w:color="000000"/>
            </w:tcBorders>
            <w:vAlign w:val="center"/>
          </w:tcPr>
          <w:p w14:paraId="02133DA9" w14:textId="77777777" w:rsidR="00325DB8" w:rsidRDefault="00DD02E3">
            <w:pPr>
              <w:spacing w:line="276" w:lineRule="auto"/>
              <w:ind w:firstLine="420"/>
              <w:jc w:val="left"/>
            </w:pPr>
            <w:r>
              <w:t>导师对工作进展及研究计划的意见：</w:t>
            </w:r>
          </w:p>
        </w:tc>
      </w:tr>
      <w:tr w:rsidR="00325DB8" w14:paraId="02133DAC" w14:textId="77777777">
        <w:trPr>
          <w:cantSplit/>
          <w:jc w:val="center"/>
        </w:trPr>
        <w:tc>
          <w:tcPr>
            <w:tcW w:w="9638" w:type="dxa"/>
            <w:gridSpan w:val="5"/>
            <w:tcBorders>
              <w:left w:val="single" w:sz="6" w:space="0" w:color="000000"/>
              <w:bottom w:val="single" w:sz="6" w:space="0" w:color="000000"/>
              <w:right w:val="single" w:sz="6" w:space="0" w:color="000000"/>
            </w:tcBorders>
            <w:vAlign w:val="center"/>
          </w:tcPr>
          <w:p w14:paraId="02133DAB" w14:textId="77777777" w:rsidR="00325DB8" w:rsidRDefault="00DD02E3">
            <w:pPr>
              <w:spacing w:line="276" w:lineRule="auto"/>
              <w:ind w:firstLine="420"/>
              <w:jc w:val="right"/>
            </w:pPr>
            <w:r>
              <w:t>导师（组）签字：</w:t>
            </w:r>
            <w:r>
              <w:t xml:space="preserve">                                           </w:t>
            </w:r>
            <w:r>
              <w:t>年</w:t>
            </w:r>
            <w:r>
              <w:t xml:space="preserve">     </w:t>
            </w:r>
            <w:r>
              <w:t>月</w:t>
            </w:r>
            <w:r>
              <w:t xml:space="preserve">     </w:t>
            </w:r>
            <w:r>
              <w:t>日</w:t>
            </w:r>
          </w:p>
        </w:tc>
      </w:tr>
      <w:tr w:rsidR="00325DB8" w14:paraId="02133DAE" w14:textId="77777777">
        <w:trPr>
          <w:cantSplit/>
          <w:trHeight w:val="397"/>
          <w:jc w:val="center"/>
        </w:trPr>
        <w:tc>
          <w:tcPr>
            <w:tcW w:w="9638" w:type="dxa"/>
            <w:gridSpan w:val="5"/>
            <w:tcBorders>
              <w:top w:val="single" w:sz="6" w:space="0" w:color="000000"/>
              <w:left w:val="single" w:sz="6" w:space="0" w:color="000000"/>
              <w:bottom w:val="single" w:sz="6" w:space="0" w:color="000000"/>
              <w:right w:val="single" w:sz="6" w:space="0" w:color="000000"/>
            </w:tcBorders>
            <w:vAlign w:val="center"/>
          </w:tcPr>
          <w:p w14:paraId="02133DAD" w14:textId="77777777" w:rsidR="00325DB8" w:rsidRDefault="00DD02E3">
            <w:pPr>
              <w:spacing w:line="276" w:lineRule="auto"/>
              <w:ind w:firstLine="420"/>
              <w:jc w:val="left"/>
            </w:pPr>
            <w:r>
              <w:t>2.</w:t>
            </w:r>
            <w:r>
              <w:t>中期考评专家组意见</w:t>
            </w:r>
          </w:p>
        </w:tc>
      </w:tr>
      <w:tr w:rsidR="00325DB8" w14:paraId="02133DB3"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AF" w14:textId="77777777" w:rsidR="00325DB8" w:rsidRDefault="00DD02E3">
            <w:pPr>
              <w:spacing w:line="276" w:lineRule="auto"/>
              <w:ind w:firstLine="420"/>
              <w:jc w:val="center"/>
            </w:pPr>
            <w:r>
              <w:t>考评日期</w:t>
            </w:r>
          </w:p>
        </w:tc>
        <w:tc>
          <w:tcPr>
            <w:tcW w:w="2405" w:type="dxa"/>
            <w:tcBorders>
              <w:top w:val="single" w:sz="6" w:space="0" w:color="000000"/>
              <w:left w:val="single" w:sz="6" w:space="0" w:color="000000"/>
              <w:bottom w:val="single" w:sz="6" w:space="0" w:color="000000"/>
              <w:right w:val="single" w:sz="6" w:space="0" w:color="000000"/>
            </w:tcBorders>
            <w:vAlign w:val="center"/>
          </w:tcPr>
          <w:p w14:paraId="02133DB0" w14:textId="77777777" w:rsidR="00325DB8" w:rsidRDefault="00325DB8">
            <w:pPr>
              <w:ind w:firstLine="480"/>
              <w:jc w:val="left"/>
              <w:rPr>
                <w:sz w:val="24"/>
              </w:rPr>
            </w:pPr>
          </w:p>
        </w:tc>
        <w:tc>
          <w:tcPr>
            <w:tcW w:w="2219" w:type="dxa"/>
            <w:gridSpan w:val="2"/>
            <w:tcBorders>
              <w:top w:val="single" w:sz="6" w:space="0" w:color="000000"/>
              <w:left w:val="single" w:sz="6" w:space="0" w:color="000000"/>
              <w:bottom w:val="single" w:sz="6" w:space="0" w:color="000000"/>
              <w:right w:val="single" w:sz="6" w:space="0" w:color="000000"/>
            </w:tcBorders>
            <w:vAlign w:val="center"/>
          </w:tcPr>
          <w:p w14:paraId="02133DB1" w14:textId="77777777" w:rsidR="00325DB8" w:rsidRDefault="00DD02E3">
            <w:pPr>
              <w:spacing w:line="276" w:lineRule="auto"/>
              <w:ind w:firstLine="420"/>
              <w:jc w:val="center"/>
            </w:pPr>
            <w:r>
              <w:t>考评地点</w:t>
            </w:r>
          </w:p>
        </w:tc>
        <w:tc>
          <w:tcPr>
            <w:tcW w:w="3861" w:type="dxa"/>
            <w:tcBorders>
              <w:top w:val="single" w:sz="6" w:space="0" w:color="000000"/>
              <w:left w:val="single" w:sz="6" w:space="0" w:color="000000"/>
              <w:bottom w:val="single" w:sz="6" w:space="0" w:color="000000"/>
              <w:right w:val="single" w:sz="6" w:space="0" w:color="000000"/>
            </w:tcBorders>
            <w:vAlign w:val="center"/>
          </w:tcPr>
          <w:p w14:paraId="02133DB2" w14:textId="77777777" w:rsidR="00325DB8" w:rsidRDefault="00325DB8">
            <w:pPr>
              <w:ind w:firstLine="480"/>
              <w:jc w:val="left"/>
              <w:rPr>
                <w:sz w:val="24"/>
              </w:rPr>
            </w:pPr>
          </w:p>
        </w:tc>
      </w:tr>
      <w:tr w:rsidR="00325DB8" w14:paraId="02133DB6"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4" w14:textId="77777777" w:rsidR="00325DB8" w:rsidRDefault="00DD02E3">
            <w:pPr>
              <w:spacing w:line="276" w:lineRule="auto"/>
              <w:ind w:firstLine="420"/>
              <w:jc w:val="center"/>
            </w:pPr>
            <w:r>
              <w:t>考评专家</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5" w14:textId="77777777" w:rsidR="00325DB8" w:rsidRDefault="00325DB8">
            <w:pPr>
              <w:ind w:firstLine="480"/>
              <w:jc w:val="left"/>
              <w:rPr>
                <w:sz w:val="24"/>
              </w:rPr>
            </w:pPr>
          </w:p>
        </w:tc>
      </w:tr>
      <w:tr w:rsidR="00325DB8" w14:paraId="02133DB9"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7" w14:textId="77777777" w:rsidR="00325DB8" w:rsidRDefault="00DD02E3">
            <w:pPr>
              <w:spacing w:line="276" w:lineRule="auto"/>
              <w:ind w:firstLine="420"/>
              <w:jc w:val="center"/>
            </w:pPr>
            <w:r>
              <w:t>考评成绩</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8" w14:textId="77777777" w:rsidR="00325DB8" w:rsidRDefault="00DD02E3">
            <w:pPr>
              <w:spacing w:line="276" w:lineRule="auto"/>
              <w:ind w:firstLine="420"/>
              <w:jc w:val="center"/>
            </w:pPr>
            <w:r>
              <w:t>合格</w:t>
            </w:r>
            <w:r>
              <w:t xml:space="preserve">    </w:t>
            </w:r>
            <w:r>
              <w:t>票</w:t>
            </w:r>
            <w:r>
              <w:t xml:space="preserve">       </w:t>
            </w:r>
            <w:r>
              <w:t>基本合格</w:t>
            </w:r>
            <w:r>
              <w:t xml:space="preserve">    </w:t>
            </w:r>
            <w:r>
              <w:t>票</w:t>
            </w:r>
            <w:r>
              <w:t xml:space="preserve">       </w:t>
            </w:r>
            <w:r>
              <w:t>不合格</w:t>
            </w:r>
            <w:r>
              <w:t xml:space="preserve">    </w:t>
            </w:r>
            <w:r>
              <w:t>票</w:t>
            </w:r>
          </w:p>
        </w:tc>
      </w:tr>
      <w:tr w:rsidR="00325DB8" w14:paraId="02133DBC"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A" w14:textId="77777777" w:rsidR="00325DB8" w:rsidRDefault="00DD02E3">
            <w:pPr>
              <w:spacing w:line="276" w:lineRule="auto"/>
              <w:ind w:firstLine="420"/>
              <w:jc w:val="center"/>
            </w:pPr>
            <w:r>
              <w:t>结</w:t>
            </w:r>
            <w:r>
              <w:t xml:space="preserve">    </w:t>
            </w:r>
            <w:r>
              <w:t>论</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B" w14:textId="77777777" w:rsidR="00325DB8" w:rsidRDefault="00DD02E3">
            <w:pPr>
              <w:spacing w:line="276" w:lineRule="auto"/>
              <w:ind w:firstLine="420"/>
              <w:jc w:val="left"/>
            </w:pPr>
            <w:r>
              <w:t>□</w:t>
            </w:r>
            <w:r>
              <w:t>通过</w:t>
            </w:r>
            <w:r>
              <w:t xml:space="preserve">            □</w:t>
            </w:r>
            <w:r>
              <w:t>原则通过</w:t>
            </w:r>
            <w:r>
              <w:t xml:space="preserve">           □</w:t>
            </w:r>
            <w:r>
              <w:t>不通过</w:t>
            </w:r>
            <w:r>
              <w:br/>
            </w:r>
            <w:r>
              <w:t>通过：表决票均为合格</w:t>
            </w:r>
            <w:r>
              <w:br/>
            </w:r>
            <w:r>
              <w:t>原则通过：表决票中有</w:t>
            </w:r>
            <w:r>
              <w:t>1</w:t>
            </w:r>
            <w:r>
              <w:t>票为基本合格或不合格，其余为合格和基本合格</w:t>
            </w:r>
            <w:r>
              <w:br/>
            </w:r>
            <w:r>
              <w:t>不通过：表决票中有</w:t>
            </w:r>
            <w:r>
              <w:t>2</w:t>
            </w:r>
            <w:r>
              <w:t>票及以上为不合格</w:t>
            </w:r>
          </w:p>
        </w:tc>
      </w:tr>
      <w:tr w:rsidR="00325DB8" w14:paraId="02133DBE"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BD" w14:textId="77777777" w:rsidR="00325DB8" w:rsidRDefault="00DD02E3">
            <w:pPr>
              <w:spacing w:line="276" w:lineRule="auto"/>
              <w:ind w:firstLine="420"/>
              <w:jc w:val="left"/>
            </w:pPr>
            <w:r>
              <w:t>对学位论文工作进展，从事科学研究的能力和作风，以及下一步研究计划的建议，是否适合继续攻读学位：</w:t>
            </w:r>
          </w:p>
        </w:tc>
      </w:tr>
      <w:tr w:rsidR="00325DB8" w14:paraId="02133DC0" w14:textId="77777777">
        <w:trPr>
          <w:cantSplit/>
          <w:trHeight w:val="851"/>
          <w:jc w:val="center"/>
        </w:trPr>
        <w:tc>
          <w:tcPr>
            <w:tcW w:w="9638" w:type="dxa"/>
            <w:gridSpan w:val="5"/>
            <w:tcBorders>
              <w:left w:val="single" w:sz="6" w:space="0" w:color="000000"/>
              <w:bottom w:val="single" w:sz="6" w:space="0" w:color="000000"/>
              <w:right w:val="single" w:sz="6" w:space="0" w:color="000000"/>
            </w:tcBorders>
            <w:vAlign w:val="center"/>
          </w:tcPr>
          <w:p w14:paraId="02133DBF" w14:textId="77777777" w:rsidR="00325DB8" w:rsidRDefault="00DD02E3">
            <w:pPr>
              <w:spacing w:line="276" w:lineRule="auto"/>
              <w:ind w:firstLine="420"/>
              <w:jc w:val="right"/>
            </w:pPr>
            <w:r>
              <w:t>考评组签名：</w:t>
            </w:r>
            <w:r>
              <w:tab/>
            </w:r>
            <w:r>
              <w:t>年</w:t>
            </w:r>
            <w:r>
              <w:t xml:space="preserve">    </w:t>
            </w:r>
            <w:r>
              <w:t>月</w:t>
            </w:r>
            <w:r>
              <w:t xml:space="preserve">    </w:t>
            </w:r>
            <w:r>
              <w:t>日</w:t>
            </w:r>
          </w:p>
        </w:tc>
      </w:tr>
      <w:tr w:rsidR="00325DB8" w14:paraId="02133DC2"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C1" w14:textId="77777777" w:rsidR="00325DB8" w:rsidRDefault="00DD02E3">
            <w:pPr>
              <w:spacing w:line="276" w:lineRule="auto"/>
              <w:ind w:firstLine="420"/>
              <w:jc w:val="left"/>
            </w:pPr>
            <w:r>
              <w:t>3.</w:t>
            </w:r>
            <w:r>
              <w:t>学院意见：</w:t>
            </w:r>
          </w:p>
        </w:tc>
      </w:tr>
      <w:tr w:rsidR="00325DB8" w14:paraId="02133DC4" w14:textId="77777777">
        <w:trPr>
          <w:cantSplit/>
          <w:trHeight w:val="30"/>
          <w:jc w:val="center"/>
        </w:trPr>
        <w:tc>
          <w:tcPr>
            <w:tcW w:w="9638" w:type="dxa"/>
            <w:gridSpan w:val="5"/>
            <w:tcBorders>
              <w:left w:val="single" w:sz="6" w:space="0" w:color="000000"/>
              <w:bottom w:val="single" w:sz="6" w:space="0" w:color="000000"/>
              <w:right w:val="single" w:sz="6" w:space="0" w:color="000000"/>
            </w:tcBorders>
            <w:vAlign w:val="center"/>
          </w:tcPr>
          <w:p w14:paraId="02133DC3" w14:textId="77777777" w:rsidR="00325DB8" w:rsidRDefault="00DD02E3">
            <w:pPr>
              <w:spacing w:line="276" w:lineRule="auto"/>
              <w:ind w:firstLine="420"/>
              <w:jc w:val="right"/>
            </w:pPr>
            <w:r>
              <w:lastRenderedPageBreak/>
              <w:t>负责人签名：</w:t>
            </w:r>
            <w:r>
              <w:t xml:space="preserve">                         </w:t>
            </w:r>
            <w:r>
              <w:t>年</w:t>
            </w:r>
            <w:r>
              <w:t xml:space="preserve">    </w:t>
            </w:r>
            <w:r>
              <w:t>月</w:t>
            </w:r>
            <w:r>
              <w:t xml:space="preserve">    </w:t>
            </w:r>
            <w:r>
              <w:t>日</w:t>
            </w:r>
          </w:p>
        </w:tc>
      </w:tr>
    </w:tbl>
    <w:p w14:paraId="02133DC5" w14:textId="77777777" w:rsidR="00325DB8" w:rsidRDefault="00325DB8">
      <w:pPr>
        <w:spacing w:line="40" w:lineRule="exact"/>
        <w:ind w:firstLine="420"/>
        <w:jc w:val="left"/>
      </w:pPr>
    </w:p>
    <w:p w14:paraId="02133DC6" w14:textId="77777777" w:rsidR="00325DB8" w:rsidRDefault="00DD02E3">
      <w:pPr>
        <w:spacing w:before="240" w:after="120"/>
        <w:ind w:firstLine="560"/>
        <w:jc w:val="center"/>
      </w:pPr>
      <w:r>
        <w:rPr>
          <w:rFonts w:eastAsia="黑体"/>
          <w:sz w:val="28"/>
        </w:rPr>
        <w:t>研究计划及完成情况</w:t>
      </w:r>
    </w:p>
    <w:tbl>
      <w:tblPr>
        <w:tblStyle w:val="af2"/>
        <w:tblW w:w="8277" w:type="dxa"/>
        <w:jc w:val="center"/>
        <w:tblLayout w:type="fixed"/>
        <w:tblCellMar>
          <w:top w:w="80" w:type="dxa"/>
          <w:left w:w="100" w:type="dxa"/>
          <w:bottom w:w="80" w:type="dxa"/>
          <w:right w:w="100" w:type="dxa"/>
        </w:tblCellMar>
        <w:tblLook w:val="04A0" w:firstRow="1" w:lastRow="0" w:firstColumn="1" w:lastColumn="0" w:noHBand="0" w:noVBand="1"/>
      </w:tblPr>
      <w:tblGrid>
        <w:gridCol w:w="1814"/>
        <w:gridCol w:w="5102"/>
        <w:gridCol w:w="1361"/>
      </w:tblGrid>
      <w:tr w:rsidR="00325DB8" w14:paraId="02133DCA" w14:textId="77777777">
        <w:trPr>
          <w:jc w:val="center"/>
        </w:trPr>
        <w:tc>
          <w:tcPr>
            <w:tcW w:w="1814" w:type="dxa"/>
            <w:vAlign w:val="center"/>
          </w:tcPr>
          <w:p w14:paraId="02133DC7" w14:textId="77777777" w:rsidR="00325DB8" w:rsidRDefault="00DD02E3">
            <w:pPr>
              <w:spacing w:line="276" w:lineRule="auto"/>
              <w:ind w:firstLine="422"/>
              <w:jc w:val="center"/>
              <w:rPr>
                <w:rFonts w:hint="eastAsia"/>
              </w:rPr>
            </w:pPr>
            <w:r>
              <w:rPr>
                <w:b/>
              </w:rPr>
              <w:t>起止年月</w:t>
            </w:r>
          </w:p>
        </w:tc>
        <w:tc>
          <w:tcPr>
            <w:tcW w:w="5102" w:type="dxa"/>
            <w:vAlign w:val="center"/>
          </w:tcPr>
          <w:p w14:paraId="02133DC8" w14:textId="77777777" w:rsidR="00325DB8" w:rsidRDefault="00DD02E3">
            <w:pPr>
              <w:spacing w:line="276" w:lineRule="auto"/>
              <w:ind w:firstLine="422"/>
              <w:jc w:val="center"/>
              <w:rPr>
                <w:rFonts w:hint="eastAsia"/>
              </w:rPr>
            </w:pPr>
            <w:r>
              <w:rPr>
                <w:b/>
              </w:rPr>
              <w:t>完成内容</w:t>
            </w:r>
          </w:p>
        </w:tc>
        <w:tc>
          <w:tcPr>
            <w:tcW w:w="1361" w:type="dxa"/>
            <w:vAlign w:val="center"/>
          </w:tcPr>
          <w:p w14:paraId="02133DC9" w14:textId="77777777" w:rsidR="00325DB8" w:rsidRDefault="00DD02E3">
            <w:pPr>
              <w:spacing w:line="276" w:lineRule="auto"/>
              <w:ind w:firstLine="422"/>
              <w:jc w:val="center"/>
              <w:rPr>
                <w:rFonts w:hint="eastAsia"/>
              </w:rPr>
            </w:pPr>
            <w:r>
              <w:rPr>
                <w:b/>
              </w:rPr>
              <w:t>完成情况</w:t>
            </w:r>
          </w:p>
        </w:tc>
      </w:tr>
      <w:tr w:rsidR="00325DB8" w14:paraId="02133DCE" w14:textId="77777777">
        <w:trPr>
          <w:jc w:val="center"/>
        </w:trPr>
        <w:tc>
          <w:tcPr>
            <w:tcW w:w="1814" w:type="dxa"/>
            <w:vAlign w:val="center"/>
          </w:tcPr>
          <w:p w14:paraId="02133DCB" w14:textId="77777777" w:rsidR="00325DB8" w:rsidRDefault="00DD02E3">
            <w:pPr>
              <w:spacing w:line="276" w:lineRule="auto"/>
              <w:ind w:firstLine="420"/>
              <w:jc w:val="center"/>
              <w:rPr>
                <w:rFonts w:hint="eastAsia"/>
              </w:rPr>
            </w:pPr>
            <w:r>
              <w:t>2025.07-2025.10</w:t>
            </w:r>
          </w:p>
        </w:tc>
        <w:tc>
          <w:tcPr>
            <w:tcW w:w="5102" w:type="dxa"/>
            <w:vAlign w:val="center"/>
          </w:tcPr>
          <w:p w14:paraId="02133DCC" w14:textId="77777777" w:rsidR="00325DB8" w:rsidRDefault="00DD02E3">
            <w:pPr>
              <w:spacing w:line="276" w:lineRule="auto"/>
              <w:ind w:firstLine="420"/>
              <w:jc w:val="left"/>
              <w:rPr>
                <w:rFonts w:hint="eastAsia"/>
              </w:rPr>
            </w:pPr>
            <w:r>
              <w:t>阅读相关参考文献，调研国内外现状，完成论文的规划</w:t>
            </w:r>
          </w:p>
        </w:tc>
        <w:tc>
          <w:tcPr>
            <w:tcW w:w="1361" w:type="dxa"/>
            <w:vAlign w:val="center"/>
          </w:tcPr>
          <w:p w14:paraId="02133DCD" w14:textId="77777777" w:rsidR="00325DB8" w:rsidRDefault="00DD02E3">
            <w:pPr>
              <w:spacing w:line="276" w:lineRule="auto"/>
              <w:ind w:firstLine="420"/>
              <w:jc w:val="center"/>
              <w:rPr>
                <w:rFonts w:hint="eastAsia"/>
              </w:rPr>
            </w:pPr>
            <w:r>
              <w:t>已完成</w:t>
            </w:r>
          </w:p>
        </w:tc>
      </w:tr>
      <w:tr w:rsidR="00325DB8" w14:paraId="02133DD2" w14:textId="77777777">
        <w:trPr>
          <w:jc w:val="center"/>
        </w:trPr>
        <w:tc>
          <w:tcPr>
            <w:tcW w:w="1814" w:type="dxa"/>
            <w:vAlign w:val="center"/>
          </w:tcPr>
          <w:p w14:paraId="02133DCF" w14:textId="77777777" w:rsidR="00325DB8" w:rsidRDefault="00DD02E3">
            <w:pPr>
              <w:spacing w:line="276" w:lineRule="auto"/>
              <w:ind w:firstLine="420"/>
              <w:jc w:val="center"/>
              <w:rPr>
                <w:rFonts w:hint="eastAsia"/>
              </w:rPr>
            </w:pPr>
            <w:r>
              <w:t>2025.11-2026.01</w:t>
            </w:r>
          </w:p>
        </w:tc>
        <w:tc>
          <w:tcPr>
            <w:tcW w:w="5102" w:type="dxa"/>
            <w:vAlign w:val="center"/>
          </w:tcPr>
          <w:p w14:paraId="02133DD0" w14:textId="77777777" w:rsidR="00325DB8" w:rsidRDefault="00DD02E3">
            <w:pPr>
              <w:spacing w:line="276" w:lineRule="auto"/>
              <w:ind w:firstLine="420"/>
              <w:jc w:val="left"/>
              <w:rPr>
                <w:rFonts w:hint="eastAsia"/>
              </w:rPr>
            </w:pPr>
            <w:r>
              <w:t>文献整理，验证常用电磁超声检测、多模态特征提取、</w:t>
            </w:r>
            <w:r>
              <w:t>Transformer</w:t>
            </w:r>
            <w:r>
              <w:t>架构</w:t>
            </w:r>
          </w:p>
        </w:tc>
        <w:tc>
          <w:tcPr>
            <w:tcW w:w="1361" w:type="dxa"/>
            <w:vAlign w:val="center"/>
          </w:tcPr>
          <w:p w14:paraId="02133DD1" w14:textId="77777777" w:rsidR="00325DB8" w:rsidRDefault="00DD02E3">
            <w:pPr>
              <w:spacing w:line="276" w:lineRule="auto"/>
              <w:ind w:firstLine="420"/>
              <w:jc w:val="center"/>
              <w:rPr>
                <w:rFonts w:hint="eastAsia"/>
              </w:rPr>
            </w:pPr>
            <w:r>
              <w:t>已完成</w:t>
            </w:r>
          </w:p>
        </w:tc>
      </w:tr>
      <w:tr w:rsidR="00325DB8" w14:paraId="02133DD6" w14:textId="77777777">
        <w:trPr>
          <w:jc w:val="center"/>
        </w:trPr>
        <w:tc>
          <w:tcPr>
            <w:tcW w:w="1814" w:type="dxa"/>
            <w:vAlign w:val="center"/>
          </w:tcPr>
          <w:p w14:paraId="02133DD3" w14:textId="77777777" w:rsidR="00325DB8" w:rsidRDefault="00DD02E3">
            <w:pPr>
              <w:spacing w:line="276" w:lineRule="auto"/>
              <w:ind w:firstLine="420"/>
              <w:jc w:val="center"/>
              <w:rPr>
                <w:rFonts w:hint="eastAsia"/>
              </w:rPr>
            </w:pPr>
            <w:r>
              <w:t>2026.02-2026.04</w:t>
            </w:r>
          </w:p>
        </w:tc>
        <w:tc>
          <w:tcPr>
            <w:tcW w:w="5102" w:type="dxa"/>
            <w:vAlign w:val="center"/>
          </w:tcPr>
          <w:p w14:paraId="02133DD4" w14:textId="77777777" w:rsidR="00325DB8" w:rsidRDefault="00DD02E3">
            <w:pPr>
              <w:spacing w:line="276" w:lineRule="auto"/>
              <w:ind w:firstLine="420"/>
              <w:jc w:val="left"/>
              <w:rPr>
                <w:rFonts w:hint="eastAsia"/>
              </w:rPr>
            </w:pPr>
            <w:r>
              <w:t>开展无人机搭载电磁超声系统开发</w:t>
            </w:r>
          </w:p>
        </w:tc>
        <w:tc>
          <w:tcPr>
            <w:tcW w:w="1361" w:type="dxa"/>
            <w:vAlign w:val="center"/>
          </w:tcPr>
          <w:p w14:paraId="02133DD5" w14:textId="77777777" w:rsidR="00325DB8" w:rsidRDefault="00DD02E3">
            <w:pPr>
              <w:spacing w:line="276" w:lineRule="auto"/>
              <w:ind w:firstLine="420"/>
              <w:jc w:val="center"/>
              <w:rPr>
                <w:rFonts w:hint="eastAsia"/>
              </w:rPr>
            </w:pPr>
            <w:r>
              <w:t>已完成</w:t>
            </w:r>
          </w:p>
        </w:tc>
      </w:tr>
      <w:tr w:rsidR="00325DB8" w14:paraId="02133DDA" w14:textId="77777777">
        <w:trPr>
          <w:jc w:val="center"/>
        </w:trPr>
        <w:tc>
          <w:tcPr>
            <w:tcW w:w="1814" w:type="dxa"/>
            <w:vAlign w:val="center"/>
          </w:tcPr>
          <w:p w14:paraId="02133DD7" w14:textId="77777777" w:rsidR="00325DB8" w:rsidRDefault="00DD02E3">
            <w:pPr>
              <w:spacing w:line="276" w:lineRule="auto"/>
              <w:ind w:firstLine="420"/>
              <w:jc w:val="center"/>
              <w:rPr>
                <w:rFonts w:hint="eastAsia"/>
              </w:rPr>
            </w:pPr>
            <w:r>
              <w:t>2026.05-2026.11</w:t>
            </w:r>
          </w:p>
        </w:tc>
        <w:tc>
          <w:tcPr>
            <w:tcW w:w="5102" w:type="dxa"/>
            <w:vAlign w:val="center"/>
          </w:tcPr>
          <w:p w14:paraId="02133DD8" w14:textId="77777777" w:rsidR="00325DB8" w:rsidRDefault="00DD02E3">
            <w:pPr>
              <w:spacing w:line="276" w:lineRule="auto"/>
              <w:ind w:firstLine="420"/>
              <w:jc w:val="left"/>
              <w:rPr>
                <w:rFonts w:hint="eastAsia"/>
              </w:rPr>
            </w:pPr>
            <w:r>
              <w:t>在硬件系统完成数据采集与方案验证</w:t>
            </w:r>
          </w:p>
        </w:tc>
        <w:tc>
          <w:tcPr>
            <w:tcW w:w="1361" w:type="dxa"/>
            <w:vAlign w:val="center"/>
          </w:tcPr>
          <w:p w14:paraId="02133DD9" w14:textId="77777777" w:rsidR="00325DB8" w:rsidRDefault="00DD02E3">
            <w:pPr>
              <w:spacing w:line="276" w:lineRule="auto"/>
              <w:ind w:firstLine="420"/>
              <w:jc w:val="center"/>
              <w:rPr>
                <w:rFonts w:hint="eastAsia"/>
              </w:rPr>
            </w:pPr>
            <w:r>
              <w:t>进行中</w:t>
            </w:r>
          </w:p>
        </w:tc>
      </w:tr>
      <w:tr w:rsidR="00325DB8" w14:paraId="02133DDE" w14:textId="77777777">
        <w:trPr>
          <w:jc w:val="center"/>
        </w:trPr>
        <w:tc>
          <w:tcPr>
            <w:tcW w:w="1814" w:type="dxa"/>
            <w:vAlign w:val="center"/>
          </w:tcPr>
          <w:p w14:paraId="02133DDB" w14:textId="77777777" w:rsidR="00325DB8" w:rsidRDefault="00DD02E3">
            <w:pPr>
              <w:spacing w:line="276" w:lineRule="auto"/>
              <w:ind w:firstLine="420"/>
              <w:jc w:val="center"/>
              <w:rPr>
                <w:rFonts w:hint="eastAsia"/>
              </w:rPr>
            </w:pPr>
            <w:r>
              <w:t>2026.12-2027.03</w:t>
            </w:r>
          </w:p>
        </w:tc>
        <w:tc>
          <w:tcPr>
            <w:tcW w:w="5102" w:type="dxa"/>
            <w:vAlign w:val="center"/>
          </w:tcPr>
          <w:p w14:paraId="02133DDC" w14:textId="77777777" w:rsidR="00325DB8" w:rsidRDefault="00DD02E3">
            <w:pPr>
              <w:spacing w:line="276" w:lineRule="auto"/>
              <w:ind w:firstLine="420"/>
              <w:jc w:val="left"/>
              <w:rPr>
                <w:rFonts w:hint="eastAsia"/>
              </w:rPr>
            </w:pPr>
            <w:r>
              <w:t>学位论文的撰写和修改</w:t>
            </w:r>
          </w:p>
        </w:tc>
        <w:tc>
          <w:tcPr>
            <w:tcW w:w="1361" w:type="dxa"/>
            <w:vAlign w:val="center"/>
          </w:tcPr>
          <w:p w14:paraId="02133DDD" w14:textId="77777777" w:rsidR="00325DB8" w:rsidRDefault="00DD02E3">
            <w:pPr>
              <w:spacing w:line="276" w:lineRule="auto"/>
              <w:ind w:firstLine="420"/>
              <w:jc w:val="center"/>
              <w:rPr>
                <w:rFonts w:hint="eastAsia"/>
              </w:rPr>
            </w:pPr>
            <w:r>
              <w:t>待开始</w:t>
            </w:r>
          </w:p>
        </w:tc>
      </w:tr>
    </w:tbl>
    <w:p w14:paraId="02133DDF" w14:textId="77777777" w:rsidR="00325DB8" w:rsidRDefault="00DD02E3">
      <w:pPr>
        <w:spacing w:before="120"/>
        <w:ind w:firstLine="420"/>
        <w:jc w:val="left"/>
      </w:pPr>
      <w:r>
        <w:t>注：根据开题报告中的研究计划填写，已完成的阶段标注已完成，正在进行的标注进行中。</w:t>
      </w:r>
    </w:p>
    <w:sectPr w:rsidR="00325DB8">
      <w:headerReference w:type="default" r:id="rId14"/>
      <w:footerReference w:type="even" r:id="rId15"/>
      <w:footerReference w:type="default" r:id="rId16"/>
      <w:headerReference w:type="first" r:id="rId17"/>
      <w:footerReference w:type="first" r:id="rId18"/>
      <w:pgSz w:w="11906" w:h="16838"/>
      <w:pgMar w:top="1134" w:right="1134" w:bottom="1134" w:left="1134" w:header="851" w:footer="992"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276F9" w14:textId="77777777" w:rsidR="00380551" w:rsidRDefault="00380551">
      <w:pPr>
        <w:spacing w:line="240" w:lineRule="auto"/>
        <w:ind w:firstLine="420"/>
      </w:pPr>
      <w:r>
        <w:separator/>
      </w:r>
    </w:p>
  </w:endnote>
  <w:endnote w:type="continuationSeparator" w:id="0">
    <w:p w14:paraId="36103225" w14:textId="77777777" w:rsidR="00380551" w:rsidRDefault="00380551">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Arial"/>
    <w:charset w:val="86"/>
    <w:family w:val="swiss"/>
    <w:pitch w:val="variable"/>
  </w:font>
  <w:font w:name="Noto Sans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2" w14:textId="77777777" w:rsidR="00325DB8" w:rsidRDefault="00325DB8">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3" w14:textId="77777777" w:rsidR="00325DB8" w:rsidRDefault="00325DB8">
    <w:pPr>
      <w:pStyle w:val="a6"/>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5" w14:textId="77777777" w:rsidR="00325DB8" w:rsidRDefault="00325DB8">
    <w:pPr>
      <w:pStyle w:val="a6"/>
      <w:ind w:firstLine="36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7" w14:textId="77777777" w:rsidR="00325DB8" w:rsidRDefault="00325DB8">
    <w:pPr>
      <w:pStyle w:val="a6"/>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8"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A"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9D1DF" w14:textId="77777777" w:rsidR="00380551" w:rsidRDefault="00380551">
      <w:pPr>
        <w:spacing w:line="240" w:lineRule="auto"/>
        <w:ind w:firstLine="420"/>
      </w:pPr>
      <w:r>
        <w:separator/>
      </w:r>
    </w:p>
  </w:footnote>
  <w:footnote w:type="continuationSeparator" w:id="0">
    <w:p w14:paraId="283365BF" w14:textId="77777777" w:rsidR="00380551" w:rsidRDefault="00380551">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0" w14:textId="77777777" w:rsidR="00325DB8" w:rsidRDefault="00325DB8">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1" w14:textId="77777777" w:rsidR="00325DB8" w:rsidRDefault="00325DB8">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4" w14:textId="77777777" w:rsidR="00325DB8" w:rsidRDefault="00325DB8">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6" w14:textId="77777777" w:rsidR="00325DB8" w:rsidRDefault="00325DB8">
    <w:pPr>
      <w:pStyle w:val="a4"/>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9" w14:textId="77777777" w:rsidR="00325DB8" w:rsidRDefault="00325DB8">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CE2"/>
    <w:multiLevelType w:val="multilevel"/>
    <w:tmpl w:val="8BD883B6"/>
    <w:lvl w:ilvl="0">
      <w:start w:val="1"/>
      <w:numFmt w:val="chineseCountingThousand"/>
      <w:suff w:val="nothing"/>
      <w:lvlText w:val="%1、"/>
      <w:lvlJc w:val="left"/>
      <w:pPr>
        <w:tabs>
          <w:tab w:val="num" w:pos="0"/>
        </w:tabs>
        <w:ind w:left="3728" w:hanging="750"/>
      </w:pPr>
      <w:rPr>
        <w:rFonts w:ascii="黑体" w:eastAsia="黑体" w:hAnsi="黑体"/>
        <w:b w:val="0"/>
        <w:sz w:val="28"/>
      </w:r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1" w15:restartNumberingAfterBreak="0">
    <w:nsid w:val="444372DA"/>
    <w:multiLevelType w:val="multilevel"/>
    <w:tmpl w:val="E6FE24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7968751">
    <w:abstractNumId w:val="0"/>
  </w:num>
  <w:num w:numId="2" w16cid:durableId="1293366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defaultTabStop w:val="420"/>
  <w:autoHyphenation/>
  <w:hyphenationZone w:val="0"/>
  <w:characterSpacingControl w:val="doNotCompres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DB8"/>
    <w:rsid w:val="00006E17"/>
    <w:rsid w:val="00025ECB"/>
    <w:rsid w:val="000A2A31"/>
    <w:rsid w:val="001572D3"/>
    <w:rsid w:val="00266574"/>
    <w:rsid w:val="00325DB8"/>
    <w:rsid w:val="00380551"/>
    <w:rsid w:val="003E6B99"/>
    <w:rsid w:val="00475ABA"/>
    <w:rsid w:val="005553B6"/>
    <w:rsid w:val="007C29C1"/>
    <w:rsid w:val="00903EA3"/>
    <w:rsid w:val="00A72C51"/>
    <w:rsid w:val="00C67E54"/>
    <w:rsid w:val="00C76FE9"/>
    <w:rsid w:val="00DD02E3"/>
    <w:rsid w:val="00EA1C44"/>
    <w:rsid w:val="00FB3245"/>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33D17"/>
  <w15:docId w15:val="{F4B7C428-4ED2-468E-8F79-6E204D32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046CF"/>
    <w:pPr>
      <w:widowControl w:val="0"/>
      <w:spacing w:line="312" w:lineRule="auto"/>
      <w:ind w:firstLineChars="200" w:firstLine="200"/>
      <w:jc w:val="both"/>
    </w:pPr>
    <w:rPr>
      <w:kern w:val="2"/>
      <w:sz w:val="21"/>
      <w:szCs w:val="24"/>
    </w:rPr>
  </w:style>
  <w:style w:type="paragraph" w:styleId="2">
    <w:name w:val="heading 2"/>
    <w:basedOn w:val="a"/>
    <w:next w:val="a"/>
    <w:link w:val="20"/>
    <w:uiPriority w:val="9"/>
    <w:unhideWhenUsed/>
    <w:qFormat/>
    <w:rsid w:val="006713BC"/>
    <w:pPr>
      <w:keepNext/>
      <w:keepLines/>
      <w:spacing w:before="20" w:after="20" w:line="288" w:lineRule="auto"/>
      <w:jc w:val="left"/>
      <w:outlineLvl w:val="1"/>
    </w:pPr>
    <w:rPr>
      <w:rFonts w:asciiTheme="majorHAnsi" w:hAnsiTheme="majorHAnsi" w:cstheme="majorBidi"/>
      <w:b/>
      <w:bCs/>
      <w:sz w:val="24"/>
      <w:szCs w:val="32"/>
    </w:rPr>
  </w:style>
  <w:style w:type="paragraph" w:styleId="3">
    <w:name w:val="heading 3"/>
    <w:basedOn w:val="a"/>
    <w:next w:val="a"/>
    <w:link w:val="30"/>
    <w:semiHidden/>
    <w:unhideWhenUsed/>
    <w:qFormat/>
    <w:rsid w:val="009F749E"/>
    <w:pPr>
      <w:keepNext/>
      <w:keepLines/>
      <w:spacing w:before="260" w:after="260" w:line="418"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qFormat/>
    <w:rsid w:val="00DA22C9"/>
    <w:rPr>
      <w:kern w:val="2"/>
      <w:sz w:val="18"/>
      <w:szCs w:val="18"/>
    </w:rPr>
  </w:style>
  <w:style w:type="character" w:customStyle="1" w:styleId="a5">
    <w:name w:val="页脚 字符"/>
    <w:link w:val="a6"/>
    <w:uiPriority w:val="99"/>
    <w:qFormat/>
    <w:rsid w:val="00DA22C9"/>
    <w:rPr>
      <w:kern w:val="2"/>
      <w:sz w:val="18"/>
      <w:szCs w:val="18"/>
    </w:rPr>
  </w:style>
  <w:style w:type="character" w:customStyle="1" w:styleId="20">
    <w:name w:val="标题 2 字符"/>
    <w:basedOn w:val="a0"/>
    <w:link w:val="2"/>
    <w:uiPriority w:val="9"/>
    <w:qFormat/>
    <w:rsid w:val="006713BC"/>
    <w:rPr>
      <w:rFonts w:asciiTheme="majorHAnsi" w:hAnsiTheme="majorHAnsi" w:cstheme="majorBidi"/>
      <w:b/>
      <w:bCs/>
      <w:kern w:val="2"/>
      <w:sz w:val="24"/>
      <w:szCs w:val="32"/>
    </w:rPr>
  </w:style>
  <w:style w:type="character" w:customStyle="1" w:styleId="S-5-20">
    <w:name w:val="S-5-黑正20 字符"/>
    <w:basedOn w:val="a0"/>
    <w:link w:val="S-5-200"/>
    <w:qFormat/>
    <w:rsid w:val="00286DB6"/>
    <w:rPr>
      <w:rFonts w:ascii="宋体" w:hAnsi="宋体"/>
      <w:kern w:val="2"/>
      <w:sz w:val="24"/>
      <w:szCs w:val="21"/>
    </w:rPr>
  </w:style>
  <w:style w:type="character" w:customStyle="1" w:styleId="MTDisplayEquation">
    <w:name w:val="MTDisplayEquation 字符"/>
    <w:basedOn w:val="a0"/>
    <w:link w:val="MTDisplayEquation0"/>
    <w:qFormat/>
    <w:rsid w:val="00286DB6"/>
    <w:rPr>
      <w:rFonts w:ascii="宋体" w:hAnsi="宋体" w:cstheme="minorBidi"/>
      <w:kern w:val="2"/>
      <w:sz w:val="24"/>
      <w:szCs w:val="22"/>
    </w:rPr>
  </w:style>
  <w:style w:type="character" w:customStyle="1" w:styleId="30">
    <w:name w:val="标题 3 字符"/>
    <w:basedOn w:val="a0"/>
    <w:link w:val="3"/>
    <w:semiHidden/>
    <w:qFormat/>
    <w:rsid w:val="009F749E"/>
    <w:rPr>
      <w:b/>
      <w:bCs/>
      <w:kern w:val="2"/>
      <w:sz w:val="32"/>
      <w:szCs w:val="32"/>
    </w:rPr>
  </w:style>
  <w:style w:type="character" w:customStyle="1" w:styleId="MTEquationSection">
    <w:name w:val="MTEquationSection"/>
    <w:basedOn w:val="a0"/>
    <w:qFormat/>
    <w:rsid w:val="009F749E"/>
    <w:rPr>
      <w:rFonts w:ascii="宋体" w:eastAsia="宋体" w:hAnsi="宋体"/>
      <w:vanish/>
      <w:color w:val="FF0000"/>
      <w:sz w:val="28"/>
    </w:rPr>
  </w:style>
  <w:style w:type="character" w:customStyle="1" w:styleId="a7">
    <w:name w:val="批注框文本 字符"/>
    <w:basedOn w:val="a0"/>
    <w:link w:val="a8"/>
    <w:qFormat/>
    <w:rsid w:val="00BC5D52"/>
    <w:rPr>
      <w:kern w:val="2"/>
      <w:sz w:val="18"/>
      <w:szCs w:val="18"/>
    </w:rPr>
  </w:style>
  <w:style w:type="character" w:styleId="a9">
    <w:name w:val="Placeholder Text"/>
    <w:basedOn w:val="a0"/>
    <w:uiPriority w:val="99"/>
    <w:semiHidden/>
    <w:qFormat/>
    <w:rsid w:val="002C1A36"/>
    <w:rPr>
      <w:color w:val="808080"/>
    </w:rPr>
  </w:style>
  <w:style w:type="character" w:customStyle="1" w:styleId="mord">
    <w:name w:val="mord"/>
    <w:basedOn w:val="a0"/>
    <w:qFormat/>
    <w:rsid w:val="002C1A36"/>
  </w:style>
  <w:style w:type="character" w:customStyle="1" w:styleId="mopen">
    <w:name w:val="mopen"/>
    <w:basedOn w:val="a0"/>
    <w:qFormat/>
    <w:rsid w:val="002C1A36"/>
  </w:style>
  <w:style w:type="character" w:customStyle="1" w:styleId="mclose">
    <w:name w:val="mclose"/>
    <w:basedOn w:val="a0"/>
    <w:qFormat/>
    <w:rsid w:val="002C1A36"/>
  </w:style>
  <w:style w:type="character" w:customStyle="1" w:styleId="vlist-s">
    <w:name w:val="vlist-s"/>
    <w:basedOn w:val="a0"/>
    <w:qFormat/>
    <w:rsid w:val="002C1A36"/>
  </w:style>
  <w:style w:type="character" w:customStyle="1" w:styleId="mrel">
    <w:name w:val="mrel"/>
    <w:basedOn w:val="a0"/>
    <w:qFormat/>
    <w:rsid w:val="002C1A36"/>
  </w:style>
  <w:style w:type="character" w:customStyle="1" w:styleId="mpunct">
    <w:name w:val="mpunct"/>
    <w:basedOn w:val="a0"/>
    <w:qFormat/>
    <w:rsid w:val="002C1A36"/>
  </w:style>
  <w:style w:type="character" w:customStyle="1" w:styleId="mbin">
    <w:name w:val="mbin"/>
    <w:basedOn w:val="a0"/>
    <w:qFormat/>
    <w:rsid w:val="00A54BE2"/>
  </w:style>
  <w:style w:type="character" w:customStyle="1" w:styleId="mop">
    <w:name w:val="mop"/>
    <w:basedOn w:val="a0"/>
    <w:qFormat/>
    <w:rsid w:val="00AA652E"/>
  </w:style>
  <w:style w:type="character" w:styleId="aa">
    <w:name w:val="Strong"/>
    <w:basedOn w:val="a0"/>
    <w:uiPriority w:val="22"/>
    <w:qFormat/>
    <w:rsid w:val="00690956"/>
    <w:rPr>
      <w:b/>
      <w:bCs/>
    </w:rPr>
  </w:style>
  <w:style w:type="character" w:customStyle="1" w:styleId="katex-mathml">
    <w:name w:val="katex-mathml"/>
    <w:basedOn w:val="a0"/>
    <w:qFormat/>
    <w:rsid w:val="00690956"/>
  </w:style>
  <w:style w:type="paragraph" w:customStyle="1" w:styleId="ab">
    <w:name w:val="标题样式"/>
    <w:basedOn w:val="a"/>
    <w:next w:val="ac"/>
    <w:qFormat/>
    <w:pPr>
      <w:keepNext/>
      <w:spacing w:before="240" w:after="120"/>
    </w:pPr>
    <w:rPr>
      <w:rFonts w:ascii="Liberation Sans" w:eastAsia="Noto Sans SC"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rPr>
  </w:style>
  <w:style w:type="paragraph" w:customStyle="1" w:styleId="af">
    <w:name w:val="索引"/>
    <w:basedOn w:val="a"/>
    <w:qFormat/>
    <w:pPr>
      <w:suppressLineNumbers/>
    </w:pPr>
    <w:rPr>
      <w:rFonts w:cs="Arial"/>
    </w:rPr>
  </w:style>
  <w:style w:type="paragraph" w:customStyle="1" w:styleId="af0">
    <w:name w:val="页眉与页脚"/>
    <w:basedOn w:val="a"/>
    <w:qFormat/>
  </w:style>
  <w:style w:type="paragraph" w:styleId="a4">
    <w:name w:val="header"/>
    <w:basedOn w:val="a"/>
    <w:link w:val="a3"/>
    <w:rsid w:val="00DA22C9"/>
    <w:pPr>
      <w:pBdr>
        <w:bottom w:val="single" w:sz="6" w:space="1" w:color="000000"/>
      </w:pBdr>
      <w:tabs>
        <w:tab w:val="center" w:pos="4153"/>
        <w:tab w:val="right" w:pos="8306"/>
      </w:tabs>
      <w:snapToGrid w:val="0"/>
      <w:jc w:val="center"/>
    </w:pPr>
    <w:rPr>
      <w:sz w:val="18"/>
      <w:szCs w:val="18"/>
    </w:rPr>
  </w:style>
  <w:style w:type="paragraph" w:styleId="a6">
    <w:name w:val="footer"/>
    <w:basedOn w:val="a"/>
    <w:link w:val="a5"/>
    <w:uiPriority w:val="99"/>
    <w:rsid w:val="00DA22C9"/>
    <w:pPr>
      <w:tabs>
        <w:tab w:val="center" w:pos="4153"/>
        <w:tab w:val="right" w:pos="8306"/>
      </w:tabs>
      <w:snapToGrid w:val="0"/>
      <w:jc w:val="left"/>
    </w:pPr>
    <w:rPr>
      <w:sz w:val="18"/>
      <w:szCs w:val="18"/>
    </w:rPr>
  </w:style>
  <w:style w:type="paragraph" w:customStyle="1" w:styleId="S-5-200">
    <w:name w:val="S-5-黑正20"/>
    <w:basedOn w:val="a"/>
    <w:link w:val="S-5-20"/>
    <w:qFormat/>
    <w:rsid w:val="00286DB6"/>
    <w:pPr>
      <w:widowControl/>
      <w:spacing w:before="10" w:after="20" w:line="400" w:lineRule="exact"/>
      <w:jc w:val="left"/>
    </w:pPr>
    <w:rPr>
      <w:rFonts w:ascii="宋体" w:hAnsi="宋体"/>
      <w:sz w:val="24"/>
      <w:szCs w:val="21"/>
    </w:rPr>
  </w:style>
  <w:style w:type="paragraph" w:customStyle="1" w:styleId="MTDisplayEquation0">
    <w:name w:val="MTDisplayEquation"/>
    <w:basedOn w:val="a"/>
    <w:next w:val="a"/>
    <w:link w:val="MTDisplayEquation"/>
    <w:qFormat/>
    <w:rsid w:val="00286DB6"/>
    <w:pPr>
      <w:tabs>
        <w:tab w:val="center" w:pos="4160"/>
        <w:tab w:val="right" w:pos="8300"/>
      </w:tabs>
      <w:ind w:rightChars="-27" w:right="-27"/>
    </w:pPr>
    <w:rPr>
      <w:rFonts w:ascii="宋体" w:hAnsi="宋体" w:cstheme="minorBidi"/>
      <w:sz w:val="24"/>
      <w:szCs w:val="22"/>
    </w:rPr>
  </w:style>
  <w:style w:type="paragraph" w:styleId="a8">
    <w:name w:val="Balloon Text"/>
    <w:basedOn w:val="a"/>
    <w:link w:val="a7"/>
    <w:qFormat/>
    <w:rsid w:val="00BC5D52"/>
    <w:rPr>
      <w:sz w:val="18"/>
      <w:szCs w:val="18"/>
    </w:rPr>
  </w:style>
  <w:style w:type="paragraph" w:styleId="af1">
    <w:name w:val="List Paragraph"/>
    <w:basedOn w:val="a"/>
    <w:uiPriority w:val="34"/>
    <w:qFormat/>
    <w:rsid w:val="006713BC"/>
    <w:pPr>
      <w:widowControl/>
      <w:jc w:val="left"/>
    </w:pPr>
    <w:rPr>
      <w:rFonts w:ascii="宋体" w:hAnsi="宋体" w:cs="宋体"/>
      <w:kern w:val="0"/>
      <w:sz w:val="24"/>
    </w:rPr>
  </w:style>
  <w:style w:type="paragraph" w:customStyle="1" w:styleId="zhengwen2">
    <w:name w:val="zhengwen2"/>
    <w:basedOn w:val="a"/>
    <w:qFormat/>
    <w:rsid w:val="000F20A9"/>
    <w:pPr>
      <w:widowControl/>
      <w:snapToGrid w:val="0"/>
      <w:spacing w:line="360" w:lineRule="auto"/>
      <w:jc w:val="left"/>
    </w:pPr>
    <w:rPr>
      <w:sz w:val="24"/>
    </w:rPr>
  </w:style>
  <w:style w:type="table" w:styleId="af2">
    <w:name w:val="Table Grid"/>
    <w:basedOn w:val="a1"/>
    <w:rsid w:val="00286DB6"/>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3">
    <w:name w:val="三线表"/>
    <w:basedOn w:val="a1"/>
    <w:uiPriority w:val="99"/>
    <w:rsid w:val="008269C4"/>
    <w:rPr>
      <w:sz w:val="21"/>
    </w:rPr>
    <w:tblPr/>
    <w:tblStylePr w:type="firstRow">
      <w:tblPr/>
      <w:tcPr>
        <w:tcBorders>
          <w:top w:val="single" w:sz="12" w:space="0" w:color="auto"/>
          <w:left w:val="nil"/>
          <w:bottom w:val="single" w:sz="4" w:space="0" w:color="auto"/>
          <w:right w:val="nil"/>
          <w:insideH w:val="nil"/>
          <w:insideV w:val="nil"/>
          <w:tl2br w:val="nil"/>
          <w:tr2bl w:val="nil"/>
        </w:tcBorders>
      </w:tcPr>
    </w:tblStylePr>
    <w:tblStylePr w:type="lastRow">
      <w:tblPr/>
      <w:tcPr>
        <w:tcBorders>
          <w:top w:val="nil"/>
          <w:left w:val="nil"/>
          <w:bottom w:val="single" w:sz="12"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majorFont>
      <a:minorFont>
        <a:latin typeface="等线"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575C3-6E72-4DC4-AE6A-5E89207F2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10849</TotalTime>
  <Pages>9</Pages>
  <Words>1385</Words>
  <Characters>7900</Characters>
  <Application>Microsoft Office Word</Application>
  <DocSecurity>0</DocSecurity>
  <Lines>65</Lines>
  <Paragraphs>18</Paragraphs>
  <ScaleCrop>false</ScaleCrop>
  <Company>uestc</Company>
  <LinksUpToDate>false</LinksUpToDate>
  <CharactersWithSpaces>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dc:description/>
  <cp:lastModifiedBy>羽霄 华</cp:lastModifiedBy>
  <cp:revision>171</cp:revision>
  <cp:lastPrinted>2022-10-27T14:46:00Z</cp:lastPrinted>
  <dcterms:created xsi:type="dcterms:W3CDTF">2022-10-18T01:50:00Z</dcterms:created>
  <dcterms:modified xsi:type="dcterms:W3CDTF">2026-05-28T12:18:00Z</dcterms:modified>
  <dc:language>zh-CN</dc:language>
</cp:coreProperties>
</file>