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27.png" ContentType="image/png"/>
  <Override PartName="/word/media/rId28.png" ContentType="image/png"/>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COVID-19</w:t>
      </w:r>
      <w:r>
        <w:rPr>
          <w:i/>
        </w:rPr>
        <w:t xml:space="preserve"> </w:t>
      </w:r>
      <w:r>
        <w:rPr>
          <w:i/>
        </w:rPr>
        <w:t xml:space="preserve">Update</w:t>
      </w:r>
      <w:r>
        <w:rPr>
          <w:i/>
        </w:rPr>
        <w:t xml:space="preserve"> </w:t>
      </w:r>
      <w:r>
        <w:rPr>
          <w:i/>
        </w:rPr>
        <w:t xml:space="preserve">January</w:t>
      </w:r>
      <w:r>
        <w:rPr>
          <w:i/>
        </w:rPr>
        <w:t xml:space="preserve"> </w:t>
      </w:r>
      <w:r>
        <w:rPr>
          <w:i/>
        </w:rPr>
        <w:t xml:space="preserve">12,</w:t>
      </w:r>
      <w:r>
        <w:rPr>
          <w:i/>
        </w:rPr>
        <w:t xml:space="preserve"> </w:t>
      </w:r>
      <w:r>
        <w:rPr>
          <w:i/>
        </w:rPr>
        <w:t xml:space="preserve">2021</w:t>
      </w:r>
    </w:p>
    <w:p>
      <w:pPr>
        <w:pStyle w:val="FirstParagraph"/>
      </w:pPr>
      <w:r>
        <w:t xml:space="preserve">As of</w:t>
      </w:r>
      <w:r>
        <w:t xml:space="preserve"> </w:t>
      </w:r>
      <w:r>
        <w:rPr>
          <w:b/>
        </w:rPr>
        <w:t xml:space="preserve">January 11, 2021, at 8:30 PM</w:t>
      </w:r>
      <w:r>
        <w:t xml:space="preserve">, the total of laboratory-confirmed and probable COVID-19 cases reported among Connecticut residents is</w:t>
      </w:r>
      <w:r>
        <w:t xml:space="preserve"> </w:t>
      </w:r>
      <w:r>
        <w:rPr>
          <w:b/>
        </w:rPr>
        <w:t xml:space="preserve">213358</w:t>
      </w:r>
      <w:r>
        <w:t xml:space="preserve">, including</w:t>
      </w:r>
      <w:r>
        <w:t xml:space="preserve"> </w:t>
      </w:r>
      <w:r>
        <w:rPr>
          <w:b/>
        </w:rPr>
        <w:t xml:space="preserve">201124</w:t>
      </w:r>
      <w:r>
        <w:t xml:space="preserve"> </w:t>
      </w:r>
      <w:r>
        <w:t xml:space="preserve">laboratory-confirmed and</w:t>
      </w:r>
      <w:r>
        <w:t xml:space="preserve"> </w:t>
      </w:r>
      <w:r>
        <w:rPr>
          <w:b/>
        </w:rPr>
        <w:t xml:space="preserve">12234</w:t>
      </w:r>
      <w:r>
        <w:t xml:space="preserve"> </w:t>
      </w:r>
      <w:r>
        <w:t xml:space="preserve">probable cases.</w:t>
      </w:r>
      <w:r>
        <w:t xml:space="preserve"> </w:t>
      </w:r>
      <w:r>
        <w:rPr>
          <w:b/>
        </w:rPr>
        <w:t xml:space="preserve">One thousand one hundred forty-two</w:t>
      </w:r>
      <w:r>
        <w:t xml:space="preserve"> </w:t>
      </w:r>
      <w:r>
        <w:t xml:space="preserve">patients are currently hospitalized with laboratory-confirmed COVID-19. There have been</w:t>
      </w:r>
      <w:r>
        <w:t xml:space="preserve"> </w:t>
      </w:r>
      <w:r>
        <w:rPr>
          <w:b/>
        </w:rPr>
        <w:t xml:space="preserve">6418</w:t>
      </w:r>
      <w:r>
        <w:t xml:space="preserve"> </w:t>
      </w:r>
      <w:r>
        <w:t xml:space="preserve">COVID-19-associated deaths.</w:t>
      </w:r>
    </w:p>
    <w:p>
      <w:pPr>
        <w:pStyle w:val="BodyText"/>
      </w:pPr>
      <w:r>
        <w:t xml:space="preserve">In Connecticut during the early months of this pandemic, it became increasingly clear that it would be necessary to track probable COVID-19 cases and deaths, in addition to laboratory-confirmed (RT-PCR) cases and deaths. This was needed to better measure the burden and impact of this disease in our communities and is now part of the</w:t>
      </w:r>
      <w:r>
        <w:t xml:space="preserve"> </w:t>
      </w:r>
      <w:hyperlink r:id="rId20">
        <w:r>
          <w:rPr>
            <w:rStyle w:val="Hyperlink"/>
          </w:rPr>
          <w:t xml:space="preserve">national surveillance case definition for COVID-19</w:t>
        </w:r>
      </w:hyperlink>
      <w:r>
        <w:t xml:space="preserve">. Prior to June 1, probable and confirmed cases were reported together.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256"/>
        <w:gridCol w:w="1160"/>
        <w:gridCol w:w="2738"/>
      </w:tblGrid>
      <w:tr>
        <w:trPr>
          <w:cantSplit/>
          <w:trHeight w:val="511"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Overall Summary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Change Since Yesterday</w:t>
            </w:r>
          </w:p>
        </w:tc>
      </w:tr>
      <w:tr>
        <w:trPr>
          <w:cantSplit/>
          <w:trHeight w:val="511"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COVID-19 Cases (confirmed and probable)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213358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511"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COVID-19 Tests Reported (molecular and antigen)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4724211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51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Daily Test Positivity*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NaN%</w:t>
            </w:r>
          </w:p>
        </w:tc>
      </w:tr>
      <w:tr>
        <w:trPr>
          <w:cantSplit/>
          <w:trHeight w:val="511"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Patients Currently Hospitalized with COVID-19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46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COVID-19-Associated Deaths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6418</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p>
      <w:pPr>
        <w:pStyle w:val="BodyText"/>
      </w:pPr>
      <w:r>
        <w:t xml:space="preserve">**Includes confirmed plus probable cases</w:t>
      </w:r>
    </w:p>
    <w:p>
      <w:pPr>
        <w:pStyle w:val="BodyText"/>
      </w:pPr>
      <w:r>
        <w:rPr>
          <w:b/>
        </w:rPr>
        <w:t xml:space="preserve">COVID-19 Cases and Associated Deaths by County of Residence</w:t>
      </w:r>
      <w:r>
        <w:br/>
      </w:r>
      <w:r>
        <w:rPr>
          <w:i/>
        </w:rPr>
        <w:t xml:space="preserve">As of 01/11/21 8:30pm.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946"/>
        <w:gridCol w:w="2003"/>
        <w:gridCol w:w="1185"/>
        <w:gridCol w:w="3226"/>
        <w:gridCol w:w="1185"/>
      </w:tblGrid>
      <w:tr>
        <w:trPr>
          <w:cantSplit/>
          <w:trHeight w:val="288" w:hRule="auto"/>
          <w:tblHeader/>
        </w:trPr>
        <w:tc>
          <w:tcPr>
            <w:vMerge w:val="restart"/>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County</w:t>
            </w:r>
          </w:p>
        </w:tc>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COVID-19 Cases</w:t>
            </w:r>
          </w:p>
        </w:tc>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COVID-19-Associated Deaths</w:t>
            </w:r>
          </w:p>
        </w:tc>
      </w:tr>
      <w:tr>
        <w:trPr>
          <w:cantSplit/>
          <w:trHeight w:val="288" w:hRule="auto"/>
          <w:tblHeader/>
        </w:trPr>
        <w:tc>
          <w:tcPr>
            <w:vMerge/>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Confirmed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Probable</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Confirmed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Probable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Fairfield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58,633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4,440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1,416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Hartford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51,627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2,265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1,579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379</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Litchfield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7,881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Middlesex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7,322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Haven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50,354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3,570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1,408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London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12,850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Tolland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Windham County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6,423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Pending address validation</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699</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201124</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12234</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5211</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1207</w:t>
            </w:r>
          </w:p>
        </w:tc>
      </w:tr>
    </w:tbl>
    <w:p>
      <w:pPr>
        <w:pStyle w:val="BodyText"/>
      </w:pPr>
      <w:hyperlink r:id="rId21">
        <w:r>
          <w:rPr>
            <w:rStyle w:val="Hyperlink"/>
          </w:rPr>
          <w:t xml:space="preserve">National COVID-19 statistics</w:t>
        </w:r>
      </w:hyperlink>
      <w:r>
        <w:t xml:space="preserve"> </w:t>
      </w:r>
      <w:r>
        <w:t xml:space="preserve">and information about</w:t>
      </w:r>
      <w:r>
        <w:t xml:space="preserve"> </w:t>
      </w:r>
      <w:hyperlink r:id="rId22">
        <w:r>
          <w:rPr>
            <w:rStyle w:val="Hyperlink"/>
          </w:rPr>
          <w:t xml:space="preserve">preventing spread of COVID-19</w:t>
        </w:r>
      </w:hyperlink>
      <w:r>
        <w:t xml:space="preserve"> </w:t>
      </w:r>
      <w:r>
        <w:t xml:space="preserve">are available from the Centers for Disease Control and Prevention.</w:t>
      </w:r>
    </w:p>
    <w:p>
      <w:pPr>
        <w:pStyle w:val="BodyText"/>
      </w:pPr>
      <w:r>
        <w:rPr>
          <w:b/>
        </w:rPr>
        <w:t xml:space="preserve">Day-to-day changes reflect newly reported cases, deaths, and tests that occurred over the last several days to week.</w:t>
      </w:r>
      <w:r>
        <w:t xml:space="preserve"> </w:t>
      </w:r>
      <w:r>
        <w:t xml:space="preserve">All data in this report are preliminary; data for previous dates will be updated as new reports are received and data errors are corrected. Hospitalization data were collected by the Connecticut Hospital Association. Deaths reported to either OCME or DPH are included in the daily COVID-19 update.</w:t>
      </w:r>
    </w:p>
    <w:p>
      <w:pPr>
        <w:pStyle w:val="Heading3"/>
      </w:pPr>
      <w:bookmarkStart w:id="23" w:name="hospitalization-surveillance"/>
      <w:r>
        <w:t xml:space="preserve">Hospitalization Surveillance</w:t>
      </w:r>
      <w:bookmarkEnd w:id="23"/>
    </w:p>
    <w:p>
      <w:pPr>
        <w:pStyle w:val="FirstParagraph"/>
      </w:pPr>
      <w:r>
        <w:t xml:space="preserve">The map below shows the number of patients currently hospitalized with laboratory-confirmed COVID-19 by county based on data collected by the Connecticut Hospital Association. The distribution is by location of hospital, not patient residence. The labels indicate the number of patients currently hospitalized with the change since yesterday in parentheses.</w:t>
      </w:r>
    </w:p>
    <w:p>
      <w:pPr>
        <w:pStyle w:val="BodyText"/>
      </w:pPr>
      <w:r>
        <w:rPr>
          <w:b/>
        </w:rPr>
        <w:t xml:space="preserve">Patients Currently Hospitalized by Connecticut County</w:t>
      </w:r>
    </w:p>
    <w:p>
      <w:pPr>
        <w:pStyle w:val="BodyText"/>
      </w:pPr>
      <w:r>
        <w:rPr>
          <w:i/>
        </w:rPr>
        <w:t xml:space="preserve">Distribution by location of hospital not patient residence. Data from the Connecticut Hospital Association.</w:t>
      </w:r>
    </w:p>
    <w:p>
      <w:pPr>
        <w:pStyle w:val="BodyText"/>
      </w:pPr>
      <w:r>
        <w:drawing>
          <wp:inline>
            <wp:extent cx="5943600" cy="4245428"/>
            <wp:effectExtent b="0" l="0" r="0" t="0"/>
            <wp:docPr descr="" title="" id="1" name="Picture"/>
            <a:graphic>
              <a:graphicData uri="http://schemas.openxmlformats.org/drawingml/2006/picture">
                <pic:pic>
                  <pic:nvPicPr>
                    <pic:cNvPr descr="markdown_report_autopull_0.68.6_files/figure-docx/not_sure10-1.png" id="0" name="Picture"/>
                    <pic:cNvPicPr>
                      <a:picLocks noChangeArrowheads="1" noChangeAspect="1"/>
                    </pic:cNvPicPr>
                  </pic:nvPicPr>
                  <pic:blipFill>
                    <a:blip r:embed="rId24"/>
                    <a:stretch>
                      <a:fillRect/>
                    </a:stretch>
                  </pic:blipFill>
                  <pic:spPr bwMode="auto">
                    <a:xfrm>
                      <a:off x="0" y="0"/>
                      <a:ext cx="5943600" cy="4245428"/>
                    </a:xfrm>
                    <a:prstGeom prst="rect">
                      <a:avLst/>
                    </a:prstGeom>
                    <a:noFill/>
                    <a:ln w="9525">
                      <a:noFill/>
                      <a:headEnd/>
                      <a:tailEnd/>
                    </a:ln>
                  </pic:spPr>
                </pic:pic>
              </a:graphicData>
            </a:graphic>
          </wp:inline>
        </w:drawing>
      </w:r>
      <w:r>
        <w:t xml:space="preserve"> </w:t>
      </w:r>
      <w:r>
        <w:t xml:space="preserve">More information about hospitalized cases of COVID-19 in New Haven and Middlesex Counties is available from</w:t>
      </w:r>
      <w:r>
        <w:t xml:space="preserve"> </w:t>
      </w:r>
      <w:hyperlink r:id="rId25">
        <w:r>
          <w:rPr>
            <w:rStyle w:val="Hyperlink"/>
          </w:rPr>
          <w:t xml:space="preserve">COVID-NET.</w:t>
        </w:r>
      </w:hyperlink>
    </w:p>
    <w:p>
      <w:pPr>
        <w:pStyle w:val="Heading3"/>
      </w:pPr>
      <w:bookmarkStart w:id="26" w:name="X28683e74c4d2ae1a129bd9881d3d0582eb29278"/>
      <w:r>
        <w:t xml:space="preserve">Characteristics of COVID-19 Cases and Associated Deaths</w:t>
      </w:r>
      <w:bookmarkEnd w:id="26"/>
    </w:p>
    <w:p>
      <w:pPr>
        <w:pStyle w:val="FirstParagraph"/>
      </w:pPr>
      <w:r>
        <w:drawing>
          <wp:inline>
            <wp:extent cx="4620126" cy="3696101"/>
            <wp:effectExtent b="0" l="0" r="0" t="0"/>
            <wp:docPr descr="" title="" id="1" name="Picture"/>
            <a:graphic>
              <a:graphicData uri="http://schemas.openxmlformats.org/drawingml/2006/picture">
                <pic:pic>
                  <pic:nvPicPr>
                    <pic:cNvPr descr="markdown_report_autopull_0.68.6_files/figure-docx/not_sure14-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markdown_report_autopull_0.68.6_files/figure-docx/not_sure15-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X07e0619d98eefd70445e64bda7e19d4a2aeb4ef"/>
      <w:r>
        <w:t xml:space="preserve">Cumulative Number of COVID-19 Cases by Town</w:t>
      </w:r>
      <w:bookmarkEnd w:id="29"/>
    </w:p>
    <w:p>
      <w:pPr>
        <w:pStyle w:val="FirstParagraph"/>
      </w:pPr>
      <w:r>
        <w:rPr>
          <w:i/>
        </w:rPr>
        <w:t xml:space="preserve">Map does not include 779 cases pending address validation</w:t>
      </w:r>
    </w:p>
    <w:p>
      <w:pPr>
        <w:pStyle w:val="BodyText"/>
      </w:pPr>
      <w:r>
        <w:drawing>
          <wp:inline>
            <wp:extent cx="5943600" cy="4622800"/>
            <wp:effectExtent b="0" l="0" r="0" t="0"/>
            <wp:docPr descr="" title="" id="1" name="Picture"/>
            <a:graphic>
              <a:graphicData uri="http://schemas.openxmlformats.org/drawingml/2006/picture">
                <pic:pic>
                  <pic:nvPicPr>
                    <pic:cNvPr descr="markdown_report_autopull_0.68.6_files/figure-docx/town_map-1.png" id="0" name="Picture"/>
                    <pic:cNvPicPr>
                      <a:picLocks noChangeArrowheads="1" noChangeAspect="1"/>
                    </pic:cNvPicPr>
                  </pic:nvPicPr>
                  <pic:blipFill>
                    <a:blip r:embed="rId30"/>
                    <a:stretch>
                      <a:fillRect/>
                    </a:stretch>
                  </pic:blipFill>
                  <pic:spPr bwMode="auto">
                    <a:xfrm>
                      <a:off x="0" y="0"/>
                      <a:ext cx="5943600" cy="4622800"/>
                    </a:xfrm>
                    <a:prstGeom prst="rect">
                      <a:avLst/>
                    </a:prstGeom>
                    <a:noFill/>
                    <a:ln w="9525">
                      <a:noFill/>
                      <a:headEnd/>
                      <a:tailEnd/>
                    </a:ln>
                  </pic:spPr>
                </pic:pic>
              </a:graphicData>
            </a:graphic>
          </wp:inline>
        </w:drawing>
      </w:r>
    </w:p>
    <w:p>
      <w:pPr>
        <w:pStyle w:val="BodyText"/>
      </w:pPr>
      <w:r>
        <w:rPr>
          <w:b/>
        </w:rPr>
        <w:t xml:space="preserve">APPENDIX A. Cumulative Number of COVID-19 Cases by Town</w:t>
      </w:r>
      <w:r>
        <w:br/>
      </w:r>
      <w:r>
        <w:rPr>
          <w:i/>
        </w:rPr>
        <w:t xml:space="preserve">Table does not include 779 cases pending address validation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Town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Confirmed Cases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Probable Cases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Town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Confirmed Cases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Probable Cases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Town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Confirmed Cases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Probable Cases</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Andover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Griswold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551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Prospect</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508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32</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Ansonia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1,051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Groton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1,549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Putnam</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468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Ashford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Guilford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703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Redding</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27</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Avon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554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Haddam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Ridgefield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Barkhamsted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Hamden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3,254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Rocky Hill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55</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Beacon Falls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317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Hampton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Roxbury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Berlin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936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Hartford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11,021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Salem</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Bethany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232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Hartland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Salisbury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Bethel</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Harwinton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Scotland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Bethlehem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Hebron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290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Seymour</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63</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Bloomfield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1,325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Kent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Sharon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Bolton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Killingly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971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Shelton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2147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176</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Bozrah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Killingworth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Sherman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Branford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1,243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Lebanon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Simsbury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Bridgeport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11,942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621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Ledyard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565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Somers</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607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46</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Bridgewater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Lisbon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163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South Windsor</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954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42</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Bristol</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3,410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Litchfield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230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Southbury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801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56</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Brookfield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798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Lyme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Southington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189</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Brooklyn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508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Madison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631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Sprague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Burlington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Manchester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2,977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Stafford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Canaan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Mansfield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774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Stamford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9973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420</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Canterbury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230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Marlborough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Sterling</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Canton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Meriden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4,826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239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Stonington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Chaplin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Middlebury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434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Stratford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236</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Cheshire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1,232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Middlefield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Suffield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772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39</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Chester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Middletown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2,623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Thomaston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Clinton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529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Milford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2,563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Thompson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378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Colchester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692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Monroe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758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Tolland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Colebrook</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Montville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1,062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Torrington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2115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63</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Columbia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Morris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Trumbull</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1833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Cornwall</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Naugatuck</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2,017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Union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Coventry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387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Britain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6,209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Vernon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1222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Cromwell</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773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Canaan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845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Voluntown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Danbury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8,290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884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Fairfield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545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Wallingford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2618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Darien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794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Hartford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Warren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Deep River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Haven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7,775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Washington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Derby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707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London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2,024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Waterbury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9536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605</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Durham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352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 Milford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1,047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246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Waterford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962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Granby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Newington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1,717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Watertown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Haddam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224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Newtown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944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West Hartford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2700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189</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Hampton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448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Norfolk</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West Haven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3134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267</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Hartford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4,100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North Branford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582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Westbrook</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242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Haven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1,590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North Canaan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Weston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Lyme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729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North Haven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1,196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Westport</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967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80</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 Windsor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623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North Stonington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148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Wethersfield</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1636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70</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Norwalk</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6,915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388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Willington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Easton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222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Norwich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2,528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Wilton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605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68</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Ellington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573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Old Lyme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181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Winchester</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383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Enfield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2,181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Old Saybrook</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525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Windham</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2049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42</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Essex</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253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Orange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572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Windsor</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1794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Fairfield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2,976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353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Oxford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27</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Windsor Locks</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658</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17</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Farmington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880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Plainfield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833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Wolcott</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1089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80</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Franklin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Plainville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893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64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Woodbridge</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330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31</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Glastonbury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1,218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71</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Plymouth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525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Woodbury</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376</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Goshen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89</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Pomfret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150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Woodstock</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289</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4</w:t>
            </w:r>
          </w:p>
        </w:tc>
      </w:tr>
      <w:tr>
        <w:trPr>
          <w:cantSplit/>
          <w:trHeight w:val="216"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Granby</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306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13</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Portland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393</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20</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 </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 </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 </w:t>
            </w:r>
          </w:p>
        </w:tc>
      </w:tr>
      <w:tr>
        <w:trPr>
          <w:cantSplit/>
          <w:trHeight w:val="21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Greenwich</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2,672</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195</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Preston</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195</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 </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 </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17"/>
                <w:szCs w:val="17"/>
                <w:color w:val="000000"/>
              </w:rPr>
              <w:t xml:space="preserve"> </w:t>
            </w:r>
          </w:p>
        </w:tc>
      </w:tr>
    </w:tbl>
    <w:p>
      <w:pPr>
        <w:pStyle w:val="BodyText"/>
      </w:pPr>
      <w:r>
        <w:rPr>
          <w:b/>
        </w:rPr>
        <w:t xml:space="preserve">APPENDIX B.</w:t>
      </w:r>
      <w:r>
        <w:t xml:space="preserve"> </w:t>
      </w:r>
      <w:r>
        <w:t xml:space="preserve">The following graphs show the number of cases per 100,000 Connecticut residents statewide and by county, age group, and gender. Population estimate from:</w:t>
      </w:r>
      <w:r>
        <w:t xml:space="preserve"> </w:t>
      </w:r>
      <w:hyperlink r:id="rId31">
        <w:r>
          <w:rPr>
            <w:rStyle w:val="Hyperlink"/>
          </w:rPr>
          <w:t xml:space="preserve">DPH Population Statistics</w:t>
        </w:r>
      </w:hyperlink>
    </w:p>
    <w:p>
      <w:pPr>
        <w:pStyle w:val="BodyText"/>
      </w:pPr>
      <w:r>
        <w:t xml:space="preserve">Time hack 2021-01-12 11:20:12</w:t>
      </w:r>
    </w:p>
    <w:p>
      <w:pPr>
        <w:pStyle w:val="BodyText"/>
      </w:pPr>
      <w:r>
        <w:rPr>
          <w:b/>
        </w:rPr>
        <w:t xml:space="preserve">APPENDIX C.</w:t>
      </w:r>
      <w:r>
        <w:t xml:space="preserve"> </w:t>
      </w:r>
      <w:r>
        <w:t xml:space="preserve">The following graphs show the number of cases and deaths by race and ethnicity.</w:t>
      </w:r>
      <w:r>
        <w:t xml:space="preserve"> </w:t>
      </w:r>
      <w:r>
        <w:rPr>
          <w:i/>
        </w:rPr>
        <w:t xml:space="preserve">Categories are mutually exclusive. The category</w:t>
      </w:r>
      <w:r>
        <w:rPr>
          <w:i/>
        </w:rPr>
        <w:t xml:space="preserve"> </w:t>
      </w:r>
      <w:r>
        <w:rPr>
          <w:i/>
        </w:rPr>
        <w:t xml:space="preserve">“</w:t>
      </w:r>
      <w:r>
        <w:rPr>
          <w:i/>
        </w:rPr>
        <w:t xml:space="preserve">multiracial</w:t>
      </w:r>
      <w:r>
        <w:rPr>
          <w:i/>
        </w:rPr>
        <w:t xml:space="preserve">”</w:t>
      </w:r>
      <w:r>
        <w:rPr>
          <w:i/>
        </w:rPr>
        <w:t xml:space="preserve"> </w:t>
      </w:r>
      <w:r>
        <w:rPr>
          <w:i/>
        </w:rPr>
        <w:t xml:space="preserve">includes people who answered</w:t>
      </w:r>
      <w:r>
        <w:rPr>
          <w:i/>
        </w:rPr>
        <w:t xml:space="preserve"> </w:t>
      </w:r>
      <w:r>
        <w:rPr>
          <w:i/>
        </w:rPr>
        <w:t xml:space="preserve">‘</w:t>
      </w:r>
      <w:r>
        <w:rPr>
          <w:i/>
        </w:rPr>
        <w:t xml:space="preserve">yes</w:t>
      </w:r>
      <w:r>
        <w:rPr>
          <w:i/>
        </w:rPr>
        <w:t xml:space="preserve">’</w:t>
      </w:r>
      <w:r>
        <w:rPr>
          <w:i/>
        </w:rPr>
        <w:t xml:space="preserve"> </w:t>
      </w:r>
      <w:r>
        <w:rPr>
          <w:i/>
        </w:rPr>
        <w:t xml:space="preserve">to more than one race category. NH=Non-Hispanic</w:t>
      </w:r>
    </w:p>
    <w:p>
      <w:pPr>
        <w:pStyle w:val="BodyText"/>
      </w:pPr>
      <w:r>
        <w:drawing>
          <wp:inline>
            <wp:extent cx="4620126" cy="3696101"/>
            <wp:effectExtent b="0" l="0" r="0" t="0"/>
            <wp:docPr descr="" title="" id="1" name="Picture"/>
            <a:graphic>
              <a:graphicData uri="http://schemas.openxmlformats.org/drawingml/2006/picture">
                <pic:pic>
                  <pic:nvPicPr>
                    <pic:cNvPr descr="markdown_report_autopull_0.68.6_files/figure-docx/unnamed-chunk-5-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markdown_report_autopull_0.68.6_files/figure-docx/unnamed-chunk-6-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graphs show the number of COVID-19 cases and COVID-19-associated deaths per 100,000 population by race and ethnicity. Crude rates represent the total cases or deaths per 100,000 people. Age-adjusted rates consider the age of the person at diagnosis or death when estimating the rate and use a standardized population to provide a fair comparison between population groups with different age distributions. Age-adjustment is important in Connecticut as the median age of among the non-Hispanic white population is 47 years, whereas it is 34 years among non-Hispanic blacks, and 29 years among Hispanics. Because most non-Hispanic white residents who died were over 75 years of age, the age-adjusted rates are lower than the unadjusted rates. In contrast, Hispanic residents who died tend to be younger than 75 years of age which results in higher age-adjusted rates.</w:t>
      </w:r>
    </w:p>
    <w:p>
      <w:pPr>
        <w:pStyle w:val="BodyText"/>
      </w:pPr>
      <w:r>
        <w:t xml:space="preserve">The 2018 Connecticut and 2000 US Standard Million populations were used for age adjustment; population estimates from:</w:t>
      </w:r>
      <w:r>
        <w:t xml:space="preserve"> </w:t>
      </w:r>
      <w:hyperlink r:id="rId31">
        <w:r>
          <w:rPr>
            <w:rStyle w:val="Hyperlink"/>
          </w:rPr>
          <w:t xml:space="preserve">DPH Population Statistics.</w:t>
        </w:r>
      </w:hyperlink>
      <w:r>
        <w:t xml:space="preserve"> </w:t>
      </w:r>
      <w:r>
        <w:rPr>
          <w:i/>
        </w:rPr>
        <w:t xml:space="preserve">Categories are mutually exclusive. Cases missing data on race/ethnicity are excluded from calculation of rates. NH=Non-Hispanic</w:t>
      </w:r>
    </w:p>
    <w:p>
      <w:pPr>
        <w:pStyle w:val="BodyText"/>
      </w:pPr>
      <w:r>
        <w:drawing>
          <wp:inline>
            <wp:extent cx="4587290" cy="3669832"/>
            <wp:effectExtent b="0" l="0" r="0" t="0"/>
            <wp:docPr descr="" title="" id="1" name="Picture"/>
            <a:graphic>
              <a:graphicData uri="http://schemas.openxmlformats.org/drawingml/2006/picture">
                <pic:pic>
                  <pic:nvPicPr>
                    <pic:cNvPr descr="markdown_report_autopull_0.68.6_files/figure-docx/unnamed-chunk-7-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1" name="Picture"/>
            <a:graphic>
              <a:graphicData uri="http://schemas.openxmlformats.org/drawingml/2006/picture">
                <pic:pic>
                  <pic:nvPicPr>
                    <pic:cNvPr descr="markdown_report_autopull_0.68.6_files/figure-docx/unnamed-chunk-7-2.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i/>
        </w:rPr>
        <w:t xml:space="preserve">*Age adjusted rates only calculated for groups with at least 30 deaths</w:t>
      </w:r>
    </w:p>
    <w:p>
      <w:pPr>
        <w:pStyle w:val="BodyText"/>
      </w:pPr>
      <w:r>
        <w:t xml:space="preserve">Time hack 2021-01-12 11:23:03</w:t>
      </w:r>
    </w:p>
    <w:sectPr w:rsidR="002B18E6">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4819645"/>
      <w:docPartObj>
        <w:docPartGallery w:val="Page Numbers (Bottom of Page)"/>
        <w:docPartUnique/>
      </w:docPartObj>
    </w:sdtPr>
    <w:sdtEndPr>
      <w:rPr>
        <w:noProof/>
      </w:rPr>
    </w:sdtEndPr>
    <w:sdtContent>
      <w:p w14:paraId="21FF7468" w14:textId="77777777" w:rsidR="00660950" w:rsidRDefault="00484054" w:rsidP="00660950">
        <w:pPr>
          <w:pStyle w:val="Footer"/>
          <w:jc w:val="right"/>
        </w:pPr>
        <w:r>
          <w:fldChar w:fldCharType="begin"/>
        </w:r>
        <w:r>
          <w:instrText xml:space="preserve"> PAGE   \* MERGEFORMAT </w:instrText>
        </w:r>
        <w:r>
          <w:fldChar w:fldCharType="separate"/>
        </w:r>
        <w:r>
          <w:t>1</w:t>
        </w:r>
        <w:r>
          <w:rPr>
            <w:noProof/>
          </w:rPr>
          <w:fldChar w:fldCharType="end"/>
        </w:r>
      </w:p>
    </w:sdtContent>
  </w:sdt>
  <w:p w14:paraId="60218130" w14:textId="77777777" w:rsidR="00660950" w:rsidRDefault="00484054" w:rsidP="00660950">
    <w:pPr>
      <w:pStyle w:val="Footer"/>
      <w:jc w:val="center"/>
    </w:pPr>
    <w:r>
      <w:t>All data are preliminary and subject to change.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E5A2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58EA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7651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A62A5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9430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0CFA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5A8FC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400E5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B72EC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E61B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B2EEF3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B4402C"/>
    <w:pPr>
      <w:keepNext/>
      <w:keepLines/>
      <w:spacing w:before="200" w:after="0"/>
      <w:outlineLvl w:val="1"/>
    </w:pPr>
    <w:rPr>
      <w:rFonts w:asciiTheme="majorHAnsi" w:eastAsiaTheme="majorEastAsia" w:hAnsiTheme="majorHAnsi" w:cstheme="majorBidi"/>
      <w:b/>
      <w:bCs/>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0627A"/>
    <w:pPr>
      <w:spacing w:before="180" w:after="180"/>
    </w:pPr>
    <w:rPr>
      <w:rFonts w:ascii="Calibri" w:hAnsi="Calibri"/>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80627A"/>
    <w:pPr>
      <w:keepNext/>
      <w:keepLines/>
      <w:spacing w:before="480" w:after="240"/>
      <w:jc w:val="center"/>
    </w:pPr>
    <w:rPr>
      <w:rFonts w:asciiTheme="majorHAnsi" w:eastAsiaTheme="majorEastAsia" w:hAnsiTheme="majorHAnsi" w:cstheme="majorBidi"/>
      <w:b/>
      <w:bCs/>
      <w:i/>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AA1BFD"/>
    <w:rPr>
      <w:color w:val="4F81BD" w:themeColor="accent1"/>
      <w:u w:val="single"/>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odyText2">
    <w:name w:val="Body Text 2"/>
    <w:basedOn w:val="Normal"/>
    <w:link w:val="BodyText2Char"/>
    <w:rsid w:val="0080627A"/>
    <w:pPr>
      <w:spacing w:after="120" w:line="480" w:lineRule="auto"/>
    </w:pPr>
    <w:rPr>
      <w:rFonts w:ascii="Calibri" w:hAnsi="Calibri"/>
      <w:b/>
      <w:color w:val="548DD4" w:themeColor="text2" w:themeTint="99"/>
      <w:sz w:val="22"/>
    </w:rPr>
  </w:style>
  <w:style w:type="character" w:customStyle="1" w:styleId="BodyTextChar">
    <w:name w:val="Body Text Char"/>
    <w:basedOn w:val="DefaultParagraphFont"/>
    <w:link w:val="BodyText"/>
    <w:rsid w:val="0080627A"/>
    <w:rPr>
      <w:rFonts w:ascii="Calibri" w:hAnsi="Calibri"/>
      <w:sz w:val="22"/>
    </w:rPr>
  </w:style>
  <w:style w:type="character" w:customStyle="1" w:styleId="BodyText2Char">
    <w:name w:val="Body Text 2 Char"/>
    <w:basedOn w:val="DefaultParagraphFont"/>
    <w:link w:val="BodyText2"/>
    <w:rsid w:val="0080627A"/>
    <w:rPr>
      <w:rFonts w:ascii="Calibri" w:hAnsi="Calibri"/>
      <w:b/>
      <w:color w:val="548DD4" w:themeColor="text2" w:themeTint="99"/>
      <w:sz w:val="22"/>
    </w:rPr>
  </w:style>
  <w:style w:type="paragraph" w:styleId="BodyText3">
    <w:name w:val="Body Text 3"/>
    <w:basedOn w:val="Normal"/>
    <w:link w:val="BodyText3Char"/>
    <w:rsid w:val="0080627A"/>
    <w:pPr>
      <w:pBdr>
        <w:top w:val="single" w:sz="4" w:space="1" w:color="auto"/>
        <w:left w:val="single" w:sz="4" w:space="4" w:color="auto"/>
        <w:bottom w:val="single" w:sz="4" w:space="1" w:color="auto"/>
        <w:right w:val="single" w:sz="4" w:space="4" w:color="auto"/>
      </w:pBdr>
      <w:shd w:val="clear" w:color="auto" w:fill="8DB3E2" w:themeFill="text2" w:themeFillTint="66"/>
      <w:spacing w:after="120"/>
    </w:pPr>
    <w:rPr>
      <w:rFonts w:ascii="Calibri" w:hAnsi="Calibri"/>
      <w:b/>
      <w:sz w:val="22"/>
      <w:szCs w:val="16"/>
    </w:rPr>
  </w:style>
  <w:style w:type="character" w:customStyle="1" w:styleId="BodyText3Char">
    <w:name w:val="Body Text 3 Char"/>
    <w:basedOn w:val="DefaultParagraphFont"/>
    <w:link w:val="BodyText3"/>
    <w:rsid w:val="0080627A"/>
    <w:rPr>
      <w:rFonts w:ascii="Calibri" w:hAnsi="Calibri"/>
      <w:b/>
      <w:sz w:val="22"/>
      <w:szCs w:val="16"/>
      <w:shd w:val="clear" w:color="auto" w:fill="8DB3E2" w:themeFill="text2" w:themeFillTint="66"/>
    </w:rPr>
  </w:style>
  <w:style w:type="paragraph" w:styleId="Header">
    <w:name w:val="header"/>
    <w:basedOn w:val="Normal"/>
    <w:link w:val="HeaderChar"/>
    <w:unhideWhenUsed/>
    <w:rsid w:val="00660950"/>
    <w:pPr>
      <w:tabs>
        <w:tab w:val="center" w:pos="4680"/>
        <w:tab w:val="right" w:pos="9360"/>
      </w:tabs>
      <w:spacing w:after="0"/>
    </w:pPr>
  </w:style>
  <w:style w:type="character" w:customStyle="1" w:styleId="HeaderChar">
    <w:name w:val="Header Char"/>
    <w:basedOn w:val="DefaultParagraphFont"/>
    <w:link w:val="Header"/>
    <w:rsid w:val="00660950"/>
  </w:style>
  <w:style w:type="paragraph" w:styleId="Footer">
    <w:name w:val="footer"/>
    <w:basedOn w:val="Normal"/>
    <w:link w:val="FooterChar"/>
    <w:uiPriority w:val="99"/>
    <w:unhideWhenUsed/>
    <w:rsid w:val="003B1451"/>
    <w:pPr>
      <w:tabs>
        <w:tab w:val="center" w:pos="4680"/>
        <w:tab w:val="right" w:pos="9360"/>
      </w:tabs>
      <w:spacing w:after="0"/>
    </w:pPr>
    <w:rPr>
      <w:rFonts w:asciiTheme="majorHAnsi" w:hAnsiTheme="majorHAnsi"/>
      <w:sz w:val="20"/>
    </w:rPr>
  </w:style>
  <w:style w:type="character" w:customStyle="1" w:styleId="FooterChar">
    <w:name w:val="Footer Char"/>
    <w:basedOn w:val="DefaultParagraphFont"/>
    <w:link w:val="Footer"/>
    <w:uiPriority w:val="99"/>
    <w:rsid w:val="003B1451"/>
    <w:rPr>
      <w:rFonts w:asciiTheme="majorHAnsi" w:hAnsiTheme="maj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25" Target="https://gis.cdc.gov/grasp/COVIDNet/COVID19_3.html" TargetMode="External" /><Relationship Type="http://schemas.openxmlformats.org/officeDocument/2006/relationships/hyperlink" Id="rId31" Target="https://portal.ct.gov/DPH/Health-Information-Systems--Reporting/Population/Population-Statistics" TargetMode="External" /><Relationship Type="http://schemas.openxmlformats.org/officeDocument/2006/relationships/hyperlink" Id="rId21" Target="https://www.cdc.gov/coronavirus/2019-ncov/cases-updates/cases-in-us.html" TargetMode="External" /><Relationship Type="http://schemas.openxmlformats.org/officeDocument/2006/relationships/hyperlink" Id="rId20" Target="https://www.cdc.gov/coronavirus/2019-ncov/covid-data/faq-surveillance.html" TargetMode="External" /><Relationship Type="http://schemas.openxmlformats.org/officeDocument/2006/relationships/hyperlink" Id="rId22" Target="https://www.cdc.gov/coronavirus/2019-ncov/prevent-getting-sick/prevention.html" TargetMode="External" /></Relationships>
</file>

<file path=word/_rels/footnotes.xml.rels><?xml version="1.0" encoding="UTF-8"?>
<Relationships xmlns="http://schemas.openxmlformats.org/package/2006/relationships"><Relationship Type="http://schemas.openxmlformats.org/officeDocument/2006/relationships/hyperlink" Id="rId25" Target="https://gis.cdc.gov/grasp/COVIDNet/COVID19_3.html" TargetMode="External" /><Relationship Type="http://schemas.openxmlformats.org/officeDocument/2006/relationships/hyperlink" Id="rId31" Target="https://portal.ct.gov/DPH/Health-Information-Systems--Reporting/Population/Population-Statistics" TargetMode="External" /><Relationship Type="http://schemas.openxmlformats.org/officeDocument/2006/relationships/hyperlink" Id="rId21" Target="https://www.cdc.gov/coronavirus/2019-ncov/cases-updates/cases-in-us.html" TargetMode="External" /><Relationship Type="http://schemas.openxmlformats.org/officeDocument/2006/relationships/hyperlink" Id="rId20" Target="https://www.cdc.gov/coronavirus/2019-ncov/covid-data/faq-surveillance.html" TargetMode="External" /><Relationship Type="http://schemas.openxmlformats.org/officeDocument/2006/relationships/hyperlink" Id="rId22" Target="https://www.cdc.gov/coronavirus/2019-ncov/prevent-getting-sick/preven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856</Words>
  <Characters>4880</Characters>
  <Application>Microsoft Office Word</Application>
  <DocSecurity>0</DocSecurity>
  <Lines>40</Lines>
  <Paragraphs>11</Paragraphs>
  <ScaleCrop>false</ScaleCrop>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Update January 12, 2021</dc:title>
  <dc:creator/>
  <cp:keywords/>
  <dcterms:created xsi:type="dcterms:W3CDTF">2021-01-12T16:23:04Z</dcterms:created>
  <dcterms:modified xsi:type="dcterms:W3CDTF">2021-01-12T16:23:04Z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