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2887" w14:textId="77777777" w:rsidR="002B18E6" w:rsidRDefault="00484054">
      <w:pPr>
        <w:pStyle w:val="Title"/>
      </w:pPr>
      <w:r>
        <w:t>COVID-19 Update April 04, 2020</w:t>
      </w:r>
    </w:p>
    <w:p w14:paraId="2C1D9BFC" w14:textId="77777777" w:rsidR="002B18E6" w:rsidRDefault="00484054">
      <w:pPr>
        <w:pStyle w:val="FirstParagraph"/>
      </w:pPr>
      <w:r>
        <w:t xml:space="preserve">As of </w:t>
      </w:r>
      <w:r w:rsidRPr="00107CB8">
        <w:rPr>
          <w:rStyle w:val="BodyText2Char"/>
        </w:rPr>
        <w:t>April 04, 2020</w:t>
      </w:r>
      <w:r>
        <w:t xml:space="preserve">, a total of </w:t>
      </w:r>
      <w:r>
        <w:rPr>
          <w:b/>
        </w:rPr>
        <w:t>5059</w:t>
      </w:r>
      <w:r>
        <w:t xml:space="preserve"> laboratory-confirmed cases of COVID-19 have been reported among Connecticut residents (Figure 1). </w:t>
      </w:r>
      <w:r w:rsidRPr="00107CB8">
        <w:rPr>
          <w:rStyle w:val="BodyText2Char"/>
        </w:rPr>
        <w:t>Nine hundred nine</w:t>
      </w:r>
      <w:r>
        <w:t xml:space="preserve"> patients are currently hospitalized. </w:t>
      </w:r>
      <w:r w:rsidRPr="00107CB8">
        <w:rPr>
          <w:rStyle w:val="BodyText2Char"/>
        </w:rPr>
        <w:t>One hundred forty-six</w:t>
      </w:r>
      <w:r>
        <w:t xml:space="preserve"> residents have died. The increase in cases reported today is related to catch up of data entry and implementation of a new method for reporting cases to the Department of Public Health. This increase does not reflect a change in the trajectory of the outbreak.</w:t>
      </w:r>
    </w:p>
    <w:p w14:paraId="06F5DD54" w14:textId="77777777" w:rsidR="002B18E6" w:rsidRDefault="00484054">
      <w:pPr>
        <w:pStyle w:val="BodyText"/>
      </w:pPr>
      <w:r>
        <w:t>All data in this report are preliminary; data for previous dates will be updated as new reports are received and data errors are corrected. Hospitalization data were collected by the Connecticut Hospital Association. Deaths* reported to either the OCME or DPH are included in the daily COVID-19 update.</w:t>
      </w:r>
    </w:p>
    <w:p w14:paraId="21389DA2" w14:textId="77777777" w:rsidR="002B18E6" w:rsidRDefault="00484054" w:rsidP="00107CB8">
      <w:pPr>
        <w:pStyle w:val="BodyText3"/>
      </w:pPr>
      <w:r>
        <w:t>*For public health surveillance, laboratory-confirmed COVID-19-associated deaths are defined as patients who tested positive for COVID-19 around the time of death; this is not a determination of the cause of death.</w:t>
      </w:r>
    </w:p>
    <w:p w14:paraId="14041996" w14:textId="77777777" w:rsidR="002B18E6" w:rsidRDefault="00484054">
      <w:pPr>
        <w:pStyle w:val="Heading2"/>
      </w:pPr>
      <w:bookmarkStart w:id="0" w:name="overall-summary"/>
      <w:r>
        <w:t>Overall Summary</w:t>
      </w:r>
      <w:bookmarkEnd w:id="0"/>
    </w:p>
    <w:tbl>
      <w:tblPr>
        <w:tblW w:w="0" w:type="auto"/>
        <w:jc w:val="center"/>
        <w:tblLayout w:type="fixed"/>
        <w:tblLook w:val="04A0" w:firstRow="1" w:lastRow="0" w:firstColumn="1" w:lastColumn="0" w:noHBand="0" w:noVBand="1"/>
      </w:tblPr>
      <w:tblGrid>
        <w:gridCol w:w="2377"/>
        <w:gridCol w:w="1889"/>
        <w:gridCol w:w="1889"/>
        <w:gridCol w:w="2391"/>
      </w:tblGrid>
      <w:tr w:rsidR="002B18E6" w14:paraId="49CD2CC4" w14:textId="77777777">
        <w:trPr>
          <w:cantSplit/>
          <w:tblHeader/>
          <w:jc w:val="center"/>
        </w:trPr>
        <w:tc>
          <w:tcPr>
            <w:tcW w:w="2377" w:type="dxa"/>
            <w:shd w:val="clear" w:color="auto" w:fill="CFCFCF"/>
            <w:tcMar>
              <w:top w:w="0" w:type="dxa"/>
              <w:left w:w="0" w:type="dxa"/>
              <w:bottom w:w="0" w:type="dxa"/>
              <w:right w:w="0" w:type="dxa"/>
            </w:tcMar>
            <w:vAlign w:val="center"/>
          </w:tcPr>
          <w:p w14:paraId="7C5638C6" w14:textId="77777777" w:rsidR="002B18E6" w:rsidRDefault="00484054">
            <w:pPr>
              <w:spacing w:before="40" w:after="40"/>
              <w:ind w:left="40" w:right="40"/>
            </w:pPr>
            <w:r>
              <w:rPr>
                <w:rFonts w:ascii="Arial" w:eastAsia="Arial" w:hAnsi="Arial" w:cs="Arial"/>
                <w:b/>
                <w:color w:val="111111"/>
                <w:sz w:val="22"/>
                <w:szCs w:val="22"/>
              </w:rPr>
              <w:t>myRegion</w:t>
            </w:r>
          </w:p>
        </w:tc>
        <w:tc>
          <w:tcPr>
            <w:tcW w:w="1889" w:type="dxa"/>
            <w:shd w:val="clear" w:color="auto" w:fill="CFCFCF"/>
            <w:tcMar>
              <w:top w:w="0" w:type="dxa"/>
              <w:left w:w="0" w:type="dxa"/>
              <w:bottom w:w="0" w:type="dxa"/>
              <w:right w:w="0" w:type="dxa"/>
            </w:tcMar>
            <w:vAlign w:val="center"/>
          </w:tcPr>
          <w:p w14:paraId="12CD075B" w14:textId="77777777" w:rsidR="002B18E6" w:rsidRDefault="00484054">
            <w:pPr>
              <w:spacing w:before="40" w:after="40"/>
              <w:ind w:left="40" w:right="40"/>
              <w:jc w:val="right"/>
            </w:pPr>
            <w:r>
              <w:rPr>
                <w:rFonts w:ascii="Arial" w:eastAsia="Arial" w:hAnsi="Arial" w:cs="Arial"/>
                <w:b/>
                <w:color w:val="111111"/>
                <w:sz w:val="22"/>
                <w:szCs w:val="22"/>
              </w:rPr>
              <w:t>Current_Perc_1</w:t>
            </w:r>
          </w:p>
        </w:tc>
        <w:tc>
          <w:tcPr>
            <w:tcW w:w="1889" w:type="dxa"/>
            <w:shd w:val="clear" w:color="auto" w:fill="CFCFCF"/>
            <w:tcMar>
              <w:top w:w="0" w:type="dxa"/>
              <w:left w:w="0" w:type="dxa"/>
              <w:bottom w:w="0" w:type="dxa"/>
              <w:right w:w="0" w:type="dxa"/>
            </w:tcMar>
            <w:vAlign w:val="center"/>
          </w:tcPr>
          <w:p w14:paraId="5E9FF89C" w14:textId="77777777" w:rsidR="002B18E6" w:rsidRDefault="00484054">
            <w:pPr>
              <w:spacing w:before="40" w:after="40"/>
              <w:ind w:left="40" w:right="40"/>
              <w:jc w:val="right"/>
            </w:pPr>
            <w:r>
              <w:rPr>
                <w:rFonts w:ascii="Arial" w:eastAsia="Arial" w:hAnsi="Arial" w:cs="Arial"/>
                <w:b/>
                <w:color w:val="111111"/>
                <w:sz w:val="22"/>
                <w:szCs w:val="22"/>
              </w:rPr>
              <w:t>Current_Perc_2</w:t>
            </w:r>
          </w:p>
        </w:tc>
        <w:tc>
          <w:tcPr>
            <w:tcW w:w="2391" w:type="dxa"/>
            <w:shd w:val="clear" w:color="auto" w:fill="CFCFCF"/>
            <w:tcMar>
              <w:top w:w="0" w:type="dxa"/>
              <w:left w:w="0" w:type="dxa"/>
              <w:bottom w:w="0" w:type="dxa"/>
              <w:right w:w="0" w:type="dxa"/>
            </w:tcMar>
            <w:vAlign w:val="center"/>
          </w:tcPr>
          <w:p w14:paraId="3A116E9C" w14:textId="77777777" w:rsidR="002B18E6" w:rsidRDefault="00484054">
            <w:pPr>
              <w:spacing w:before="40" w:after="40"/>
              <w:ind w:left="40" w:right="40"/>
              <w:jc w:val="right"/>
            </w:pPr>
            <w:r>
              <w:rPr>
                <w:rFonts w:ascii="Arial" w:eastAsia="Arial" w:hAnsi="Arial" w:cs="Arial"/>
                <w:b/>
                <w:color w:val="111111"/>
                <w:sz w:val="22"/>
                <w:szCs w:val="22"/>
              </w:rPr>
              <w:t>curr_change_1_to_2</w:t>
            </w:r>
          </w:p>
        </w:tc>
      </w:tr>
      <w:tr w:rsidR="002B18E6" w14:paraId="7808C0B3" w14:textId="77777777">
        <w:trPr>
          <w:cantSplit/>
          <w:jc w:val="center"/>
        </w:trPr>
        <w:tc>
          <w:tcPr>
            <w:tcW w:w="2377" w:type="dxa"/>
            <w:shd w:val="clear" w:color="auto" w:fill="EFEFEF"/>
            <w:tcMar>
              <w:top w:w="0" w:type="dxa"/>
              <w:left w:w="0" w:type="dxa"/>
              <w:bottom w:w="0" w:type="dxa"/>
              <w:right w:w="0" w:type="dxa"/>
            </w:tcMar>
            <w:vAlign w:val="center"/>
          </w:tcPr>
          <w:p w14:paraId="5F3B29BA" w14:textId="77777777" w:rsidR="002B18E6" w:rsidRDefault="00484054">
            <w:pPr>
              <w:spacing w:before="40" w:after="40"/>
              <w:ind w:left="40" w:right="40"/>
            </w:pPr>
            <w:r>
              <w:rPr>
                <w:rFonts w:ascii="Arial" w:eastAsia="Arial" w:hAnsi="Arial" w:cs="Arial"/>
                <w:color w:val="111111"/>
                <w:sz w:val="22"/>
                <w:szCs w:val="22"/>
              </w:rPr>
              <w:t>a</w:t>
            </w:r>
          </w:p>
        </w:tc>
        <w:tc>
          <w:tcPr>
            <w:tcW w:w="1889" w:type="dxa"/>
            <w:shd w:val="clear" w:color="auto" w:fill="EFEFEF"/>
            <w:tcMar>
              <w:top w:w="0" w:type="dxa"/>
              <w:left w:w="0" w:type="dxa"/>
              <w:bottom w:w="0" w:type="dxa"/>
              <w:right w:w="0" w:type="dxa"/>
            </w:tcMar>
            <w:vAlign w:val="center"/>
          </w:tcPr>
          <w:p w14:paraId="7BBCAC31" w14:textId="77777777" w:rsidR="002B18E6" w:rsidRDefault="00484054">
            <w:pPr>
              <w:spacing w:before="40" w:after="40"/>
              <w:ind w:left="40" w:right="40"/>
              <w:jc w:val="right"/>
            </w:pPr>
            <w:r>
              <w:rPr>
                <w:rFonts w:ascii="Arial" w:eastAsia="Arial" w:hAnsi="Arial" w:cs="Arial"/>
                <w:color w:val="111111"/>
                <w:sz w:val="22"/>
                <w:szCs w:val="22"/>
              </w:rPr>
              <w:t>85.9</w:t>
            </w:r>
          </w:p>
        </w:tc>
        <w:tc>
          <w:tcPr>
            <w:tcW w:w="1889" w:type="dxa"/>
            <w:shd w:val="clear" w:color="auto" w:fill="EFEFEF"/>
            <w:tcMar>
              <w:top w:w="0" w:type="dxa"/>
              <w:left w:w="0" w:type="dxa"/>
              <w:bottom w:w="0" w:type="dxa"/>
              <w:right w:w="0" w:type="dxa"/>
            </w:tcMar>
            <w:vAlign w:val="center"/>
          </w:tcPr>
          <w:p w14:paraId="1026DC06" w14:textId="77777777" w:rsidR="002B18E6" w:rsidRDefault="00484054">
            <w:pPr>
              <w:spacing w:before="40" w:after="40"/>
              <w:ind w:left="40" w:right="40"/>
              <w:jc w:val="right"/>
            </w:pPr>
            <w:r>
              <w:rPr>
                <w:rFonts w:ascii="Arial" w:eastAsia="Arial" w:hAnsi="Arial" w:cs="Arial"/>
                <w:color w:val="111111"/>
                <w:sz w:val="22"/>
                <w:szCs w:val="22"/>
              </w:rPr>
              <w:t>88.0</w:t>
            </w:r>
          </w:p>
        </w:tc>
        <w:tc>
          <w:tcPr>
            <w:tcW w:w="2391" w:type="dxa"/>
            <w:shd w:val="clear" w:color="auto" w:fill="EFEFEF"/>
            <w:tcMar>
              <w:top w:w="0" w:type="dxa"/>
              <w:left w:w="0" w:type="dxa"/>
              <w:bottom w:w="0" w:type="dxa"/>
              <w:right w:w="0" w:type="dxa"/>
            </w:tcMar>
            <w:vAlign w:val="center"/>
          </w:tcPr>
          <w:p w14:paraId="3DD38E59" w14:textId="77777777" w:rsidR="002B18E6" w:rsidRDefault="00484054">
            <w:pPr>
              <w:spacing w:before="40" w:after="40"/>
              <w:ind w:left="40" w:right="40"/>
              <w:jc w:val="right"/>
            </w:pPr>
            <w:r>
              <w:rPr>
                <w:rFonts w:ascii="Arial" w:eastAsia="Arial" w:hAnsi="Arial" w:cs="Arial"/>
                <w:color w:val="111111"/>
                <w:sz w:val="22"/>
                <w:szCs w:val="22"/>
              </w:rPr>
              <w:t>2.1</w:t>
            </w:r>
          </w:p>
        </w:tc>
      </w:tr>
      <w:tr w:rsidR="002B18E6" w14:paraId="2E817038" w14:textId="77777777">
        <w:trPr>
          <w:cantSplit/>
          <w:jc w:val="center"/>
        </w:trPr>
        <w:tc>
          <w:tcPr>
            <w:tcW w:w="2377" w:type="dxa"/>
            <w:shd w:val="clear" w:color="auto" w:fill="FFFFFF"/>
            <w:tcMar>
              <w:top w:w="0" w:type="dxa"/>
              <w:left w:w="0" w:type="dxa"/>
              <w:bottom w:w="0" w:type="dxa"/>
              <w:right w:w="0" w:type="dxa"/>
            </w:tcMar>
            <w:vAlign w:val="center"/>
          </w:tcPr>
          <w:p w14:paraId="02D5811A" w14:textId="77777777" w:rsidR="002B18E6" w:rsidRDefault="00484054">
            <w:pPr>
              <w:spacing w:before="40" w:after="40"/>
              <w:ind w:left="40" w:right="40"/>
            </w:pPr>
            <w:r>
              <w:rPr>
                <w:rFonts w:ascii="Arial" w:eastAsia="Arial" w:hAnsi="Arial" w:cs="Arial"/>
                <w:color w:val="111111"/>
                <w:sz w:val="22"/>
                <w:szCs w:val="22"/>
              </w:rPr>
              <w:t>b</w:t>
            </w:r>
          </w:p>
        </w:tc>
        <w:tc>
          <w:tcPr>
            <w:tcW w:w="1889" w:type="dxa"/>
            <w:shd w:val="clear" w:color="auto" w:fill="FFFFFF"/>
            <w:tcMar>
              <w:top w:w="0" w:type="dxa"/>
              <w:left w:w="0" w:type="dxa"/>
              <w:bottom w:w="0" w:type="dxa"/>
              <w:right w:w="0" w:type="dxa"/>
            </w:tcMar>
            <w:vAlign w:val="center"/>
          </w:tcPr>
          <w:p w14:paraId="53C66F7A" w14:textId="77777777" w:rsidR="002B18E6" w:rsidRDefault="00484054">
            <w:pPr>
              <w:spacing w:before="40" w:after="40"/>
              <w:ind w:left="40" w:right="40"/>
              <w:jc w:val="right"/>
            </w:pPr>
            <w:r>
              <w:rPr>
                <w:rFonts w:ascii="Arial" w:eastAsia="Arial" w:hAnsi="Arial" w:cs="Arial"/>
                <w:color w:val="111111"/>
                <w:sz w:val="22"/>
                <w:szCs w:val="22"/>
              </w:rPr>
              <w:t>90.8</w:t>
            </w:r>
          </w:p>
        </w:tc>
        <w:tc>
          <w:tcPr>
            <w:tcW w:w="1889" w:type="dxa"/>
            <w:shd w:val="clear" w:color="auto" w:fill="FFFFFF"/>
            <w:tcMar>
              <w:top w:w="0" w:type="dxa"/>
              <w:left w:w="0" w:type="dxa"/>
              <w:bottom w:w="0" w:type="dxa"/>
              <w:right w:w="0" w:type="dxa"/>
            </w:tcMar>
            <w:vAlign w:val="center"/>
          </w:tcPr>
          <w:p w14:paraId="7EAF7B87" w14:textId="77777777" w:rsidR="002B18E6" w:rsidRDefault="00484054">
            <w:pPr>
              <w:spacing w:before="40" w:after="40"/>
              <w:ind w:left="40" w:right="40"/>
              <w:jc w:val="right"/>
            </w:pPr>
            <w:r>
              <w:rPr>
                <w:rFonts w:ascii="Arial" w:eastAsia="Arial" w:hAnsi="Arial" w:cs="Arial"/>
                <w:color w:val="111111"/>
                <w:sz w:val="22"/>
                <w:szCs w:val="22"/>
              </w:rPr>
              <w:t>91.0</w:t>
            </w:r>
          </w:p>
        </w:tc>
        <w:tc>
          <w:tcPr>
            <w:tcW w:w="2391" w:type="dxa"/>
            <w:shd w:val="clear" w:color="auto" w:fill="FFFFFF"/>
            <w:tcMar>
              <w:top w:w="0" w:type="dxa"/>
              <w:left w:w="0" w:type="dxa"/>
              <w:bottom w:w="0" w:type="dxa"/>
              <w:right w:w="0" w:type="dxa"/>
            </w:tcMar>
            <w:vAlign w:val="center"/>
          </w:tcPr>
          <w:p w14:paraId="2D22E394" w14:textId="77777777" w:rsidR="002B18E6" w:rsidRDefault="00484054">
            <w:pPr>
              <w:spacing w:before="40" w:after="40"/>
              <w:ind w:left="40" w:right="40"/>
              <w:jc w:val="right"/>
            </w:pPr>
            <w:r>
              <w:rPr>
                <w:rFonts w:ascii="Arial" w:eastAsia="Arial" w:hAnsi="Arial" w:cs="Arial"/>
                <w:color w:val="111111"/>
                <w:sz w:val="22"/>
                <w:szCs w:val="22"/>
              </w:rPr>
              <w:t>0.2</w:t>
            </w:r>
          </w:p>
        </w:tc>
      </w:tr>
      <w:tr w:rsidR="002B18E6" w14:paraId="1FDFD077" w14:textId="77777777">
        <w:trPr>
          <w:cantSplit/>
          <w:jc w:val="center"/>
        </w:trPr>
        <w:tc>
          <w:tcPr>
            <w:tcW w:w="2377" w:type="dxa"/>
            <w:shd w:val="clear" w:color="auto" w:fill="EFEFEF"/>
            <w:tcMar>
              <w:top w:w="0" w:type="dxa"/>
              <w:left w:w="0" w:type="dxa"/>
              <w:bottom w:w="0" w:type="dxa"/>
              <w:right w:w="0" w:type="dxa"/>
            </w:tcMar>
            <w:vAlign w:val="center"/>
          </w:tcPr>
          <w:p w14:paraId="36BAEAD0" w14:textId="77777777" w:rsidR="002B18E6" w:rsidRDefault="00484054">
            <w:pPr>
              <w:spacing w:before="40" w:after="40"/>
              <w:ind w:left="40" w:right="40"/>
            </w:pPr>
            <w:r>
              <w:rPr>
                <w:rFonts w:ascii="Arial" w:eastAsia="Arial" w:hAnsi="Arial" w:cs="Arial"/>
                <w:color w:val="111111"/>
                <w:sz w:val="22"/>
                <w:szCs w:val="22"/>
              </w:rPr>
              <w:t>c</w:t>
            </w:r>
          </w:p>
        </w:tc>
        <w:tc>
          <w:tcPr>
            <w:tcW w:w="1889" w:type="dxa"/>
            <w:shd w:val="clear" w:color="auto" w:fill="EFEFEF"/>
            <w:tcMar>
              <w:top w:w="0" w:type="dxa"/>
              <w:left w:w="0" w:type="dxa"/>
              <w:bottom w:w="0" w:type="dxa"/>
              <w:right w:w="0" w:type="dxa"/>
            </w:tcMar>
            <w:vAlign w:val="center"/>
          </w:tcPr>
          <w:p w14:paraId="3BCEF891" w14:textId="77777777" w:rsidR="002B18E6" w:rsidRDefault="00484054">
            <w:pPr>
              <w:spacing w:before="40" w:after="40"/>
              <w:ind w:left="40" w:right="40"/>
              <w:jc w:val="right"/>
            </w:pPr>
            <w:r>
              <w:rPr>
                <w:rFonts w:ascii="Arial" w:eastAsia="Arial" w:hAnsi="Arial" w:cs="Arial"/>
                <w:color w:val="111111"/>
                <w:sz w:val="22"/>
                <w:szCs w:val="22"/>
              </w:rPr>
              <w:t>89.7</w:t>
            </w:r>
          </w:p>
        </w:tc>
        <w:tc>
          <w:tcPr>
            <w:tcW w:w="1889" w:type="dxa"/>
            <w:shd w:val="clear" w:color="auto" w:fill="EFEFEF"/>
            <w:tcMar>
              <w:top w:w="0" w:type="dxa"/>
              <w:left w:w="0" w:type="dxa"/>
              <w:bottom w:w="0" w:type="dxa"/>
              <w:right w:w="0" w:type="dxa"/>
            </w:tcMar>
            <w:vAlign w:val="center"/>
          </w:tcPr>
          <w:p w14:paraId="0E22A5B3" w14:textId="77777777" w:rsidR="002B18E6" w:rsidRDefault="00484054">
            <w:pPr>
              <w:spacing w:before="40" w:after="40"/>
              <w:ind w:left="40" w:right="40"/>
              <w:jc w:val="right"/>
            </w:pPr>
            <w:r>
              <w:rPr>
                <w:rFonts w:ascii="Arial" w:eastAsia="Arial" w:hAnsi="Arial" w:cs="Arial"/>
                <w:color w:val="111111"/>
                <w:sz w:val="22"/>
                <w:szCs w:val="22"/>
              </w:rPr>
              <w:t>89.0</w:t>
            </w:r>
          </w:p>
        </w:tc>
        <w:tc>
          <w:tcPr>
            <w:tcW w:w="2391" w:type="dxa"/>
            <w:shd w:val="clear" w:color="auto" w:fill="EFEFEF"/>
            <w:tcMar>
              <w:top w:w="0" w:type="dxa"/>
              <w:left w:w="0" w:type="dxa"/>
              <w:bottom w:w="0" w:type="dxa"/>
              <w:right w:w="0" w:type="dxa"/>
            </w:tcMar>
            <w:vAlign w:val="center"/>
          </w:tcPr>
          <w:p w14:paraId="623B8164" w14:textId="77777777" w:rsidR="002B18E6" w:rsidRDefault="00484054">
            <w:pPr>
              <w:spacing w:before="40" w:after="40"/>
              <w:ind w:left="40" w:right="40"/>
              <w:jc w:val="right"/>
            </w:pPr>
            <w:r>
              <w:rPr>
                <w:rFonts w:ascii="Arial" w:eastAsia="Arial" w:hAnsi="Arial" w:cs="Arial"/>
                <w:color w:val="111111"/>
                <w:sz w:val="22"/>
                <w:szCs w:val="22"/>
              </w:rPr>
              <w:t>-0.7</w:t>
            </w:r>
          </w:p>
        </w:tc>
      </w:tr>
      <w:tr w:rsidR="002B18E6" w14:paraId="6D75782D" w14:textId="77777777">
        <w:trPr>
          <w:cantSplit/>
          <w:jc w:val="center"/>
        </w:trPr>
        <w:tc>
          <w:tcPr>
            <w:tcW w:w="2377" w:type="dxa"/>
            <w:shd w:val="clear" w:color="auto" w:fill="FFFFFF"/>
            <w:tcMar>
              <w:top w:w="0" w:type="dxa"/>
              <w:left w:w="0" w:type="dxa"/>
              <w:bottom w:w="0" w:type="dxa"/>
              <w:right w:w="0" w:type="dxa"/>
            </w:tcMar>
            <w:vAlign w:val="center"/>
          </w:tcPr>
          <w:p w14:paraId="684D37B9" w14:textId="77777777" w:rsidR="002B18E6" w:rsidRDefault="00484054">
            <w:pPr>
              <w:spacing w:before="40" w:after="40"/>
              <w:ind w:left="40" w:right="40"/>
            </w:pPr>
            <w:r>
              <w:rPr>
                <w:rFonts w:ascii="Arial" w:eastAsia="Arial" w:hAnsi="Arial" w:cs="Arial"/>
                <w:b/>
                <w:color w:val="111111"/>
                <w:sz w:val="22"/>
                <w:szCs w:val="22"/>
              </w:rPr>
              <w:t>BRITISH COLUMBIA</w:t>
            </w:r>
          </w:p>
        </w:tc>
        <w:tc>
          <w:tcPr>
            <w:tcW w:w="1889" w:type="dxa"/>
            <w:shd w:val="clear" w:color="auto" w:fill="FFFFFF"/>
            <w:tcMar>
              <w:top w:w="0" w:type="dxa"/>
              <w:left w:w="0" w:type="dxa"/>
              <w:bottom w:w="0" w:type="dxa"/>
              <w:right w:w="0" w:type="dxa"/>
            </w:tcMar>
            <w:vAlign w:val="center"/>
          </w:tcPr>
          <w:p w14:paraId="755FB3E2" w14:textId="77777777" w:rsidR="002B18E6" w:rsidRDefault="00484054">
            <w:pPr>
              <w:spacing w:before="40" w:after="40"/>
              <w:ind w:left="40" w:right="40"/>
              <w:jc w:val="right"/>
            </w:pPr>
            <w:r>
              <w:rPr>
                <w:rFonts w:ascii="Arial" w:eastAsia="Arial" w:hAnsi="Arial" w:cs="Arial"/>
                <w:b/>
                <w:color w:val="111111"/>
                <w:sz w:val="22"/>
                <w:szCs w:val="22"/>
              </w:rPr>
              <w:t>88.4</w:t>
            </w:r>
          </w:p>
        </w:tc>
        <w:tc>
          <w:tcPr>
            <w:tcW w:w="1889" w:type="dxa"/>
            <w:shd w:val="clear" w:color="auto" w:fill="FFFFFF"/>
            <w:tcMar>
              <w:top w:w="0" w:type="dxa"/>
              <w:left w:w="0" w:type="dxa"/>
              <w:bottom w:w="0" w:type="dxa"/>
              <w:right w:w="0" w:type="dxa"/>
            </w:tcMar>
            <w:vAlign w:val="center"/>
          </w:tcPr>
          <w:p w14:paraId="7384D2B8" w14:textId="77777777" w:rsidR="002B18E6" w:rsidRDefault="00484054">
            <w:pPr>
              <w:spacing w:before="40" w:after="40"/>
              <w:ind w:left="40" w:right="40"/>
              <w:jc w:val="right"/>
            </w:pPr>
            <w:r>
              <w:rPr>
                <w:rFonts w:ascii="Arial" w:eastAsia="Arial" w:hAnsi="Arial" w:cs="Arial"/>
                <w:b/>
                <w:color w:val="111111"/>
                <w:sz w:val="22"/>
                <w:szCs w:val="22"/>
              </w:rPr>
              <w:t>89.3</w:t>
            </w:r>
          </w:p>
        </w:tc>
        <w:tc>
          <w:tcPr>
            <w:tcW w:w="2391" w:type="dxa"/>
            <w:shd w:val="clear" w:color="auto" w:fill="FFFFFF"/>
            <w:tcMar>
              <w:top w:w="0" w:type="dxa"/>
              <w:left w:w="0" w:type="dxa"/>
              <w:bottom w:w="0" w:type="dxa"/>
              <w:right w:w="0" w:type="dxa"/>
            </w:tcMar>
            <w:vAlign w:val="center"/>
          </w:tcPr>
          <w:p w14:paraId="4994D328" w14:textId="77777777" w:rsidR="002B18E6" w:rsidRDefault="00484054">
            <w:pPr>
              <w:spacing w:before="40" w:after="40"/>
              <w:ind w:left="40" w:right="40"/>
              <w:jc w:val="right"/>
            </w:pPr>
            <w:r>
              <w:rPr>
                <w:rFonts w:ascii="Arial" w:eastAsia="Arial" w:hAnsi="Arial" w:cs="Arial"/>
                <w:b/>
                <w:color w:val="111111"/>
                <w:sz w:val="22"/>
                <w:szCs w:val="22"/>
              </w:rPr>
              <w:t>0.9</w:t>
            </w:r>
          </w:p>
        </w:tc>
      </w:tr>
    </w:tbl>
    <w:p w14:paraId="4E903D99" w14:textId="77777777" w:rsidR="002B18E6" w:rsidRDefault="00484054">
      <w:pPr>
        <w:pStyle w:val="FirstParagraph"/>
      </w:pPr>
      <w:r>
        <w:rPr>
          <w:b/>
        </w:rPr>
        <w:t>Laboratory-Confirmed COVID-19 Cases and Associated Deaths by County of Residence</w:t>
      </w:r>
    </w:p>
    <w:p w14:paraId="0E97FC1D" w14:textId="77777777" w:rsidR="002B18E6" w:rsidRDefault="00484054">
      <w:pPr>
        <w:pStyle w:val="BodyText"/>
      </w:pPr>
      <w:r>
        <w:rPr>
          <w:i/>
        </w:rPr>
        <w:t>As of 04/04/20 12:30pm. Includes patients tested at the State Public Health Laboratory, hospital, and commercial laboratories.</w:t>
      </w:r>
    </w:p>
    <w:tbl>
      <w:tblPr>
        <w:tblW w:w="0" w:type="auto"/>
        <w:jc w:val="center"/>
        <w:tblLayout w:type="fixed"/>
        <w:tblLook w:val="04A0" w:firstRow="1" w:lastRow="0" w:firstColumn="1" w:lastColumn="0" w:noHBand="0" w:noVBand="1"/>
      </w:tblPr>
      <w:tblGrid>
        <w:gridCol w:w="2377"/>
        <w:gridCol w:w="1889"/>
        <w:gridCol w:w="1889"/>
        <w:gridCol w:w="2391"/>
      </w:tblGrid>
      <w:tr w:rsidR="002B18E6" w14:paraId="56940849" w14:textId="77777777">
        <w:trPr>
          <w:cantSplit/>
          <w:tblHeader/>
          <w:jc w:val="center"/>
        </w:trPr>
        <w:tc>
          <w:tcPr>
            <w:tcW w:w="2377" w:type="dxa"/>
            <w:shd w:val="clear" w:color="auto" w:fill="CFCFCF"/>
            <w:tcMar>
              <w:top w:w="0" w:type="dxa"/>
              <w:left w:w="0" w:type="dxa"/>
              <w:bottom w:w="0" w:type="dxa"/>
              <w:right w:w="0" w:type="dxa"/>
            </w:tcMar>
            <w:vAlign w:val="center"/>
          </w:tcPr>
          <w:p w14:paraId="77AF9CBA" w14:textId="77777777" w:rsidR="002B18E6" w:rsidRDefault="00484054">
            <w:pPr>
              <w:spacing w:before="40" w:after="40"/>
              <w:ind w:left="40" w:right="40"/>
            </w:pPr>
            <w:r>
              <w:rPr>
                <w:rFonts w:ascii="Arial" w:eastAsia="Arial" w:hAnsi="Arial" w:cs="Arial"/>
                <w:b/>
                <w:color w:val="111111"/>
                <w:sz w:val="22"/>
                <w:szCs w:val="22"/>
              </w:rPr>
              <w:t>myRegion</w:t>
            </w:r>
          </w:p>
        </w:tc>
        <w:tc>
          <w:tcPr>
            <w:tcW w:w="1889" w:type="dxa"/>
            <w:shd w:val="clear" w:color="auto" w:fill="CFCFCF"/>
            <w:tcMar>
              <w:top w:w="0" w:type="dxa"/>
              <w:left w:w="0" w:type="dxa"/>
              <w:bottom w:w="0" w:type="dxa"/>
              <w:right w:w="0" w:type="dxa"/>
            </w:tcMar>
            <w:vAlign w:val="center"/>
          </w:tcPr>
          <w:p w14:paraId="271C949E" w14:textId="77777777" w:rsidR="002B18E6" w:rsidRDefault="00484054">
            <w:pPr>
              <w:spacing w:before="40" w:after="40"/>
              <w:ind w:left="40" w:right="40"/>
              <w:jc w:val="right"/>
            </w:pPr>
            <w:r>
              <w:rPr>
                <w:rFonts w:ascii="Arial" w:eastAsia="Arial" w:hAnsi="Arial" w:cs="Arial"/>
                <w:b/>
                <w:color w:val="111111"/>
                <w:sz w:val="22"/>
                <w:szCs w:val="22"/>
              </w:rPr>
              <w:t>Current_Perc_1</w:t>
            </w:r>
          </w:p>
        </w:tc>
        <w:tc>
          <w:tcPr>
            <w:tcW w:w="1889" w:type="dxa"/>
            <w:shd w:val="clear" w:color="auto" w:fill="CFCFCF"/>
            <w:tcMar>
              <w:top w:w="0" w:type="dxa"/>
              <w:left w:w="0" w:type="dxa"/>
              <w:bottom w:w="0" w:type="dxa"/>
              <w:right w:w="0" w:type="dxa"/>
            </w:tcMar>
            <w:vAlign w:val="center"/>
          </w:tcPr>
          <w:p w14:paraId="0E7E2D6B" w14:textId="77777777" w:rsidR="002B18E6" w:rsidRDefault="00484054">
            <w:pPr>
              <w:spacing w:before="40" w:after="40"/>
              <w:ind w:left="40" w:right="40"/>
              <w:jc w:val="right"/>
            </w:pPr>
            <w:r>
              <w:rPr>
                <w:rFonts w:ascii="Arial" w:eastAsia="Arial" w:hAnsi="Arial" w:cs="Arial"/>
                <w:b/>
                <w:color w:val="111111"/>
                <w:sz w:val="22"/>
                <w:szCs w:val="22"/>
              </w:rPr>
              <w:t>Current_Perc_2</w:t>
            </w:r>
          </w:p>
        </w:tc>
        <w:tc>
          <w:tcPr>
            <w:tcW w:w="2391" w:type="dxa"/>
            <w:shd w:val="clear" w:color="auto" w:fill="CFCFCF"/>
            <w:tcMar>
              <w:top w:w="0" w:type="dxa"/>
              <w:left w:w="0" w:type="dxa"/>
              <w:bottom w:w="0" w:type="dxa"/>
              <w:right w:w="0" w:type="dxa"/>
            </w:tcMar>
            <w:vAlign w:val="center"/>
          </w:tcPr>
          <w:p w14:paraId="19A1284E" w14:textId="77777777" w:rsidR="002B18E6" w:rsidRDefault="00484054">
            <w:pPr>
              <w:spacing w:before="40" w:after="40"/>
              <w:ind w:left="40" w:right="40"/>
              <w:jc w:val="right"/>
            </w:pPr>
            <w:r>
              <w:rPr>
                <w:rFonts w:ascii="Arial" w:eastAsia="Arial" w:hAnsi="Arial" w:cs="Arial"/>
                <w:b/>
                <w:color w:val="111111"/>
                <w:sz w:val="22"/>
                <w:szCs w:val="22"/>
              </w:rPr>
              <w:t>curr_change_1_to_2</w:t>
            </w:r>
          </w:p>
        </w:tc>
      </w:tr>
      <w:tr w:rsidR="002B18E6" w14:paraId="34A55504" w14:textId="77777777">
        <w:trPr>
          <w:cantSplit/>
          <w:jc w:val="center"/>
        </w:trPr>
        <w:tc>
          <w:tcPr>
            <w:tcW w:w="2377" w:type="dxa"/>
            <w:shd w:val="clear" w:color="auto" w:fill="EFEFEF"/>
            <w:tcMar>
              <w:top w:w="0" w:type="dxa"/>
              <w:left w:w="0" w:type="dxa"/>
              <w:bottom w:w="0" w:type="dxa"/>
              <w:right w:w="0" w:type="dxa"/>
            </w:tcMar>
            <w:vAlign w:val="center"/>
          </w:tcPr>
          <w:p w14:paraId="080EAB18" w14:textId="77777777" w:rsidR="002B18E6" w:rsidRDefault="00484054">
            <w:pPr>
              <w:spacing w:before="40" w:after="40"/>
              <w:ind w:left="40" w:right="40"/>
            </w:pPr>
            <w:r>
              <w:rPr>
                <w:rFonts w:ascii="Arial" w:eastAsia="Arial" w:hAnsi="Arial" w:cs="Arial"/>
                <w:color w:val="111111"/>
                <w:sz w:val="22"/>
                <w:szCs w:val="22"/>
              </w:rPr>
              <w:t>a</w:t>
            </w:r>
          </w:p>
        </w:tc>
        <w:tc>
          <w:tcPr>
            <w:tcW w:w="1889" w:type="dxa"/>
            <w:shd w:val="clear" w:color="auto" w:fill="EFEFEF"/>
            <w:tcMar>
              <w:top w:w="0" w:type="dxa"/>
              <w:left w:w="0" w:type="dxa"/>
              <w:bottom w:w="0" w:type="dxa"/>
              <w:right w:w="0" w:type="dxa"/>
            </w:tcMar>
            <w:vAlign w:val="center"/>
          </w:tcPr>
          <w:p w14:paraId="35C671A4" w14:textId="77777777" w:rsidR="002B18E6" w:rsidRDefault="00484054">
            <w:pPr>
              <w:spacing w:before="40" w:after="40"/>
              <w:ind w:left="40" w:right="40"/>
              <w:jc w:val="right"/>
            </w:pPr>
            <w:r>
              <w:rPr>
                <w:rFonts w:ascii="Arial" w:eastAsia="Arial" w:hAnsi="Arial" w:cs="Arial"/>
                <w:color w:val="111111"/>
                <w:sz w:val="22"/>
                <w:szCs w:val="22"/>
              </w:rPr>
              <w:t>85.9</w:t>
            </w:r>
          </w:p>
        </w:tc>
        <w:tc>
          <w:tcPr>
            <w:tcW w:w="1889" w:type="dxa"/>
            <w:shd w:val="clear" w:color="auto" w:fill="EFEFEF"/>
            <w:tcMar>
              <w:top w:w="0" w:type="dxa"/>
              <w:left w:w="0" w:type="dxa"/>
              <w:bottom w:w="0" w:type="dxa"/>
              <w:right w:w="0" w:type="dxa"/>
            </w:tcMar>
            <w:vAlign w:val="center"/>
          </w:tcPr>
          <w:p w14:paraId="190263B7" w14:textId="77777777" w:rsidR="002B18E6" w:rsidRDefault="00484054">
            <w:pPr>
              <w:spacing w:before="40" w:after="40"/>
              <w:ind w:left="40" w:right="40"/>
              <w:jc w:val="right"/>
            </w:pPr>
            <w:r>
              <w:rPr>
                <w:rFonts w:ascii="Arial" w:eastAsia="Arial" w:hAnsi="Arial" w:cs="Arial"/>
                <w:color w:val="111111"/>
                <w:sz w:val="22"/>
                <w:szCs w:val="22"/>
              </w:rPr>
              <w:t>88.0</w:t>
            </w:r>
          </w:p>
        </w:tc>
        <w:tc>
          <w:tcPr>
            <w:tcW w:w="2391" w:type="dxa"/>
            <w:shd w:val="clear" w:color="auto" w:fill="EFEFEF"/>
            <w:tcMar>
              <w:top w:w="0" w:type="dxa"/>
              <w:left w:w="0" w:type="dxa"/>
              <w:bottom w:w="0" w:type="dxa"/>
              <w:right w:w="0" w:type="dxa"/>
            </w:tcMar>
            <w:vAlign w:val="center"/>
          </w:tcPr>
          <w:p w14:paraId="0BB833BB" w14:textId="77777777" w:rsidR="002B18E6" w:rsidRDefault="00484054">
            <w:pPr>
              <w:spacing w:before="40" w:after="40"/>
              <w:ind w:left="40" w:right="40"/>
              <w:jc w:val="right"/>
            </w:pPr>
            <w:r>
              <w:rPr>
                <w:rFonts w:ascii="Arial" w:eastAsia="Arial" w:hAnsi="Arial" w:cs="Arial"/>
                <w:color w:val="111111"/>
                <w:sz w:val="22"/>
                <w:szCs w:val="22"/>
              </w:rPr>
              <w:t>2.1</w:t>
            </w:r>
          </w:p>
        </w:tc>
      </w:tr>
      <w:tr w:rsidR="002B18E6" w14:paraId="2BDD917C" w14:textId="77777777">
        <w:trPr>
          <w:cantSplit/>
          <w:jc w:val="center"/>
        </w:trPr>
        <w:tc>
          <w:tcPr>
            <w:tcW w:w="2377" w:type="dxa"/>
            <w:shd w:val="clear" w:color="auto" w:fill="FFFFFF"/>
            <w:tcMar>
              <w:top w:w="0" w:type="dxa"/>
              <w:left w:w="0" w:type="dxa"/>
              <w:bottom w:w="0" w:type="dxa"/>
              <w:right w:w="0" w:type="dxa"/>
            </w:tcMar>
            <w:vAlign w:val="center"/>
          </w:tcPr>
          <w:p w14:paraId="45BB4A40" w14:textId="77777777" w:rsidR="002B18E6" w:rsidRDefault="00484054">
            <w:pPr>
              <w:spacing w:before="40" w:after="40"/>
              <w:ind w:left="40" w:right="40"/>
            </w:pPr>
            <w:r>
              <w:rPr>
                <w:rFonts w:ascii="Arial" w:eastAsia="Arial" w:hAnsi="Arial" w:cs="Arial"/>
                <w:color w:val="111111"/>
                <w:sz w:val="22"/>
                <w:szCs w:val="22"/>
              </w:rPr>
              <w:t>b</w:t>
            </w:r>
          </w:p>
        </w:tc>
        <w:tc>
          <w:tcPr>
            <w:tcW w:w="1889" w:type="dxa"/>
            <w:shd w:val="clear" w:color="auto" w:fill="FFFFFF"/>
            <w:tcMar>
              <w:top w:w="0" w:type="dxa"/>
              <w:left w:w="0" w:type="dxa"/>
              <w:bottom w:w="0" w:type="dxa"/>
              <w:right w:w="0" w:type="dxa"/>
            </w:tcMar>
            <w:vAlign w:val="center"/>
          </w:tcPr>
          <w:p w14:paraId="3D1C6440" w14:textId="77777777" w:rsidR="002B18E6" w:rsidRDefault="00484054">
            <w:pPr>
              <w:spacing w:before="40" w:after="40"/>
              <w:ind w:left="40" w:right="40"/>
              <w:jc w:val="right"/>
            </w:pPr>
            <w:r>
              <w:rPr>
                <w:rFonts w:ascii="Arial" w:eastAsia="Arial" w:hAnsi="Arial" w:cs="Arial"/>
                <w:color w:val="111111"/>
                <w:sz w:val="22"/>
                <w:szCs w:val="22"/>
              </w:rPr>
              <w:t>90.8</w:t>
            </w:r>
          </w:p>
        </w:tc>
        <w:tc>
          <w:tcPr>
            <w:tcW w:w="1889" w:type="dxa"/>
            <w:shd w:val="clear" w:color="auto" w:fill="FFFFFF"/>
            <w:tcMar>
              <w:top w:w="0" w:type="dxa"/>
              <w:left w:w="0" w:type="dxa"/>
              <w:bottom w:w="0" w:type="dxa"/>
              <w:right w:w="0" w:type="dxa"/>
            </w:tcMar>
            <w:vAlign w:val="center"/>
          </w:tcPr>
          <w:p w14:paraId="053EAD6A" w14:textId="77777777" w:rsidR="002B18E6" w:rsidRDefault="00484054">
            <w:pPr>
              <w:spacing w:before="40" w:after="40"/>
              <w:ind w:left="40" w:right="40"/>
              <w:jc w:val="right"/>
            </w:pPr>
            <w:r>
              <w:rPr>
                <w:rFonts w:ascii="Arial" w:eastAsia="Arial" w:hAnsi="Arial" w:cs="Arial"/>
                <w:color w:val="111111"/>
                <w:sz w:val="22"/>
                <w:szCs w:val="22"/>
              </w:rPr>
              <w:t>91.0</w:t>
            </w:r>
          </w:p>
        </w:tc>
        <w:tc>
          <w:tcPr>
            <w:tcW w:w="2391" w:type="dxa"/>
            <w:shd w:val="clear" w:color="auto" w:fill="FFFFFF"/>
            <w:tcMar>
              <w:top w:w="0" w:type="dxa"/>
              <w:left w:w="0" w:type="dxa"/>
              <w:bottom w:w="0" w:type="dxa"/>
              <w:right w:w="0" w:type="dxa"/>
            </w:tcMar>
            <w:vAlign w:val="center"/>
          </w:tcPr>
          <w:p w14:paraId="508F7DE5" w14:textId="77777777" w:rsidR="002B18E6" w:rsidRDefault="00484054">
            <w:pPr>
              <w:spacing w:before="40" w:after="40"/>
              <w:ind w:left="40" w:right="40"/>
              <w:jc w:val="right"/>
            </w:pPr>
            <w:r>
              <w:rPr>
                <w:rFonts w:ascii="Arial" w:eastAsia="Arial" w:hAnsi="Arial" w:cs="Arial"/>
                <w:color w:val="111111"/>
                <w:sz w:val="22"/>
                <w:szCs w:val="22"/>
              </w:rPr>
              <w:t>0.2</w:t>
            </w:r>
          </w:p>
        </w:tc>
      </w:tr>
      <w:tr w:rsidR="002B18E6" w14:paraId="2855677C" w14:textId="77777777">
        <w:trPr>
          <w:cantSplit/>
          <w:jc w:val="center"/>
        </w:trPr>
        <w:tc>
          <w:tcPr>
            <w:tcW w:w="2377" w:type="dxa"/>
            <w:shd w:val="clear" w:color="auto" w:fill="EFEFEF"/>
            <w:tcMar>
              <w:top w:w="0" w:type="dxa"/>
              <w:left w:w="0" w:type="dxa"/>
              <w:bottom w:w="0" w:type="dxa"/>
              <w:right w:w="0" w:type="dxa"/>
            </w:tcMar>
            <w:vAlign w:val="center"/>
          </w:tcPr>
          <w:p w14:paraId="6E230CF9" w14:textId="77777777" w:rsidR="002B18E6" w:rsidRDefault="00484054">
            <w:pPr>
              <w:spacing w:before="40" w:after="40"/>
              <w:ind w:left="40" w:right="40"/>
            </w:pPr>
            <w:r>
              <w:rPr>
                <w:rFonts w:ascii="Arial" w:eastAsia="Arial" w:hAnsi="Arial" w:cs="Arial"/>
                <w:color w:val="111111"/>
                <w:sz w:val="22"/>
                <w:szCs w:val="22"/>
              </w:rPr>
              <w:t>c</w:t>
            </w:r>
          </w:p>
        </w:tc>
        <w:tc>
          <w:tcPr>
            <w:tcW w:w="1889" w:type="dxa"/>
            <w:shd w:val="clear" w:color="auto" w:fill="EFEFEF"/>
            <w:tcMar>
              <w:top w:w="0" w:type="dxa"/>
              <w:left w:w="0" w:type="dxa"/>
              <w:bottom w:w="0" w:type="dxa"/>
              <w:right w:w="0" w:type="dxa"/>
            </w:tcMar>
            <w:vAlign w:val="center"/>
          </w:tcPr>
          <w:p w14:paraId="51B59EDF" w14:textId="77777777" w:rsidR="002B18E6" w:rsidRDefault="00484054">
            <w:pPr>
              <w:spacing w:before="40" w:after="40"/>
              <w:ind w:left="40" w:right="40"/>
              <w:jc w:val="right"/>
            </w:pPr>
            <w:r>
              <w:rPr>
                <w:rFonts w:ascii="Arial" w:eastAsia="Arial" w:hAnsi="Arial" w:cs="Arial"/>
                <w:color w:val="111111"/>
                <w:sz w:val="22"/>
                <w:szCs w:val="22"/>
              </w:rPr>
              <w:t>89.7</w:t>
            </w:r>
          </w:p>
        </w:tc>
        <w:tc>
          <w:tcPr>
            <w:tcW w:w="1889" w:type="dxa"/>
            <w:shd w:val="clear" w:color="auto" w:fill="EFEFEF"/>
            <w:tcMar>
              <w:top w:w="0" w:type="dxa"/>
              <w:left w:w="0" w:type="dxa"/>
              <w:bottom w:w="0" w:type="dxa"/>
              <w:right w:w="0" w:type="dxa"/>
            </w:tcMar>
            <w:vAlign w:val="center"/>
          </w:tcPr>
          <w:p w14:paraId="3F9CB8F0" w14:textId="77777777" w:rsidR="002B18E6" w:rsidRDefault="00484054">
            <w:pPr>
              <w:spacing w:before="40" w:after="40"/>
              <w:ind w:left="40" w:right="40"/>
              <w:jc w:val="right"/>
            </w:pPr>
            <w:r>
              <w:rPr>
                <w:rFonts w:ascii="Arial" w:eastAsia="Arial" w:hAnsi="Arial" w:cs="Arial"/>
                <w:color w:val="111111"/>
                <w:sz w:val="22"/>
                <w:szCs w:val="22"/>
              </w:rPr>
              <w:t>89.0</w:t>
            </w:r>
          </w:p>
        </w:tc>
        <w:tc>
          <w:tcPr>
            <w:tcW w:w="2391" w:type="dxa"/>
            <w:shd w:val="clear" w:color="auto" w:fill="EFEFEF"/>
            <w:tcMar>
              <w:top w:w="0" w:type="dxa"/>
              <w:left w:w="0" w:type="dxa"/>
              <w:bottom w:w="0" w:type="dxa"/>
              <w:right w:w="0" w:type="dxa"/>
            </w:tcMar>
            <w:vAlign w:val="center"/>
          </w:tcPr>
          <w:p w14:paraId="7A6FA68D" w14:textId="77777777" w:rsidR="002B18E6" w:rsidRDefault="00484054">
            <w:pPr>
              <w:spacing w:before="40" w:after="40"/>
              <w:ind w:left="40" w:right="40"/>
              <w:jc w:val="right"/>
            </w:pPr>
            <w:r>
              <w:rPr>
                <w:rFonts w:ascii="Arial" w:eastAsia="Arial" w:hAnsi="Arial" w:cs="Arial"/>
                <w:color w:val="111111"/>
                <w:sz w:val="22"/>
                <w:szCs w:val="22"/>
              </w:rPr>
              <w:t>-0.7</w:t>
            </w:r>
          </w:p>
        </w:tc>
      </w:tr>
      <w:tr w:rsidR="002B18E6" w14:paraId="67A74C33" w14:textId="77777777">
        <w:trPr>
          <w:cantSplit/>
          <w:jc w:val="center"/>
        </w:trPr>
        <w:tc>
          <w:tcPr>
            <w:tcW w:w="2377" w:type="dxa"/>
            <w:shd w:val="clear" w:color="auto" w:fill="FFFFFF"/>
            <w:tcMar>
              <w:top w:w="0" w:type="dxa"/>
              <w:left w:w="0" w:type="dxa"/>
              <w:bottom w:w="0" w:type="dxa"/>
              <w:right w:w="0" w:type="dxa"/>
            </w:tcMar>
            <w:vAlign w:val="center"/>
          </w:tcPr>
          <w:p w14:paraId="6F6FC80D" w14:textId="77777777" w:rsidR="002B18E6" w:rsidRDefault="00484054">
            <w:pPr>
              <w:spacing w:before="40" w:after="40"/>
              <w:ind w:left="40" w:right="40"/>
            </w:pPr>
            <w:r>
              <w:rPr>
                <w:rFonts w:ascii="Arial" w:eastAsia="Arial" w:hAnsi="Arial" w:cs="Arial"/>
                <w:b/>
                <w:color w:val="111111"/>
                <w:sz w:val="22"/>
                <w:szCs w:val="22"/>
              </w:rPr>
              <w:t>BRITISH COLUMBIA</w:t>
            </w:r>
          </w:p>
        </w:tc>
        <w:tc>
          <w:tcPr>
            <w:tcW w:w="1889" w:type="dxa"/>
            <w:shd w:val="clear" w:color="auto" w:fill="FFFFFF"/>
            <w:tcMar>
              <w:top w:w="0" w:type="dxa"/>
              <w:left w:w="0" w:type="dxa"/>
              <w:bottom w:w="0" w:type="dxa"/>
              <w:right w:w="0" w:type="dxa"/>
            </w:tcMar>
            <w:vAlign w:val="center"/>
          </w:tcPr>
          <w:p w14:paraId="2E5A89EB" w14:textId="77777777" w:rsidR="002B18E6" w:rsidRDefault="00484054">
            <w:pPr>
              <w:spacing w:before="40" w:after="40"/>
              <w:ind w:left="40" w:right="40"/>
              <w:jc w:val="right"/>
            </w:pPr>
            <w:r>
              <w:rPr>
                <w:rFonts w:ascii="Arial" w:eastAsia="Arial" w:hAnsi="Arial" w:cs="Arial"/>
                <w:b/>
                <w:color w:val="111111"/>
                <w:sz w:val="22"/>
                <w:szCs w:val="22"/>
              </w:rPr>
              <w:t>88.4</w:t>
            </w:r>
          </w:p>
        </w:tc>
        <w:tc>
          <w:tcPr>
            <w:tcW w:w="1889" w:type="dxa"/>
            <w:shd w:val="clear" w:color="auto" w:fill="FFFFFF"/>
            <w:tcMar>
              <w:top w:w="0" w:type="dxa"/>
              <w:left w:w="0" w:type="dxa"/>
              <w:bottom w:w="0" w:type="dxa"/>
              <w:right w:w="0" w:type="dxa"/>
            </w:tcMar>
            <w:vAlign w:val="center"/>
          </w:tcPr>
          <w:p w14:paraId="6269C520" w14:textId="77777777" w:rsidR="002B18E6" w:rsidRDefault="00484054">
            <w:pPr>
              <w:spacing w:before="40" w:after="40"/>
              <w:ind w:left="40" w:right="40"/>
              <w:jc w:val="right"/>
            </w:pPr>
            <w:r>
              <w:rPr>
                <w:rFonts w:ascii="Arial" w:eastAsia="Arial" w:hAnsi="Arial" w:cs="Arial"/>
                <w:b/>
                <w:color w:val="111111"/>
                <w:sz w:val="22"/>
                <w:szCs w:val="22"/>
              </w:rPr>
              <w:t>89.3</w:t>
            </w:r>
          </w:p>
        </w:tc>
        <w:tc>
          <w:tcPr>
            <w:tcW w:w="2391" w:type="dxa"/>
            <w:shd w:val="clear" w:color="auto" w:fill="FFFFFF"/>
            <w:tcMar>
              <w:top w:w="0" w:type="dxa"/>
              <w:left w:w="0" w:type="dxa"/>
              <w:bottom w:w="0" w:type="dxa"/>
              <w:right w:w="0" w:type="dxa"/>
            </w:tcMar>
            <w:vAlign w:val="center"/>
          </w:tcPr>
          <w:p w14:paraId="0EBC44C7" w14:textId="77777777" w:rsidR="002B18E6" w:rsidRDefault="00484054">
            <w:pPr>
              <w:spacing w:before="40" w:after="40"/>
              <w:ind w:left="40" w:right="40"/>
              <w:jc w:val="right"/>
            </w:pPr>
            <w:r>
              <w:rPr>
                <w:rFonts w:ascii="Arial" w:eastAsia="Arial" w:hAnsi="Arial" w:cs="Arial"/>
                <w:b/>
                <w:color w:val="111111"/>
                <w:sz w:val="22"/>
                <w:szCs w:val="22"/>
              </w:rPr>
              <w:t>0.9</w:t>
            </w:r>
          </w:p>
        </w:tc>
      </w:tr>
    </w:tbl>
    <w:p w14:paraId="18232C6D" w14:textId="77777777" w:rsidR="002B18E6" w:rsidRDefault="00FC40CB">
      <w:pPr>
        <w:pStyle w:val="BodyText"/>
      </w:pPr>
      <w:hyperlink r:id="rId7">
        <w:r w:rsidR="00484054">
          <w:rPr>
            <w:rStyle w:val="Hyperlink"/>
          </w:rPr>
          <w:t>National COVID-19 statistics</w:t>
        </w:r>
      </w:hyperlink>
      <w:r w:rsidR="00484054">
        <w:t xml:space="preserve"> and information about </w:t>
      </w:r>
      <w:hyperlink r:id="rId8">
        <w:r w:rsidR="00484054">
          <w:rPr>
            <w:rStyle w:val="Hyperlink"/>
          </w:rPr>
          <w:t>preventing spread of COVID-19</w:t>
        </w:r>
      </w:hyperlink>
      <w:r w:rsidR="00484054">
        <w:t xml:space="preserve"> are availiable from the Centers for Disease Control and Prevention.</w:t>
      </w:r>
    </w:p>
    <w:p w14:paraId="186C1AA8" w14:textId="77777777" w:rsidR="002B18E6" w:rsidRDefault="00484054">
      <w:pPr>
        <w:pStyle w:val="BodyText"/>
      </w:pPr>
      <w:r>
        <w:t xml:space="preserve">A weekly report on season influenza activity can be found on </w:t>
      </w:r>
      <w:hyperlink r:id="rId9">
        <w:r>
          <w:rPr>
            <w:rStyle w:val="Hyperlink"/>
          </w:rPr>
          <w:t>DPH website</w:t>
        </w:r>
      </w:hyperlink>
      <w:r>
        <w:t>.</w:t>
      </w:r>
    </w:p>
    <w:p w14:paraId="06475655" w14:textId="77777777" w:rsidR="002B18E6" w:rsidRDefault="00484054">
      <w:r>
        <w:br w:type="page"/>
      </w:r>
    </w:p>
    <w:p w14:paraId="79C7B04D" w14:textId="77777777" w:rsidR="002B18E6" w:rsidRDefault="00484054">
      <w:pPr>
        <w:pStyle w:val="Heading3"/>
      </w:pPr>
      <w:bookmarkStart w:id="1" w:name="syndromic-surveillance"/>
      <w:r>
        <w:lastRenderedPageBreak/>
        <w:t>Syndromic Surveillance</w:t>
      </w:r>
      <w:bookmarkEnd w:id="1"/>
    </w:p>
    <w:p w14:paraId="7CC3675D" w14:textId="77777777" w:rsidR="002B18E6" w:rsidRDefault="00484054">
      <w:pPr>
        <w:pStyle w:val="FirstParagraph"/>
      </w:pPr>
      <w:r>
        <w:t xml:space="preserve">The Department of Public Health EpiCenter hospital emergency department (ED) syndromic surveillance system receives near real-time information from all 38 licensed, hospital EDs in Connecticut. The percentage of individuals seeking care for “unexplained fever/flu” syndrome ED visits is monitored to identify individuals that may have symptoms consistent with COVID-19; this differs from the “fever/flu” syndrome in the weekly influenza report since patients with a known diagnosis (e.g., influenza, strep throat) are not included. </w:t>
      </w:r>
      <w:r>
        <w:rPr>
          <w:b/>
        </w:rPr>
        <w:t>The syndromic surveillance systems suggest that many more people are seeking care for respiratory illnesses, including COVID-19, than usual at this time.</w:t>
      </w:r>
    </w:p>
    <w:p w14:paraId="6F61627A" w14:textId="77777777" w:rsidR="002B18E6" w:rsidRDefault="00484054">
      <w:pPr>
        <w:pStyle w:val="SourceCode"/>
      </w:pPr>
      <w:r>
        <w:rPr>
          <w:rStyle w:val="VerbatimChar"/>
        </w:rPr>
        <w:t>## [1] "INSERT SYS PLOT HERE"</w:t>
      </w:r>
    </w:p>
    <w:p w14:paraId="060BE0BA" w14:textId="77777777" w:rsidR="002B18E6" w:rsidRDefault="00484054">
      <w:r>
        <w:br w:type="page"/>
      </w:r>
    </w:p>
    <w:p w14:paraId="10B90389" w14:textId="77777777" w:rsidR="002B18E6" w:rsidRDefault="00484054">
      <w:pPr>
        <w:pStyle w:val="Heading3"/>
      </w:pPr>
      <w:bookmarkStart w:id="2" w:name="hospitalization-surveillance"/>
      <w:r>
        <w:lastRenderedPageBreak/>
        <w:t>Hospitalization Surveillance</w:t>
      </w:r>
      <w:bookmarkEnd w:id="2"/>
    </w:p>
    <w:p w14:paraId="24C94895" w14:textId="77777777" w:rsidR="002B18E6" w:rsidRDefault="00484054">
      <w:pPr>
        <w:pStyle w:val="FirstParagraph"/>
      </w:pPr>
      <w:r>
        <w:t>The map below shows the number of patients currently hospitalized with laboratory-confirmed COVID-19 by county based on data collected by the Connecticut Hospital Association. The distribution is by location of hospital, not patient residence. The labels indicate the number of patients currently hospitalized with the change since yesterday in parentheses.</w:t>
      </w:r>
    </w:p>
    <w:p w14:paraId="58F23D3E" w14:textId="77777777" w:rsidR="002B18E6" w:rsidRDefault="00484054">
      <w:pPr>
        <w:pStyle w:val="BodyText"/>
      </w:pPr>
      <w:r>
        <w:rPr>
          <w:b/>
        </w:rPr>
        <w:t>Patients Currently Hospitalized by Connecticut County</w:t>
      </w:r>
      <w:r>
        <w:br/>
      </w:r>
      <w:r>
        <w:rPr>
          <w:i/>
        </w:rPr>
        <w:t>Distribution by location of hospital not patient residence. Data from the Connecticut Hospital Association.</w:t>
      </w:r>
    </w:p>
    <w:p w14:paraId="60244771" w14:textId="77777777" w:rsidR="002B18E6" w:rsidRDefault="00484054">
      <w:pPr>
        <w:pStyle w:val="BodyText"/>
      </w:pPr>
      <w:r>
        <w:rPr>
          <w:noProof/>
        </w:rPr>
        <w:drawing>
          <wp:inline distT="0" distB="0" distL="0" distR="0" wp14:anchorId="2EA99D0D" wp14:editId="3BFAB857">
            <wp:extent cx="5943600" cy="42454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2-1.png"/>
                    <pic:cNvPicPr>
                      <a:picLocks noChangeAspect="1" noChangeArrowheads="1"/>
                    </pic:cNvPicPr>
                  </pic:nvPicPr>
                  <pic:blipFill>
                    <a:blip r:embed="rId10"/>
                    <a:stretch>
                      <a:fillRect/>
                    </a:stretch>
                  </pic:blipFill>
                  <pic:spPr bwMode="auto">
                    <a:xfrm>
                      <a:off x="0" y="0"/>
                      <a:ext cx="5943600" cy="4245428"/>
                    </a:xfrm>
                    <a:prstGeom prst="rect">
                      <a:avLst/>
                    </a:prstGeom>
                    <a:noFill/>
                    <a:ln w="9525">
                      <a:noFill/>
                      <a:headEnd/>
                      <a:tailEnd/>
                    </a:ln>
                  </pic:spPr>
                </pic:pic>
              </a:graphicData>
            </a:graphic>
          </wp:inline>
        </w:drawing>
      </w:r>
      <w:r>
        <w:t xml:space="preserve"> More information about hospitalized cases of COVID-19 in New Haven and Middlesex Counties is available from </w:t>
      </w:r>
      <w:hyperlink r:id="rId11">
        <w:r>
          <w:rPr>
            <w:rStyle w:val="Hyperlink"/>
          </w:rPr>
          <w:t>COVID-NET.</w:t>
        </w:r>
      </w:hyperlink>
    </w:p>
    <w:p w14:paraId="6AD5A4AC" w14:textId="77777777" w:rsidR="002B18E6" w:rsidRDefault="00484054">
      <w:r>
        <w:br w:type="page"/>
      </w:r>
    </w:p>
    <w:p w14:paraId="211B4688" w14:textId="77777777" w:rsidR="002B18E6" w:rsidRDefault="00484054">
      <w:pPr>
        <w:pStyle w:val="Heading3"/>
      </w:pPr>
      <w:bookmarkStart w:id="3" w:name="nursing-home-surveillance"/>
      <w:r>
        <w:lastRenderedPageBreak/>
        <w:t>Nursing Home Surveillance</w:t>
      </w:r>
      <w:bookmarkEnd w:id="3"/>
    </w:p>
    <w:p w14:paraId="2E6DA68D" w14:textId="77777777" w:rsidR="002B18E6" w:rsidRDefault="00484054">
      <w:pPr>
        <w:pStyle w:val="FirstParagraph"/>
      </w:pPr>
      <w:r>
        <w:t xml:space="preserve">Among </w:t>
      </w:r>
      <w:r w:rsidRPr="00107CB8">
        <w:rPr>
          <w:rStyle w:val="BodyText2Char"/>
        </w:rPr>
        <w:t>215</w:t>
      </w:r>
      <w:r>
        <w:t xml:space="preserve"> nursing homes in CT, </w:t>
      </w:r>
      <w:r w:rsidRPr="00107CB8">
        <w:rPr>
          <w:rStyle w:val="BodyText2Char"/>
        </w:rPr>
        <w:t>48 (22%)</w:t>
      </w:r>
      <w:r>
        <w:t xml:space="preserve"> have had at least one confirmed case of COVID-19. A total of </w:t>
      </w:r>
      <w:r>
        <w:rPr>
          <w:b/>
        </w:rPr>
        <w:t>221</w:t>
      </w:r>
      <w:r>
        <w:t xml:space="preserve"> nursing home residents with laboratory-confirmed COVID-19 have been identified of whom </w:t>
      </w:r>
      <w:r w:rsidRPr="00107CB8">
        <w:rPr>
          <w:rStyle w:val="BodyText2Char"/>
        </w:rPr>
        <w:t>80 (36%)</w:t>
      </w:r>
      <w:r>
        <w:t xml:space="preserve"> were hospitalized and </w:t>
      </w:r>
      <w:r w:rsidRPr="00107CB8">
        <w:rPr>
          <w:rStyle w:val="BodyText2Char"/>
        </w:rPr>
        <w:t>23 (10%)</w:t>
      </w:r>
      <w:r>
        <w:t xml:space="preserve"> have died. The graph below shows the number of nursing homes with laboratory confirmed COVID-19 cases by the first date a positive specimen was collected.</w:t>
      </w:r>
    </w:p>
    <w:p w14:paraId="3F9B2C37" w14:textId="77777777" w:rsidR="002B18E6" w:rsidRDefault="00484054">
      <w:pPr>
        <w:pStyle w:val="SourceCode"/>
      </w:pPr>
      <w:r>
        <w:rPr>
          <w:rStyle w:val="VerbatimChar"/>
        </w:rPr>
        <w:t>## [1] "INSERT NURSING HOME PLOT HERE"</w:t>
      </w:r>
    </w:p>
    <w:p w14:paraId="3EFC0E46" w14:textId="77777777" w:rsidR="002B18E6" w:rsidRDefault="00484054">
      <w:pPr>
        <w:pStyle w:val="FirstParagraph"/>
      </w:pPr>
      <w:r>
        <w:rPr>
          <w:i/>
        </w:rPr>
        <w:t>*Test results may be reported several days after the result. Data from previous dats are routinely updated.</w:t>
      </w:r>
    </w:p>
    <w:p w14:paraId="66BC7A87" w14:textId="77777777" w:rsidR="002B18E6" w:rsidRDefault="00484054">
      <w:r>
        <w:br w:type="page"/>
      </w:r>
    </w:p>
    <w:p w14:paraId="67B58AD8" w14:textId="77777777" w:rsidR="002B18E6" w:rsidRDefault="00484054">
      <w:pPr>
        <w:pStyle w:val="Heading3"/>
      </w:pPr>
      <w:bookmarkStart w:id="4" w:name="laboratory-surveillance"/>
      <w:r>
        <w:lastRenderedPageBreak/>
        <w:t>Laboratory Surveillance</w:t>
      </w:r>
      <w:bookmarkEnd w:id="4"/>
    </w:p>
    <w:p w14:paraId="3A9C7FB3" w14:textId="77777777" w:rsidR="002B18E6" w:rsidRDefault="00484054">
      <w:pPr>
        <w:pStyle w:val="FirstParagraph"/>
      </w:pPr>
      <w:r>
        <w:t xml:space="preserve">The Dr. Katherine A. Kelley State Public Health Laboratory has tested a total of </w:t>
      </w:r>
      <w:r w:rsidRPr="00107CB8">
        <w:rPr>
          <w:rStyle w:val="BodyText2Char"/>
        </w:rPr>
        <w:t>2403</w:t>
      </w:r>
      <w:r>
        <w:t xml:space="preserve"> patients for COVID19; </w:t>
      </w:r>
      <w:r w:rsidRPr="00107CB8">
        <w:rPr>
          <w:rStyle w:val="BodyText2Char"/>
        </w:rPr>
        <w:t>491 (20%)</w:t>
      </w:r>
      <w:r>
        <w:t xml:space="preserve"> patients tested positive. The graph below shows the number of patients tested by date specimens were received. Hospital and commercial laboratories also are offering testing for COVID-19 in Connecticut; in total, more than </w:t>
      </w:r>
      <w:r w:rsidRPr="00107CB8">
        <w:rPr>
          <w:rStyle w:val="BodyText2Char"/>
        </w:rPr>
        <w:t>20015</w:t>
      </w:r>
      <w:r>
        <w:t xml:space="preserve"> tests have been reported to date.</w:t>
      </w:r>
    </w:p>
    <w:p w14:paraId="20DBB9D7" w14:textId="77777777" w:rsidR="002B18E6" w:rsidRDefault="00484054">
      <w:pPr>
        <w:pStyle w:val="SourceCode"/>
      </w:pPr>
      <w:r>
        <w:rPr>
          <w:rStyle w:val="VerbatimChar"/>
        </w:rPr>
        <w:t>## [1] "INSERT LAB PLOT HERE"</w:t>
      </w:r>
    </w:p>
    <w:p w14:paraId="28752F58" w14:textId="77777777" w:rsidR="002B18E6" w:rsidRDefault="00484054">
      <w:pPr>
        <w:pStyle w:val="FirstParagraph"/>
      </w:pPr>
      <w:r>
        <w:rPr>
          <w:i/>
        </w:rPr>
        <w:t>Testing of specimens recieved since March 28 is on going and does not reflect a decrease in testing.</w:t>
      </w:r>
    </w:p>
    <w:p w14:paraId="32A60C53" w14:textId="77777777" w:rsidR="002B18E6" w:rsidRDefault="00484054">
      <w:r>
        <w:br w:type="page"/>
      </w:r>
    </w:p>
    <w:p w14:paraId="27339F53" w14:textId="77777777" w:rsidR="002B18E6" w:rsidRDefault="00484054">
      <w:pPr>
        <w:pStyle w:val="Heading3"/>
      </w:pPr>
      <w:bookmarkStart w:id="5" w:name="Xf3706214758d393b04f49c07ef726584b7e62db"/>
      <w:r>
        <w:lastRenderedPageBreak/>
        <w:t>Characteristics of Laboratory-Confirmed COVID-19 Cases and Associated Deaths</w:t>
      </w:r>
      <w:bookmarkEnd w:id="5"/>
    </w:p>
    <w:p w14:paraId="0273FE76" w14:textId="77777777" w:rsidR="002B18E6" w:rsidRDefault="00484054" w:rsidP="00FA337F">
      <w:pPr>
        <w:pStyle w:val="FirstParagraph"/>
        <w:jc w:val="center"/>
      </w:pPr>
      <w:r>
        <w:rPr>
          <w:i/>
        </w:rPr>
        <w:t>Test results amy be reported several days after the result. Data are incomplete for most recent dates shaded in grey. Data from previous dats are routinely updated.</w:t>
      </w:r>
      <w:r>
        <w:t xml:space="preserve"> </w:t>
      </w:r>
      <w:r>
        <w:rPr>
          <w:noProof/>
        </w:rPr>
        <w:drawing>
          <wp:inline distT="0" distB="0" distL="0" distR="0" wp14:anchorId="1C7EB96D" wp14:editId="449C399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14:anchorId="3859B856" wp14:editId="65017F5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F59709" w14:textId="41325BBF" w:rsidR="002B18E6" w:rsidRDefault="00484054" w:rsidP="00FA337F">
      <w:pPr>
        <w:pStyle w:val="BodyText"/>
        <w:jc w:val="center"/>
      </w:pPr>
      <w:r>
        <w:rPr>
          <w:noProof/>
        </w:rPr>
        <w:lastRenderedPageBreak/>
        <w:drawing>
          <wp:inline distT="0" distB="0" distL="0" distR="0" wp14:anchorId="057F7DCF" wp14:editId="070A271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89B236" wp14:editId="5C867ED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6B00785" w14:textId="77777777" w:rsidR="002B18E6" w:rsidRDefault="00484054">
      <w:r>
        <w:br w:type="page"/>
      </w:r>
    </w:p>
    <w:p w14:paraId="2A1D3C3B" w14:textId="43F6824E" w:rsidR="002B18E6" w:rsidRDefault="00484054" w:rsidP="00FA337F">
      <w:pPr>
        <w:pStyle w:val="BodyText"/>
        <w:jc w:val="center"/>
      </w:pPr>
      <w:r>
        <w:rPr>
          <w:noProof/>
        </w:rPr>
        <w:lastRenderedPageBreak/>
        <w:drawing>
          <wp:inline distT="0" distB="0" distL="0" distR="0" wp14:anchorId="2EBC9A94" wp14:editId="1482FA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D0FF6D" wp14:editId="0FE3ED4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E9C5EC7" w14:textId="77777777" w:rsidR="002B18E6" w:rsidRDefault="00484054">
      <w:r>
        <w:br w:type="page"/>
      </w:r>
    </w:p>
    <w:p w14:paraId="0FECCCBE" w14:textId="77777777" w:rsidR="002B18E6" w:rsidRDefault="00484054">
      <w:pPr>
        <w:pStyle w:val="BodyText"/>
      </w:pPr>
      <w:r>
        <w:rPr>
          <w:noProof/>
        </w:rPr>
        <w:lastRenderedPageBreak/>
        <w:drawing>
          <wp:inline distT="0" distB="0" distL="0" distR="0" wp14:anchorId="3611F623" wp14:editId="6A1C6B8A">
            <wp:extent cx="5943600" cy="4622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town_map-1.png"/>
                    <pic:cNvPicPr>
                      <a:picLocks noChangeAspect="1" noChangeArrowheads="1"/>
                    </pic:cNvPicPr>
                  </pic:nvPicPr>
                  <pic:blipFill>
                    <a:blip r:embed="rId18"/>
                    <a:stretch>
                      <a:fillRect/>
                    </a:stretch>
                  </pic:blipFill>
                  <pic:spPr bwMode="auto">
                    <a:xfrm>
                      <a:off x="0" y="0"/>
                      <a:ext cx="5943600" cy="4622800"/>
                    </a:xfrm>
                    <a:prstGeom prst="rect">
                      <a:avLst/>
                    </a:prstGeom>
                    <a:noFill/>
                    <a:ln w="9525">
                      <a:noFill/>
                      <a:headEnd/>
                      <a:tailEnd/>
                    </a:ln>
                  </pic:spPr>
                </pic:pic>
              </a:graphicData>
            </a:graphic>
          </wp:inline>
        </w:drawing>
      </w:r>
    </w:p>
    <w:p w14:paraId="0A773D57" w14:textId="77777777" w:rsidR="002B18E6" w:rsidRDefault="00484054">
      <w:r>
        <w:br w:type="page"/>
      </w:r>
    </w:p>
    <w:p w14:paraId="1B78DB72" w14:textId="77777777" w:rsidR="002B18E6" w:rsidRDefault="00484054">
      <w:pPr>
        <w:pStyle w:val="BodyText"/>
      </w:pPr>
      <w:r>
        <w:rPr>
          <w:b/>
        </w:rPr>
        <w:lastRenderedPageBreak/>
        <w:t>APPENDIX A. Towns with Confirmed Cases of COVIDS-19</w:t>
      </w:r>
      <w:r>
        <w:br/>
      </w:r>
      <w:r>
        <w:rPr>
          <w:i/>
        </w:rPr>
        <w:t>Table does not include 999 cases pending address validation</w:t>
      </w:r>
    </w:p>
    <w:p w14:paraId="068757AB" w14:textId="77777777" w:rsidR="002B18E6" w:rsidRDefault="00484054">
      <w:pPr>
        <w:pStyle w:val="SourceCode"/>
      </w:pPr>
      <w:r>
        <w:rPr>
          <w:rStyle w:val="VerbatimChar"/>
        </w:rPr>
        <w:t>## [1] "FIGURE OUT AWFUL TABLE"</w:t>
      </w:r>
    </w:p>
    <w:p w14:paraId="113AF7E4" w14:textId="77777777" w:rsidR="002B18E6" w:rsidRDefault="00484054">
      <w:r>
        <w:br w:type="page"/>
      </w:r>
      <w:bookmarkStart w:id="6" w:name="_GoBack"/>
      <w:bookmarkEnd w:id="6"/>
    </w:p>
    <w:p w14:paraId="1E44A538" w14:textId="77777777" w:rsidR="002B18E6" w:rsidRDefault="00484054" w:rsidP="00FA337F">
      <w:pPr>
        <w:pStyle w:val="FirstParagraph"/>
        <w:jc w:val="center"/>
      </w:pPr>
      <w:r>
        <w:rPr>
          <w:b/>
        </w:rPr>
        <w:lastRenderedPageBreak/>
        <w:t>APPENDIX B.</w:t>
      </w:r>
      <w:r>
        <w:t xml:space="preserve"> The following graphs show the rate of cases per 100,000 Connecticut residents in each age group and by gender. Population estimate from: </w:t>
      </w:r>
      <w:hyperlink r:id="rId19">
        <w:r>
          <w:rPr>
            <w:rStyle w:val="Hyperlink"/>
          </w:rPr>
          <w:t>https://portal.ct.gov/DPH/Health-Information-Systems–Reporting/Population/Population-Statistics</w:t>
        </w:r>
      </w:hyperlink>
      <w:r>
        <w:t xml:space="preserve"> </w:t>
      </w:r>
      <w:r>
        <w:rPr>
          <w:noProof/>
        </w:rPr>
        <w:drawing>
          <wp:inline distT="0" distB="0" distL="0" distR="0" wp14:anchorId="5F566A44" wp14:editId="1137AA7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14:anchorId="1F926E92" wp14:editId="4FA88F6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A832272" w14:textId="77777777" w:rsidR="002B18E6" w:rsidRDefault="00484054">
      <w:r>
        <w:br w:type="page"/>
      </w:r>
    </w:p>
    <w:p w14:paraId="23CD45BC" w14:textId="77777777" w:rsidR="002B18E6" w:rsidRDefault="00484054">
      <w:pPr>
        <w:pStyle w:val="BodyText"/>
      </w:pPr>
      <w:r>
        <w:rPr>
          <w:b/>
        </w:rPr>
        <w:lastRenderedPageBreak/>
        <w:t>APPENDIX C.</w:t>
      </w:r>
      <w:r>
        <w:t xml:space="preserve"> The following graphs show the number of cases and deaths by race and ethnicity. </w:t>
      </w:r>
      <w:r>
        <w:rPr>
          <w:i/>
        </w:rPr>
        <w:t>Categories are mutually exclusive. Cases answering ‘yes’ to more than one race category are counted as ‘other’. Counts may not add up to total case counts as ddata on race and ethnicity may be missing.</w:t>
      </w:r>
      <w:r>
        <w:t xml:space="preserve"> </w:t>
      </w:r>
      <w:r>
        <w:rPr>
          <w:i/>
        </w:rPr>
        <w:t>NH=Non-Hispanic</w:t>
      </w:r>
    </w:p>
    <w:p w14:paraId="14F8FA5E" w14:textId="62F1D4F5" w:rsidR="002B18E6" w:rsidRDefault="00484054" w:rsidP="00FA337F">
      <w:pPr>
        <w:pStyle w:val="BodyText"/>
        <w:jc w:val="center"/>
      </w:pPr>
      <w:r>
        <w:rPr>
          <w:noProof/>
        </w:rPr>
        <w:drawing>
          <wp:inline distT="0" distB="0" distL="0" distR="0" wp14:anchorId="10919339" wp14:editId="3BC9A56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DB6D5C" wp14:editId="19FF2F7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rsidR="002B18E6">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8753E" w14:textId="77777777" w:rsidR="00FC40CB" w:rsidRDefault="00FC40CB">
      <w:pPr>
        <w:spacing w:after="0"/>
      </w:pPr>
      <w:r>
        <w:separator/>
      </w:r>
    </w:p>
  </w:endnote>
  <w:endnote w:type="continuationSeparator" w:id="0">
    <w:p w14:paraId="6818BED0" w14:textId="77777777" w:rsidR="00FC40CB" w:rsidRDefault="00FC4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819645"/>
      <w:docPartObj>
        <w:docPartGallery w:val="Page Numbers (Bottom of Page)"/>
        <w:docPartUnique/>
      </w:docPartObj>
    </w:sdtPr>
    <w:sdtEndPr>
      <w:rPr>
        <w:noProof/>
      </w:rPr>
    </w:sdtEndPr>
    <w:sdtContent>
      <w:p w14:paraId="21FF7468" w14:textId="77777777" w:rsidR="00660950" w:rsidRDefault="00484054" w:rsidP="00660950">
        <w:pPr>
          <w:pStyle w:val="Footer"/>
          <w:jc w:val="right"/>
        </w:pPr>
        <w:r>
          <w:fldChar w:fldCharType="begin"/>
        </w:r>
        <w:r>
          <w:instrText xml:space="preserve"> PAGE   \* MERGEFORMAT </w:instrText>
        </w:r>
        <w:r>
          <w:fldChar w:fldCharType="separate"/>
        </w:r>
        <w:r>
          <w:t>1</w:t>
        </w:r>
        <w:r>
          <w:rPr>
            <w:noProof/>
          </w:rPr>
          <w:fldChar w:fldCharType="end"/>
        </w:r>
      </w:p>
    </w:sdtContent>
  </w:sdt>
  <w:p w14:paraId="60218130" w14:textId="77777777" w:rsidR="00660950" w:rsidRDefault="00484054" w:rsidP="00660950">
    <w:pPr>
      <w:pStyle w:val="Footer"/>
      <w:jc w:val="center"/>
    </w:pPr>
    <w:r>
      <w:t>All data are preliminary and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43CE0" w14:textId="77777777" w:rsidR="00FC40CB" w:rsidRDefault="00FC40CB">
      <w:r>
        <w:separator/>
      </w:r>
    </w:p>
  </w:footnote>
  <w:footnote w:type="continuationSeparator" w:id="0">
    <w:p w14:paraId="349F999A" w14:textId="77777777" w:rsidR="00FC40CB" w:rsidRDefault="00FC4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B3E5A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58EA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7651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62A5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9430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0CFA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A8FC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00E5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72E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E61B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2EEF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CB8"/>
    <w:rsid w:val="002B18E6"/>
    <w:rsid w:val="00484054"/>
    <w:rsid w:val="004E29B3"/>
    <w:rsid w:val="00590D07"/>
    <w:rsid w:val="00784D58"/>
    <w:rsid w:val="008D6863"/>
    <w:rsid w:val="00B4402C"/>
    <w:rsid w:val="00B86B75"/>
    <w:rsid w:val="00BC48D5"/>
    <w:rsid w:val="00C36279"/>
    <w:rsid w:val="00E315A3"/>
    <w:rsid w:val="00FA337F"/>
    <w:rsid w:val="00FC40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E61E"/>
  <w15:docId w15:val="{3E21DE29-53E4-4029-8EAD-814B2C39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B4402C"/>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627A"/>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0627A"/>
    <w:pPr>
      <w:keepNext/>
      <w:keepLines/>
      <w:spacing w:before="480" w:after="240"/>
      <w:jc w:val="center"/>
    </w:pPr>
    <w:rPr>
      <w:rFonts w:asciiTheme="majorHAnsi" w:eastAsiaTheme="majorEastAsia" w:hAnsiTheme="majorHAnsi" w:cstheme="majorBidi"/>
      <w:b/>
      <w:bCs/>
      <w:i/>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AA1BFD"/>
    <w:rPr>
      <w:color w:val="4F81BD" w:themeColor="accent1"/>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2">
    <w:name w:val="Body Text 2"/>
    <w:basedOn w:val="Normal"/>
    <w:link w:val="BodyText2Char"/>
    <w:rsid w:val="0080627A"/>
    <w:pPr>
      <w:spacing w:after="120" w:line="480" w:lineRule="auto"/>
    </w:pPr>
    <w:rPr>
      <w:rFonts w:ascii="Calibri" w:hAnsi="Calibri"/>
      <w:b/>
      <w:color w:val="548DD4" w:themeColor="text2" w:themeTint="99"/>
      <w:sz w:val="22"/>
    </w:rPr>
  </w:style>
  <w:style w:type="character" w:customStyle="1" w:styleId="BodyTextChar">
    <w:name w:val="Body Text Char"/>
    <w:basedOn w:val="DefaultParagraphFont"/>
    <w:link w:val="BodyText"/>
    <w:rsid w:val="0080627A"/>
    <w:rPr>
      <w:rFonts w:ascii="Calibri" w:hAnsi="Calibri"/>
      <w:sz w:val="22"/>
    </w:rPr>
  </w:style>
  <w:style w:type="character" w:customStyle="1" w:styleId="BodyText2Char">
    <w:name w:val="Body Text 2 Char"/>
    <w:basedOn w:val="DefaultParagraphFont"/>
    <w:link w:val="BodyText2"/>
    <w:rsid w:val="0080627A"/>
    <w:rPr>
      <w:rFonts w:ascii="Calibri" w:hAnsi="Calibri"/>
      <w:b/>
      <w:color w:val="548DD4" w:themeColor="text2" w:themeTint="99"/>
      <w:sz w:val="22"/>
    </w:rPr>
  </w:style>
  <w:style w:type="paragraph" w:styleId="BodyText3">
    <w:name w:val="Body Text 3"/>
    <w:basedOn w:val="Normal"/>
    <w:link w:val="BodyText3Char"/>
    <w:rsid w:val="0080627A"/>
    <w:pPr>
      <w:pBdr>
        <w:top w:val="single" w:sz="4" w:space="1" w:color="auto"/>
        <w:left w:val="single" w:sz="4" w:space="4" w:color="auto"/>
        <w:bottom w:val="single" w:sz="4" w:space="1" w:color="auto"/>
        <w:right w:val="single" w:sz="4" w:space="4" w:color="auto"/>
      </w:pBdr>
      <w:shd w:val="clear" w:color="auto" w:fill="8DB3E2" w:themeFill="text2" w:themeFillTint="66"/>
      <w:spacing w:after="120"/>
    </w:pPr>
    <w:rPr>
      <w:rFonts w:ascii="Calibri" w:hAnsi="Calibri"/>
      <w:b/>
      <w:sz w:val="22"/>
      <w:szCs w:val="16"/>
    </w:rPr>
  </w:style>
  <w:style w:type="character" w:customStyle="1" w:styleId="BodyText3Char">
    <w:name w:val="Body Text 3 Char"/>
    <w:basedOn w:val="DefaultParagraphFont"/>
    <w:link w:val="BodyText3"/>
    <w:rsid w:val="0080627A"/>
    <w:rPr>
      <w:rFonts w:ascii="Calibri" w:hAnsi="Calibri"/>
      <w:b/>
      <w:sz w:val="22"/>
      <w:szCs w:val="16"/>
      <w:shd w:val="clear" w:color="auto" w:fill="8DB3E2" w:themeFill="text2" w:themeFillTint="66"/>
    </w:rPr>
  </w:style>
  <w:style w:type="paragraph" w:styleId="Header">
    <w:name w:val="header"/>
    <w:basedOn w:val="Normal"/>
    <w:link w:val="HeaderChar"/>
    <w:unhideWhenUsed/>
    <w:rsid w:val="00660950"/>
    <w:pPr>
      <w:tabs>
        <w:tab w:val="center" w:pos="4680"/>
        <w:tab w:val="right" w:pos="9360"/>
      </w:tabs>
      <w:spacing w:after="0"/>
    </w:pPr>
  </w:style>
  <w:style w:type="character" w:customStyle="1" w:styleId="HeaderChar">
    <w:name w:val="Header Char"/>
    <w:basedOn w:val="DefaultParagraphFont"/>
    <w:link w:val="Header"/>
    <w:rsid w:val="00660950"/>
  </w:style>
  <w:style w:type="paragraph" w:styleId="Footer">
    <w:name w:val="footer"/>
    <w:basedOn w:val="Normal"/>
    <w:link w:val="FooterChar"/>
    <w:uiPriority w:val="99"/>
    <w:unhideWhenUsed/>
    <w:rsid w:val="003B1451"/>
    <w:pPr>
      <w:tabs>
        <w:tab w:val="center" w:pos="4680"/>
        <w:tab w:val="right" w:pos="9360"/>
      </w:tabs>
      <w:spacing w:after="0"/>
    </w:pPr>
    <w:rPr>
      <w:rFonts w:asciiTheme="majorHAnsi" w:hAnsiTheme="majorHAnsi"/>
      <w:sz w:val="20"/>
    </w:rPr>
  </w:style>
  <w:style w:type="character" w:customStyle="1" w:styleId="FooterChar">
    <w:name w:val="Footer Char"/>
    <w:basedOn w:val="DefaultParagraphFont"/>
    <w:link w:val="Footer"/>
    <w:uiPriority w:val="99"/>
    <w:rsid w:val="003B1451"/>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prevent-getting-sick/prevention.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dc.gov/coronavirus/2019-ncov/cases-updates/cases-in-us.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cdc.gov/grasp/COVIDNet/COVID19_3.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portal.ct.gov/DPH/Health-Information-Systems--Reporting/Population/Population-Statistics" TargetMode="External"/><Relationship Id="rId4" Type="http://schemas.openxmlformats.org/officeDocument/2006/relationships/webSettings" Target="webSettings.xml"/><Relationship Id="rId9" Type="http://schemas.openxmlformats.org/officeDocument/2006/relationships/hyperlink" Target="https://portal.ct.gov/DPH/Epidemiology-and-Emerging-Infections/Influenza-Surveillance-and-Statistics"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Update April 04, 2020</dc:title>
  <dc:creator>Alex Senetcky</dc:creator>
  <cp:keywords/>
  <cp:lastModifiedBy>Alex Senetcky</cp:lastModifiedBy>
  <cp:revision>4</cp:revision>
  <dcterms:created xsi:type="dcterms:W3CDTF">2020-04-04T19:24:00Z</dcterms:created>
  <dcterms:modified xsi:type="dcterms:W3CDTF">2020-04-06T14:09:00Z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