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90F968">
      <w:pPr>
        <w:jc w:val="center"/>
        <w:rPr>
          <w:rFonts w:eastAsia="华文行楷"/>
          <w:b/>
          <w:bCs/>
          <w:sz w:val="48"/>
          <w:szCs w:val="48"/>
        </w:rPr>
      </w:pPr>
    </w:p>
    <w:p w14:paraId="51746A92">
      <w:pPr>
        <w:spacing w:after="0" w:line="360" w:lineRule="auto"/>
        <w:jc w:val="center"/>
        <w:rPr>
          <w:rFonts w:eastAsia="华文行楷"/>
          <w:b/>
          <w:bCs/>
          <w:sz w:val="48"/>
          <w:szCs w:val="48"/>
        </w:rPr>
      </w:pPr>
    </w:p>
    <w:p w14:paraId="7D844367">
      <w:pPr>
        <w:spacing w:after="0" w:line="360" w:lineRule="auto"/>
        <w:jc w:val="center"/>
        <w:rPr>
          <w:rFonts w:eastAsia="华文行楷"/>
          <w:b/>
          <w:bCs/>
          <w:sz w:val="48"/>
          <w:szCs w:val="48"/>
        </w:rPr>
      </w:pPr>
    </w:p>
    <w:p w14:paraId="4C9EEFAE">
      <w:pPr>
        <w:spacing w:after="0" w:line="360" w:lineRule="auto"/>
        <w:jc w:val="center"/>
        <w:rPr>
          <w:rFonts w:eastAsia="华文行楷"/>
          <w:b/>
          <w:bCs/>
          <w:sz w:val="48"/>
          <w:szCs w:val="48"/>
        </w:rPr>
      </w:pPr>
      <w:r>
        <w:rPr>
          <w:rFonts w:hint="eastAsia" w:eastAsia="华文行楷"/>
          <w:b/>
          <w:bCs/>
          <w:sz w:val="48"/>
          <w:szCs w:val="48"/>
        </w:rPr>
        <w:t>电</w:t>
      </w:r>
      <w:r>
        <w:rPr>
          <w:rFonts w:eastAsia="华文行楷"/>
          <w:b/>
          <w:bCs/>
          <w:sz w:val="48"/>
          <w:szCs w:val="48"/>
        </w:rPr>
        <w:t xml:space="preserve"> </w:t>
      </w:r>
      <w:r>
        <w:rPr>
          <w:rFonts w:hint="eastAsia" w:eastAsia="华文行楷"/>
          <w:b/>
          <w:bCs/>
          <w:sz w:val="48"/>
          <w:szCs w:val="48"/>
        </w:rPr>
        <w:t>子</w:t>
      </w:r>
      <w:r>
        <w:rPr>
          <w:rFonts w:eastAsia="华文行楷"/>
          <w:b/>
          <w:bCs/>
          <w:sz w:val="48"/>
          <w:szCs w:val="48"/>
        </w:rPr>
        <w:t xml:space="preserve"> </w:t>
      </w:r>
      <w:r>
        <w:rPr>
          <w:rFonts w:hint="eastAsia" w:eastAsia="华文行楷"/>
          <w:b/>
          <w:bCs/>
          <w:sz w:val="48"/>
          <w:szCs w:val="48"/>
        </w:rPr>
        <w:t>科</w:t>
      </w:r>
      <w:r>
        <w:rPr>
          <w:rFonts w:eastAsia="华文行楷"/>
          <w:b/>
          <w:bCs/>
          <w:sz w:val="48"/>
          <w:szCs w:val="48"/>
        </w:rPr>
        <w:t xml:space="preserve"> </w:t>
      </w:r>
      <w:r>
        <w:rPr>
          <w:rFonts w:hint="eastAsia" w:eastAsia="华文行楷"/>
          <w:b/>
          <w:bCs/>
          <w:sz w:val="48"/>
          <w:szCs w:val="48"/>
        </w:rPr>
        <w:t>技</w:t>
      </w:r>
      <w:r>
        <w:rPr>
          <w:rFonts w:eastAsia="华文行楷"/>
          <w:b/>
          <w:bCs/>
          <w:sz w:val="48"/>
          <w:szCs w:val="48"/>
        </w:rPr>
        <w:t xml:space="preserve"> </w:t>
      </w:r>
      <w:r>
        <w:rPr>
          <w:rFonts w:hint="eastAsia" w:eastAsia="华文行楷"/>
          <w:b/>
          <w:bCs/>
          <w:sz w:val="48"/>
          <w:szCs w:val="48"/>
        </w:rPr>
        <w:t>大</w:t>
      </w:r>
      <w:r>
        <w:rPr>
          <w:rFonts w:eastAsia="华文行楷"/>
          <w:b/>
          <w:bCs/>
          <w:sz w:val="48"/>
          <w:szCs w:val="48"/>
        </w:rPr>
        <w:t xml:space="preserve"> </w:t>
      </w:r>
      <w:r>
        <w:rPr>
          <w:rFonts w:hint="eastAsia" w:eastAsia="华文行楷"/>
          <w:b/>
          <w:bCs/>
          <w:sz w:val="48"/>
          <w:szCs w:val="48"/>
        </w:rPr>
        <w:t>学</w:t>
      </w:r>
    </w:p>
    <w:p w14:paraId="000F6261">
      <w:pPr>
        <w:spacing w:before="240" w:beforeLines="100" w:after="2160" w:afterLines="900" w:line="360" w:lineRule="auto"/>
        <w:jc w:val="center"/>
        <w:rPr>
          <w:rFonts w:ascii="黑体" w:hAnsi="黑体" w:eastAsia="黑体"/>
          <w:sz w:val="44"/>
          <w:szCs w:val="44"/>
        </w:rPr>
      </w:pPr>
      <w:bookmarkStart w:id="0" w:name="OLE_LINK2"/>
      <w:bookmarkStart w:id="1" w:name="OLE_LINK1"/>
      <w:r>
        <w:rPr>
          <w:rFonts w:hint="eastAsia" w:ascii="黑体" w:hAnsi="黑体" w:eastAsia="黑体"/>
          <w:color w:val="000000" w:themeColor="text1"/>
          <w:sz w:val="46"/>
          <w:szCs w:val="46"/>
          <w:u w:val="single"/>
        </w:rPr>
        <w:t>2</w:t>
      </w:r>
      <w:r>
        <w:rPr>
          <w:rFonts w:hint="eastAsia" w:ascii="黑体" w:hAnsi="黑体" w:eastAsia="黑体"/>
          <w:color w:val="000000" w:themeColor="text1"/>
          <w:sz w:val="44"/>
          <w:szCs w:val="44"/>
          <w:u w:val="single"/>
        </w:rPr>
        <w:t>0</w:t>
      </w:r>
      <w:bookmarkEnd w:id="0"/>
      <w:bookmarkEnd w:id="1"/>
      <w:r>
        <w:rPr>
          <w:rFonts w:hint="eastAsia" w:ascii="黑体" w:hAnsi="黑体" w:eastAsia="黑体"/>
          <w:color w:val="000000" w:themeColor="text1"/>
          <w:sz w:val="44"/>
          <w:szCs w:val="44"/>
          <w:u w:val="single"/>
        </w:rPr>
        <w:t>22</w:t>
      </w:r>
      <w:r>
        <w:rPr>
          <w:rFonts w:hint="eastAsia" w:ascii="黑体" w:hAnsi="黑体" w:eastAsia="黑体"/>
          <w:sz w:val="44"/>
          <w:szCs w:val="44"/>
        </w:rPr>
        <w:t>级本科毕业设计中期进展报告</w:t>
      </w:r>
    </w:p>
    <w:tbl>
      <w:tblPr>
        <w:tblStyle w:val="7"/>
        <w:tblW w:w="0" w:type="auto"/>
        <w:tblInd w:w="5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16"/>
        <w:gridCol w:w="5481"/>
      </w:tblGrid>
      <w:tr w14:paraId="5C2E2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16" w:type="dxa"/>
          </w:tcPr>
          <w:p w14:paraId="4C88FDDC">
            <w:pPr>
              <w:tabs>
                <w:tab w:val="left" w:pos="1275"/>
              </w:tabs>
              <w:spacing w:after="360" w:afterLines="150"/>
              <w:rPr>
                <w:rFonts w:ascii="黑体" w:eastAsia="黑体"/>
                <w:sz w:val="30"/>
              </w:rPr>
            </w:pPr>
            <w:r>
              <w:rPr>
                <w:rFonts w:hint="eastAsia" w:ascii="黑体" w:eastAsia="黑体"/>
                <w:spacing w:val="600"/>
                <w:kern w:val="0"/>
                <w:sz w:val="30"/>
                <w:fitText w:val="1800" w:id="1786951430"/>
              </w:rPr>
              <w:t>专</w:t>
            </w:r>
            <w:r>
              <w:rPr>
                <w:rFonts w:hint="eastAsia" w:ascii="黑体" w:eastAsia="黑体"/>
                <w:spacing w:val="0"/>
                <w:kern w:val="0"/>
                <w:sz w:val="30"/>
                <w:fitText w:val="1800" w:id="1786951430"/>
              </w:rPr>
              <w:t>业</w:t>
            </w:r>
            <w:r>
              <w:rPr>
                <w:rFonts w:hint="eastAsia" w:ascii="黑体" w:eastAsia="黑体"/>
                <w:sz w:val="30"/>
              </w:rPr>
              <w:t>：</w:t>
            </w:r>
          </w:p>
        </w:tc>
        <w:tc>
          <w:tcPr>
            <w:tcW w:w="5481" w:type="dxa"/>
          </w:tcPr>
          <w:p w14:paraId="4CB57FB9">
            <w:pPr>
              <w:tabs>
                <w:tab w:val="left" w:pos="1275"/>
              </w:tabs>
              <w:spacing w:after="360" w:afterLines="150"/>
              <w:rPr>
                <w:rFonts w:ascii="黑体" w:eastAsia="黑体"/>
                <w:sz w:val="30"/>
              </w:rPr>
            </w:pPr>
            <w:r>
              <w:rPr>
                <w:rFonts w:hint="eastAsia" w:ascii="黑体" w:eastAsia="黑体"/>
                <w:color w:val="000000" w:themeColor="text1"/>
                <w:sz w:val="30"/>
                <w:u w:val="single"/>
              </w:rPr>
              <w:t xml:space="preserve">  测控技术与仪器        </w:t>
            </w:r>
            <w:r>
              <w:rPr>
                <w:rFonts w:ascii="黑体" w:eastAsia="黑体"/>
                <w:color w:val="000000" w:themeColor="text1"/>
                <w:sz w:val="30"/>
                <w:u w:val="single"/>
              </w:rPr>
              <w:t xml:space="preserve">  </w:t>
            </w:r>
            <w:r>
              <w:rPr>
                <w:rFonts w:hint="eastAsia" w:ascii="黑体" w:eastAsia="黑体"/>
                <w:color w:val="000000" w:themeColor="text1"/>
                <w:sz w:val="30"/>
                <w:u w:val="single"/>
              </w:rPr>
              <w:t xml:space="preserve">  </w:t>
            </w:r>
            <w:r>
              <w:rPr>
                <w:rFonts w:ascii="黑体" w:eastAsia="黑体"/>
                <w:color w:val="000000" w:themeColor="text1"/>
                <w:sz w:val="30"/>
                <w:u w:val="single"/>
              </w:rPr>
              <w:t xml:space="preserve">                    </w:t>
            </w:r>
          </w:p>
        </w:tc>
      </w:tr>
      <w:tr w14:paraId="3FC5C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16" w:type="dxa"/>
          </w:tcPr>
          <w:p w14:paraId="23410C40">
            <w:pPr>
              <w:tabs>
                <w:tab w:val="left" w:pos="1275"/>
              </w:tabs>
              <w:spacing w:after="360" w:afterLines="150"/>
              <w:rPr>
                <w:rFonts w:ascii="黑体" w:eastAsia="黑体"/>
                <w:sz w:val="30"/>
              </w:rPr>
            </w:pPr>
            <w:r>
              <w:rPr>
                <w:rFonts w:hint="eastAsia" w:ascii="黑体" w:eastAsia="黑体"/>
                <w:sz w:val="30"/>
              </w:rPr>
              <w:t xml:space="preserve">学 </w:t>
            </w:r>
            <w:r>
              <w:rPr>
                <w:rFonts w:ascii="黑体" w:eastAsia="黑体"/>
                <w:sz w:val="30"/>
              </w:rPr>
              <w:t xml:space="preserve">       </w:t>
            </w:r>
            <w:r>
              <w:rPr>
                <w:rFonts w:hint="eastAsia" w:ascii="黑体" w:eastAsia="黑体"/>
                <w:sz w:val="30"/>
              </w:rPr>
              <w:t>院：</w:t>
            </w:r>
          </w:p>
        </w:tc>
        <w:tc>
          <w:tcPr>
            <w:tcW w:w="5481" w:type="dxa"/>
          </w:tcPr>
          <w:p w14:paraId="4F946805">
            <w:pPr>
              <w:tabs>
                <w:tab w:val="left" w:pos="1275"/>
              </w:tabs>
              <w:spacing w:after="360" w:afterLines="150"/>
              <w:rPr>
                <w:rFonts w:ascii="黑体" w:eastAsia="黑体"/>
                <w:sz w:val="30"/>
              </w:rPr>
            </w:pPr>
            <w:r>
              <w:rPr>
                <w:rFonts w:hint="eastAsia" w:ascii="黑体" w:eastAsia="黑体"/>
                <w:color w:val="000000" w:themeColor="text1"/>
                <w:sz w:val="30"/>
                <w:u w:val="single"/>
              </w:rPr>
              <w:t xml:space="preserve">  自动化工程学院                                          </w:t>
            </w:r>
            <w:r>
              <w:rPr>
                <w:rFonts w:ascii="黑体" w:eastAsia="黑体"/>
                <w:color w:val="000000" w:themeColor="text1"/>
                <w:sz w:val="30"/>
                <w:u w:val="single"/>
              </w:rPr>
              <w:t xml:space="preserve">  </w:t>
            </w:r>
            <w:r>
              <w:rPr>
                <w:rFonts w:hint="eastAsia" w:ascii="黑体" w:eastAsia="黑体"/>
                <w:color w:val="000000" w:themeColor="text1"/>
                <w:sz w:val="30"/>
                <w:u w:val="single"/>
              </w:rPr>
              <w:t xml:space="preserve">  </w:t>
            </w:r>
            <w:r>
              <w:rPr>
                <w:rFonts w:ascii="黑体" w:eastAsia="黑体"/>
                <w:color w:val="000000" w:themeColor="text1"/>
                <w:sz w:val="30"/>
                <w:u w:val="single"/>
              </w:rPr>
              <w:t xml:space="preserve">                    </w:t>
            </w:r>
          </w:p>
        </w:tc>
      </w:tr>
      <w:tr w14:paraId="23DA2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16" w:type="dxa"/>
          </w:tcPr>
          <w:p w14:paraId="5B708BAA">
            <w:pPr>
              <w:tabs>
                <w:tab w:val="left" w:pos="1275"/>
              </w:tabs>
              <w:spacing w:after="360" w:afterLines="150"/>
              <w:rPr>
                <w:rFonts w:ascii="黑体" w:eastAsia="黑体"/>
                <w:sz w:val="30"/>
              </w:rPr>
            </w:pPr>
            <w:r>
              <w:rPr>
                <w:rFonts w:hint="eastAsia" w:ascii="黑体" w:eastAsia="黑体"/>
                <w:sz w:val="30"/>
              </w:rPr>
              <w:t xml:space="preserve">学 </w:t>
            </w:r>
            <w:r>
              <w:rPr>
                <w:rFonts w:ascii="黑体" w:eastAsia="黑体"/>
                <w:sz w:val="30"/>
              </w:rPr>
              <w:t xml:space="preserve">       </w:t>
            </w:r>
            <w:r>
              <w:rPr>
                <w:rFonts w:hint="eastAsia" w:ascii="黑体" w:eastAsia="黑体"/>
                <w:sz w:val="30"/>
              </w:rPr>
              <w:t>号：</w:t>
            </w:r>
          </w:p>
        </w:tc>
        <w:tc>
          <w:tcPr>
            <w:tcW w:w="5481" w:type="dxa"/>
          </w:tcPr>
          <w:p w14:paraId="42FDA752">
            <w:pPr>
              <w:tabs>
                <w:tab w:val="left" w:pos="1275"/>
              </w:tabs>
              <w:spacing w:after="360" w:afterLines="150"/>
              <w:rPr>
                <w:rFonts w:ascii="黑体" w:eastAsia="黑体"/>
                <w:sz w:val="30"/>
              </w:rPr>
            </w:pPr>
            <w:r>
              <w:rPr>
                <w:rFonts w:hint="eastAsia" w:ascii="黑体" w:eastAsia="黑体"/>
                <w:color w:val="000000" w:themeColor="text1"/>
                <w:sz w:val="30"/>
                <w:u w:val="single"/>
              </w:rPr>
              <w:t xml:space="preserve">  2022060901026                           </w:t>
            </w:r>
            <w:r>
              <w:rPr>
                <w:rFonts w:ascii="黑体" w:eastAsia="黑体"/>
                <w:color w:val="000000" w:themeColor="text1"/>
                <w:sz w:val="30"/>
                <w:u w:val="single"/>
              </w:rPr>
              <w:t xml:space="preserve">  </w:t>
            </w:r>
            <w:r>
              <w:rPr>
                <w:rFonts w:hint="eastAsia" w:ascii="黑体" w:eastAsia="黑体"/>
                <w:color w:val="000000" w:themeColor="text1"/>
                <w:sz w:val="30"/>
                <w:u w:val="single"/>
              </w:rPr>
              <w:t xml:space="preserve">  </w:t>
            </w:r>
            <w:r>
              <w:rPr>
                <w:rFonts w:ascii="黑体" w:eastAsia="黑体"/>
                <w:color w:val="000000" w:themeColor="text1"/>
                <w:sz w:val="30"/>
                <w:u w:val="single"/>
              </w:rPr>
              <w:t xml:space="preserve">                    </w:t>
            </w:r>
          </w:p>
        </w:tc>
      </w:tr>
      <w:tr w14:paraId="78C45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16" w:type="dxa"/>
          </w:tcPr>
          <w:p w14:paraId="7E044D5B">
            <w:pPr>
              <w:tabs>
                <w:tab w:val="left" w:pos="1275"/>
              </w:tabs>
              <w:spacing w:after="360" w:afterLines="150"/>
              <w:rPr>
                <w:rFonts w:ascii="黑体" w:eastAsia="黑体"/>
                <w:sz w:val="30"/>
              </w:rPr>
            </w:pPr>
            <w:r>
              <w:rPr>
                <w:rFonts w:hint="eastAsia" w:ascii="黑体" w:eastAsia="黑体"/>
                <w:sz w:val="30"/>
              </w:rPr>
              <w:t xml:space="preserve">姓  </w:t>
            </w:r>
            <w:r>
              <w:rPr>
                <w:rFonts w:ascii="黑体" w:eastAsia="黑体"/>
                <w:sz w:val="30"/>
              </w:rPr>
              <w:t xml:space="preserve">     </w:t>
            </w:r>
            <w:r>
              <w:rPr>
                <w:rFonts w:hint="eastAsia" w:ascii="黑体" w:eastAsia="黑体"/>
                <w:sz w:val="30"/>
              </w:rPr>
              <w:t xml:space="preserve"> 名：</w:t>
            </w:r>
          </w:p>
        </w:tc>
        <w:tc>
          <w:tcPr>
            <w:tcW w:w="5481" w:type="dxa"/>
          </w:tcPr>
          <w:p w14:paraId="3885905E">
            <w:pPr>
              <w:tabs>
                <w:tab w:val="left" w:pos="1275"/>
              </w:tabs>
              <w:spacing w:after="360" w:afterLines="150"/>
              <w:rPr>
                <w:rFonts w:ascii="黑体" w:eastAsia="黑体"/>
                <w:sz w:val="30"/>
              </w:rPr>
            </w:pPr>
            <w:r>
              <w:rPr>
                <w:rFonts w:hint="eastAsia" w:ascii="黑体" w:eastAsia="黑体"/>
                <w:color w:val="000000" w:themeColor="text1"/>
                <w:sz w:val="30"/>
                <w:u w:val="single"/>
              </w:rPr>
              <w:t xml:space="preserve">  黄鹏羽                                        </w:t>
            </w:r>
            <w:r>
              <w:rPr>
                <w:rFonts w:ascii="黑体" w:eastAsia="黑体"/>
                <w:color w:val="000000" w:themeColor="text1"/>
                <w:sz w:val="30"/>
                <w:u w:val="single"/>
              </w:rPr>
              <w:t xml:space="preserve">  </w:t>
            </w:r>
            <w:r>
              <w:rPr>
                <w:rFonts w:hint="eastAsia" w:ascii="黑体" w:eastAsia="黑体"/>
                <w:color w:val="000000" w:themeColor="text1"/>
                <w:sz w:val="30"/>
                <w:u w:val="single"/>
              </w:rPr>
              <w:t xml:space="preserve">  </w:t>
            </w:r>
            <w:r>
              <w:rPr>
                <w:rFonts w:ascii="黑体" w:eastAsia="黑体"/>
                <w:color w:val="000000" w:themeColor="text1"/>
                <w:sz w:val="30"/>
                <w:u w:val="single"/>
              </w:rPr>
              <w:t xml:space="preserve">                    </w:t>
            </w:r>
          </w:p>
        </w:tc>
      </w:tr>
      <w:tr w14:paraId="53CD9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16" w:type="dxa"/>
          </w:tcPr>
          <w:p w14:paraId="7229DB06">
            <w:pPr>
              <w:tabs>
                <w:tab w:val="left" w:pos="1275"/>
              </w:tabs>
              <w:spacing w:after="360" w:afterLines="150"/>
              <w:rPr>
                <w:rFonts w:ascii="黑体" w:eastAsia="黑体"/>
                <w:sz w:val="30"/>
              </w:rPr>
            </w:pPr>
            <w:r>
              <w:rPr>
                <w:rFonts w:hint="eastAsia" w:ascii="黑体" w:eastAsia="黑体"/>
                <w:sz w:val="30"/>
              </w:rPr>
              <w:t xml:space="preserve">毕 </w:t>
            </w:r>
            <w:r>
              <w:rPr>
                <w:rFonts w:ascii="黑体" w:eastAsia="黑体"/>
                <w:sz w:val="30"/>
              </w:rPr>
              <w:t xml:space="preserve"> </w:t>
            </w:r>
            <w:r>
              <w:rPr>
                <w:rFonts w:hint="eastAsia" w:ascii="黑体" w:eastAsia="黑体"/>
                <w:color w:val="000000" w:themeColor="text1"/>
                <w:sz w:val="30"/>
              </w:rPr>
              <w:t>设 题 目：</w:t>
            </w:r>
          </w:p>
        </w:tc>
        <w:tc>
          <w:tcPr>
            <w:tcW w:w="5481" w:type="dxa"/>
          </w:tcPr>
          <w:p w14:paraId="4196CDD6">
            <w:pPr>
              <w:tabs>
                <w:tab w:val="left" w:pos="1275"/>
              </w:tabs>
              <w:spacing w:after="360" w:afterLines="150"/>
              <w:rPr>
                <w:rFonts w:ascii="黑体" w:eastAsia="黑体"/>
                <w:sz w:val="30"/>
              </w:rPr>
            </w:pPr>
            <w:r>
              <w:rPr>
                <w:rFonts w:hint="eastAsia" w:ascii="黑体" w:eastAsia="黑体"/>
                <w:color w:val="000000" w:themeColor="text1"/>
                <w:sz w:val="30"/>
                <w:u w:val="single"/>
              </w:rPr>
              <w:t xml:space="preserve">  基于迁移学习的多工况逆变系统故障检测方法研究                            </w:t>
            </w:r>
            <w:r>
              <w:rPr>
                <w:rFonts w:ascii="黑体" w:eastAsia="黑体"/>
                <w:color w:val="000000" w:themeColor="text1"/>
                <w:sz w:val="30"/>
                <w:u w:val="single"/>
              </w:rPr>
              <w:t xml:space="preserve">  </w:t>
            </w:r>
            <w:r>
              <w:rPr>
                <w:rFonts w:hint="eastAsia" w:ascii="黑体" w:eastAsia="黑体"/>
                <w:color w:val="000000" w:themeColor="text1"/>
                <w:sz w:val="30"/>
                <w:u w:val="single"/>
              </w:rPr>
              <w:t xml:space="preserve">  </w:t>
            </w:r>
            <w:r>
              <w:rPr>
                <w:rFonts w:ascii="黑体" w:eastAsia="黑体"/>
                <w:color w:val="000000" w:themeColor="text1"/>
                <w:sz w:val="30"/>
                <w:u w:val="single"/>
              </w:rPr>
              <w:t xml:space="preserve">                    </w:t>
            </w:r>
          </w:p>
        </w:tc>
      </w:tr>
      <w:tr w14:paraId="00F6F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16" w:type="dxa"/>
          </w:tcPr>
          <w:p w14:paraId="5D20BC00">
            <w:pPr>
              <w:tabs>
                <w:tab w:val="left" w:pos="1275"/>
              </w:tabs>
              <w:spacing w:after="360" w:afterLines="150"/>
              <w:rPr>
                <w:rFonts w:ascii="黑体" w:eastAsia="黑体"/>
                <w:sz w:val="30"/>
              </w:rPr>
            </w:pPr>
            <w:r>
              <w:rPr>
                <w:rFonts w:hint="eastAsia" w:ascii="黑体" w:eastAsia="黑体"/>
                <w:color w:val="000000" w:themeColor="text1"/>
                <w:spacing w:val="100"/>
                <w:kern w:val="0"/>
                <w:sz w:val="30"/>
                <w:fitText w:val="1800" w:id="1786951432"/>
              </w:rPr>
              <w:t>指导教</w:t>
            </w:r>
            <w:r>
              <w:rPr>
                <w:rFonts w:hint="eastAsia" w:ascii="黑体" w:eastAsia="黑体"/>
                <w:color w:val="000000" w:themeColor="text1"/>
                <w:spacing w:val="0"/>
                <w:kern w:val="0"/>
                <w:sz w:val="30"/>
                <w:fitText w:val="1800" w:id="1786951432"/>
              </w:rPr>
              <w:t>师</w:t>
            </w:r>
            <w:r>
              <w:rPr>
                <w:rFonts w:hint="eastAsia" w:ascii="黑体" w:eastAsia="黑体"/>
                <w:color w:val="000000" w:themeColor="text1"/>
                <w:kern w:val="0"/>
                <w:sz w:val="30"/>
              </w:rPr>
              <w:t>：</w:t>
            </w:r>
          </w:p>
        </w:tc>
        <w:tc>
          <w:tcPr>
            <w:tcW w:w="5481" w:type="dxa"/>
          </w:tcPr>
          <w:p w14:paraId="5233C7A1">
            <w:pPr>
              <w:tabs>
                <w:tab w:val="left" w:pos="1275"/>
              </w:tabs>
              <w:spacing w:after="360" w:afterLines="150"/>
              <w:rPr>
                <w:rFonts w:ascii="黑体" w:eastAsia="黑体"/>
                <w:sz w:val="30"/>
              </w:rPr>
            </w:pPr>
            <w:r>
              <w:rPr>
                <w:rFonts w:hint="eastAsia" w:ascii="黑体" w:eastAsia="黑体"/>
                <w:color w:val="000000" w:themeColor="text1"/>
                <w:sz w:val="30"/>
                <w:u w:val="single"/>
              </w:rPr>
              <w:t xml:space="preserve">  邱根    </w:t>
            </w:r>
            <w:r>
              <w:rPr>
                <w:rFonts w:ascii="黑体" w:eastAsia="黑体"/>
                <w:color w:val="000000" w:themeColor="text1"/>
                <w:sz w:val="30"/>
                <w:u w:val="single"/>
              </w:rPr>
              <w:t xml:space="preserve">  </w:t>
            </w:r>
            <w:r>
              <w:rPr>
                <w:rFonts w:hint="eastAsia" w:ascii="黑体" w:eastAsia="黑体"/>
                <w:color w:val="000000" w:themeColor="text1"/>
                <w:sz w:val="30"/>
                <w:u w:val="single"/>
              </w:rPr>
              <w:t xml:space="preserve">  </w:t>
            </w:r>
            <w:r>
              <w:rPr>
                <w:rFonts w:ascii="黑体" w:eastAsia="黑体"/>
                <w:color w:val="000000" w:themeColor="text1"/>
                <w:sz w:val="30"/>
                <w:u w:val="single"/>
              </w:rPr>
              <w:t xml:space="preserve">                    </w:t>
            </w:r>
          </w:p>
        </w:tc>
      </w:tr>
      <w:tr w14:paraId="296CC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16" w:type="dxa"/>
          </w:tcPr>
          <w:p w14:paraId="65D2EBD4">
            <w:pPr>
              <w:tabs>
                <w:tab w:val="left" w:pos="1275"/>
              </w:tabs>
              <w:spacing w:after="360" w:afterLines="150"/>
              <w:rPr>
                <w:rFonts w:ascii="黑体" w:eastAsia="黑体"/>
                <w:sz w:val="30"/>
              </w:rPr>
            </w:pPr>
            <w:r>
              <w:rPr>
                <w:rFonts w:hint="eastAsia" w:ascii="黑体" w:eastAsia="黑体"/>
                <w:spacing w:val="100"/>
                <w:kern w:val="0"/>
                <w:sz w:val="30"/>
                <w:fitText w:val="1800" w:id="1786951433"/>
              </w:rPr>
              <w:t>填表日</w:t>
            </w:r>
            <w:r>
              <w:rPr>
                <w:rFonts w:hint="eastAsia" w:ascii="黑体" w:eastAsia="黑体"/>
                <w:spacing w:val="0"/>
                <w:kern w:val="0"/>
                <w:sz w:val="30"/>
                <w:fitText w:val="1800" w:id="1786951433"/>
              </w:rPr>
              <w:t>期</w:t>
            </w:r>
            <w:r>
              <w:rPr>
                <w:rFonts w:hint="eastAsia" w:ascii="黑体" w:eastAsia="黑体"/>
                <w:kern w:val="0"/>
                <w:sz w:val="30"/>
              </w:rPr>
              <w:t>：</w:t>
            </w:r>
          </w:p>
        </w:tc>
        <w:tc>
          <w:tcPr>
            <w:tcW w:w="5481" w:type="dxa"/>
          </w:tcPr>
          <w:p w14:paraId="1D248CD8">
            <w:pPr>
              <w:tabs>
                <w:tab w:val="left" w:pos="1275"/>
              </w:tabs>
              <w:spacing w:after="360" w:afterLines="150"/>
              <w:rPr>
                <w:rFonts w:ascii="黑体" w:eastAsia="黑体"/>
                <w:sz w:val="30"/>
              </w:rPr>
            </w:pPr>
            <w:r>
              <w:rPr>
                <w:rFonts w:hint="eastAsia" w:ascii="黑体" w:eastAsia="黑体"/>
                <w:color w:val="000000" w:themeColor="text1"/>
                <w:sz w:val="30"/>
                <w:u w:val="single"/>
              </w:rPr>
              <w:t xml:space="preserve">   </w:t>
            </w:r>
            <w:r>
              <w:rPr>
                <w:rFonts w:hint="eastAsia" w:ascii="黑体" w:eastAsia="黑体"/>
                <w:color w:val="000000" w:themeColor="text1"/>
                <w:sz w:val="30"/>
                <w:u w:val="single"/>
                <w:lang w:val="en-US" w:eastAsia="zh-CN"/>
              </w:rPr>
              <w:t>2026.3.13</w:t>
            </w:r>
            <w:r>
              <w:rPr>
                <w:rFonts w:ascii="黑体" w:eastAsia="黑体"/>
                <w:color w:val="000000" w:themeColor="text1"/>
                <w:sz w:val="30"/>
                <w:u w:val="single"/>
              </w:rPr>
              <w:t xml:space="preserve">                         </w:t>
            </w:r>
            <w:r>
              <w:rPr>
                <w:rFonts w:hint="eastAsia" w:ascii="黑体" w:eastAsia="黑体"/>
                <w:color w:val="000000" w:themeColor="text1"/>
                <w:sz w:val="30"/>
                <w:u w:val="single"/>
              </w:rPr>
              <w:t xml:space="preserve"> </w:t>
            </w:r>
            <w:r>
              <w:rPr>
                <w:rFonts w:hint="eastAsia" w:ascii="黑体" w:eastAsia="黑体"/>
                <w:sz w:val="30"/>
                <w:u w:val="single"/>
              </w:rPr>
              <w:t xml:space="preserve"> </w:t>
            </w:r>
          </w:p>
        </w:tc>
      </w:tr>
    </w:tbl>
    <w:p w14:paraId="6CAAD34D">
      <w:pPr>
        <w:spacing w:before="1680" w:beforeLines="700" w:after="0"/>
        <w:jc w:val="left"/>
        <w:rPr>
          <w:rFonts w:ascii="楷体" w:eastAsia="楷体"/>
          <w:sz w:val="32"/>
        </w:rPr>
        <w:sectPr>
          <w:footerReference r:id="rId3" w:type="default"/>
          <w:pgSz w:w="11906" w:h="16838"/>
          <w:pgMar w:top="1418" w:right="1191" w:bottom="1418" w:left="1474" w:header="851" w:footer="992" w:gutter="0"/>
          <w:cols w:space="425" w:num="1"/>
          <w:docGrid w:linePitch="312" w:charSpace="0"/>
        </w:sectPr>
      </w:pPr>
    </w:p>
    <w:p w14:paraId="6734412A">
      <w:pPr>
        <w:numPr>
          <w:ilvl w:val="0"/>
          <w:numId w:val="1"/>
        </w:numPr>
        <w:rPr>
          <w:rFonts w:ascii="黑体" w:hAnsi="黑体" w:eastAsia="黑体"/>
          <w:bCs/>
          <w:sz w:val="28"/>
        </w:rPr>
      </w:pPr>
      <w:r>
        <w:rPr>
          <w:rFonts w:hint="eastAsia" w:ascii="黑体" w:hAnsi="黑体" w:eastAsia="黑体"/>
          <w:bCs/>
          <w:sz w:val="28"/>
        </w:rPr>
        <w:t>已完成的主要工作</w:t>
      </w:r>
    </w:p>
    <w:tbl>
      <w:tblPr>
        <w:tblStyle w:val="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57" w:type="dxa"/>
          <w:bottom w:w="57" w:type="dxa"/>
          <w:right w:w="57" w:type="dxa"/>
        </w:tblCellMar>
      </w:tblPr>
      <w:tblGrid>
        <w:gridCol w:w="9752"/>
      </w:tblGrid>
      <w:tr w14:paraId="59531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13602" w:hRule="atLeast"/>
          <w:jc w:val="center"/>
        </w:trPr>
        <w:tc>
          <w:tcPr>
            <w:tcW w:w="5000" w:type="pct"/>
          </w:tcPr>
          <w:p w14:paraId="29F0B5F3">
            <w:pPr>
              <w:spacing w:after="120" w:afterLines="50"/>
              <w:rPr>
                <w:rFonts w:ascii="楷体" w:hAnsi="楷体" w:eastAsia="楷体"/>
                <w:b/>
                <w:sz w:val="24"/>
              </w:rPr>
            </w:pPr>
            <w:r>
              <w:rPr>
                <w:rFonts w:hint="eastAsia" w:ascii="楷体" w:hAnsi="楷体" w:eastAsia="楷体"/>
                <w:b/>
                <w:sz w:val="24"/>
              </w:rPr>
              <w:t>从理论分析、计算部分、实验（或实证）、</w:t>
            </w:r>
            <w:r>
              <w:rPr>
                <w:rFonts w:ascii="楷体" w:hAnsi="楷体" w:eastAsia="楷体"/>
                <w:b/>
                <w:sz w:val="24"/>
              </w:rPr>
              <w:t>实际</w:t>
            </w:r>
            <w:r>
              <w:rPr>
                <w:rFonts w:hint="eastAsia" w:ascii="楷体" w:hAnsi="楷体" w:eastAsia="楷体"/>
                <w:b/>
                <w:sz w:val="24"/>
              </w:rPr>
              <w:t>具体</w:t>
            </w:r>
            <w:r>
              <w:rPr>
                <w:rFonts w:ascii="楷体" w:hAnsi="楷体" w:eastAsia="楷体"/>
                <w:b/>
                <w:sz w:val="24"/>
              </w:rPr>
              <w:t>进</w:t>
            </w:r>
            <w:r>
              <w:rPr>
                <w:rFonts w:hint="eastAsia" w:ascii="楷体" w:hAnsi="楷体" w:eastAsia="楷体"/>
                <w:b/>
                <w:sz w:val="24"/>
              </w:rPr>
              <w:t>程、</w:t>
            </w:r>
            <w:r>
              <w:rPr>
                <w:rFonts w:ascii="楷体" w:hAnsi="楷体" w:eastAsia="楷体"/>
                <w:b/>
                <w:sz w:val="24"/>
              </w:rPr>
              <w:t>已实现的成果</w:t>
            </w:r>
            <w:r>
              <w:rPr>
                <w:rFonts w:hint="eastAsia" w:ascii="楷体" w:hAnsi="楷体" w:eastAsia="楷体"/>
                <w:b/>
                <w:sz w:val="24"/>
              </w:rPr>
              <w:t>等方面进行总结（可续页。</w:t>
            </w:r>
            <w:r>
              <w:rPr>
                <w:rFonts w:hint="eastAsia" w:eastAsia="楷体"/>
                <w:b/>
                <w:sz w:val="24"/>
              </w:rPr>
              <w:t>格式</w:t>
            </w:r>
            <w:r>
              <w:rPr>
                <w:rFonts w:eastAsia="楷体"/>
                <w:b/>
                <w:sz w:val="24"/>
              </w:rPr>
              <w:t>参考毕业论文正文格式：宋体小4号，英文字体为Times New Rome，行间距固定20磅</w:t>
            </w:r>
            <w:r>
              <w:rPr>
                <w:rFonts w:hint="eastAsia" w:ascii="楷体" w:hAnsi="楷体" w:eastAsia="楷体"/>
                <w:b/>
                <w:sz w:val="24"/>
              </w:rPr>
              <w:t>）</w:t>
            </w:r>
          </w:p>
          <w:p w14:paraId="1EC6F583">
            <w:pPr>
              <w:rPr>
                <w:rFonts w:hint="eastAsia" w:ascii="宋体" w:hAnsi="宋体"/>
                <w:sz w:val="24"/>
              </w:rPr>
            </w:pPr>
            <w:r>
              <w:rPr>
                <w:rFonts w:hint="eastAsia" w:ascii="宋体" w:hAnsi="宋体"/>
                <w:sz w:val="24"/>
                <w:lang w:val="en-US" w:eastAsia="zh-CN"/>
              </w:rPr>
              <w:t>1.</w:t>
            </w:r>
            <w:r>
              <w:rPr>
                <w:rFonts w:hint="eastAsia" w:ascii="宋体" w:hAnsi="宋体"/>
                <w:sz w:val="24"/>
              </w:rPr>
              <w:t xml:space="preserve"> 基础网络架构：基于 </w:t>
            </w:r>
            <w:r>
              <w:rPr>
                <w:rFonts w:hint="eastAsia" w:eastAsia="楷体"/>
                <w:b w:val="0"/>
                <w:bCs/>
                <w:sz w:val="24"/>
              </w:rPr>
              <w:t>ISGFAN</w:t>
            </w:r>
            <w:r>
              <w:rPr>
                <w:rFonts w:hint="eastAsia" w:ascii="宋体" w:hAnsi="宋体"/>
                <w:sz w:val="24"/>
              </w:rPr>
              <w:t xml:space="preserve"> 的特征提取与自适应基准</w:t>
            </w:r>
          </w:p>
          <w:p w14:paraId="6D5C475D">
            <w:pPr>
              <w:rPr>
                <w:rFonts w:hint="eastAsia" w:ascii="宋体" w:hAnsi="宋体"/>
                <w:sz w:val="24"/>
              </w:rPr>
            </w:pPr>
          </w:p>
          <w:p w14:paraId="3C6E3F50">
            <w:pPr>
              <w:ind w:firstLine="480" w:firstLineChars="200"/>
              <w:rPr>
                <w:rFonts w:hint="eastAsia" w:ascii="宋体" w:hAnsi="宋体"/>
                <w:sz w:val="24"/>
              </w:rPr>
            </w:pPr>
            <w:r>
              <w:rPr>
                <w:rFonts w:hint="eastAsia" w:ascii="宋体" w:hAnsi="宋体"/>
                <w:sz w:val="24"/>
              </w:rPr>
              <w:t>针对逆变器跨工况运行环境复杂、采集信号常伴随强背景噪声及域偏移的客观问题，本课题选用先进的 ISGFAN（</w:t>
            </w:r>
            <w:r>
              <w:rPr>
                <w:rFonts w:hint="eastAsia" w:eastAsia="楷体"/>
                <w:b w:val="0"/>
                <w:bCs/>
                <w:sz w:val="24"/>
              </w:rPr>
              <w:t>Global–focal Adaptation with Information Separation</w:t>
            </w:r>
            <w:r>
              <w:rPr>
                <w:rFonts w:hint="eastAsia" w:ascii="宋体" w:hAnsi="宋体"/>
                <w:sz w:val="24"/>
              </w:rPr>
              <w:t>，基于信息分离的全局-焦点自适应网络） 作为基准模型（</w:t>
            </w:r>
            <w:r>
              <w:rPr>
                <w:rFonts w:hint="eastAsia" w:eastAsia="楷体"/>
                <w:b w:val="0"/>
                <w:bCs/>
                <w:sz w:val="24"/>
              </w:rPr>
              <w:t>Baseline</w:t>
            </w:r>
            <w:r>
              <w:rPr>
                <w:rFonts w:hint="eastAsia" w:ascii="宋体" w:hAnsi="宋体"/>
                <w:sz w:val="24"/>
              </w:rPr>
              <w:t>）。该架构通过解耦特征空间中的“故障类属信息”与“工况特有干扰”，为后续的跨域迁移提供了一个高鲁棒性的特征表征基础。</w:t>
            </w:r>
          </w:p>
          <w:p w14:paraId="4247A4FA">
            <w:pPr>
              <w:ind w:firstLine="480" w:firstLineChars="200"/>
              <w:rPr>
                <w:rFonts w:hint="eastAsia" w:ascii="宋体" w:hAnsi="宋体"/>
                <w:sz w:val="24"/>
              </w:rPr>
            </w:pPr>
            <w:r>
              <w:rPr>
                <w:rFonts w:hint="eastAsia" w:ascii="宋体" w:hAnsi="宋体"/>
                <w:sz w:val="24"/>
              </w:rPr>
              <w:t>原 ISGFAN 框架在处理无监督领域自适应（</w:t>
            </w:r>
            <w:r>
              <w:rPr>
                <w:rFonts w:hint="eastAsia" w:eastAsia="楷体"/>
                <w:b w:val="0"/>
                <w:bCs/>
                <w:sz w:val="24"/>
              </w:rPr>
              <w:t>UDA</w:t>
            </w:r>
            <w:r>
              <w:rPr>
                <w:rFonts w:hint="eastAsia" w:ascii="宋体" w:hAnsi="宋体"/>
                <w:sz w:val="24"/>
              </w:rPr>
              <w:t>）任务时，其核心逻辑链路主要由以下三个模块构成：</w:t>
            </w:r>
          </w:p>
          <w:p w14:paraId="04F0BE4B">
            <w:pPr>
              <w:ind w:firstLine="480" w:firstLineChars="200"/>
              <w:rPr>
                <w:rFonts w:hint="eastAsia" w:ascii="宋体" w:hAnsi="宋体"/>
                <w:sz w:val="24"/>
              </w:rPr>
            </w:pPr>
            <w:r>
              <w:rPr>
                <w:rFonts w:hint="eastAsia" w:ascii="宋体" w:hAnsi="宋体"/>
                <w:sz w:val="24"/>
              </w:rPr>
              <w:t>信息分离特征提取模块：接收源域（已知工况有标签）与目标域（未知工况无标签）的逆变器电信号输入，通过特有的双分支网络，将包含故障语义的任务相关特征与表征运行工况的域私有噪声进行分离，从而提纯故障特征。</w:t>
            </w:r>
          </w:p>
          <w:p w14:paraId="59D50689">
            <w:pPr>
              <w:ind w:firstLine="480" w:firstLineChars="200"/>
              <w:rPr>
                <w:rFonts w:hint="eastAsia" w:ascii="宋体" w:hAnsi="宋体"/>
                <w:sz w:val="24"/>
              </w:rPr>
            </w:pPr>
            <w:r>
              <w:rPr>
                <w:rFonts w:hint="eastAsia" w:ascii="宋体" w:hAnsi="宋体"/>
                <w:sz w:val="24"/>
              </w:rPr>
              <w:t>全局自适应模块（</w:t>
            </w:r>
            <w:r>
              <w:rPr>
                <w:rFonts w:hint="eastAsia" w:eastAsia="楷体"/>
                <w:b w:val="0"/>
                <w:bCs/>
                <w:sz w:val="24"/>
              </w:rPr>
              <w:t>Global Adaptation</w:t>
            </w:r>
            <w:r>
              <w:rPr>
                <w:rFonts w:hint="eastAsia" w:ascii="宋体" w:hAnsi="宋体"/>
                <w:sz w:val="24"/>
              </w:rPr>
              <w:t>）：利用域判别器对源域和目标域的整体特征分布进行宏观对抗对齐，旨在消除不同工况间的边缘分布差异（</w:t>
            </w:r>
            <w:r>
              <w:rPr>
                <w:rFonts w:hint="eastAsia" w:eastAsia="楷体"/>
                <w:b w:val="0"/>
                <w:bCs/>
                <w:sz w:val="24"/>
              </w:rPr>
              <w:t>Marginal Distribution Shift</w:t>
            </w:r>
            <w:r>
              <w:rPr>
                <w:rFonts w:hint="eastAsia" w:ascii="宋体" w:hAnsi="宋体"/>
                <w:sz w:val="24"/>
              </w:rPr>
              <w:t>）。</w:t>
            </w:r>
          </w:p>
          <w:p w14:paraId="36AAD8F6">
            <w:pPr>
              <w:ind w:firstLine="480" w:firstLineChars="200"/>
              <w:rPr>
                <w:rFonts w:hint="eastAsia" w:ascii="宋体" w:hAnsi="宋体"/>
                <w:sz w:val="24"/>
              </w:rPr>
            </w:pPr>
            <w:r>
              <w:rPr>
                <w:rFonts w:hint="eastAsia" w:ascii="宋体" w:hAnsi="宋体"/>
                <w:sz w:val="24"/>
              </w:rPr>
              <w:t>焦点/子域自适应模块（</w:t>
            </w:r>
            <w:r>
              <w:rPr>
                <w:rFonts w:hint="eastAsia" w:eastAsia="楷体"/>
                <w:b w:val="0"/>
                <w:bCs/>
                <w:sz w:val="24"/>
              </w:rPr>
              <w:t>Focal Adaptation</w:t>
            </w:r>
            <w:r>
              <w:rPr>
                <w:rFonts w:hint="eastAsia" w:ascii="宋体" w:hAnsi="宋体"/>
                <w:sz w:val="24"/>
              </w:rPr>
              <w:t>）：在宏观对齐的基础上，利用分类器输出的目标域伪标签信息，指导细粒度的条件分布对齐（</w:t>
            </w:r>
            <w:r>
              <w:rPr>
                <w:rFonts w:hint="eastAsia" w:eastAsia="楷体"/>
                <w:b w:val="0"/>
                <w:bCs/>
                <w:sz w:val="24"/>
              </w:rPr>
              <w:t>Conditional Distribution Shift</w:t>
            </w:r>
            <w:r>
              <w:rPr>
                <w:rFonts w:hint="eastAsia" w:ascii="宋体" w:hAnsi="宋体"/>
                <w:sz w:val="24"/>
              </w:rPr>
              <w:t>），确保同类故障特征在不同工况下的精准匹配。</w:t>
            </w:r>
          </w:p>
          <w:p w14:paraId="7E32E93A">
            <w:pPr>
              <w:ind w:firstLine="480" w:firstLineChars="200"/>
              <w:rPr>
                <w:rFonts w:hint="eastAsia" w:ascii="宋体" w:hAnsi="宋体"/>
                <w:sz w:val="24"/>
              </w:rPr>
            </w:pPr>
          </w:p>
          <w:p w14:paraId="0EC9A99A">
            <w:pPr>
              <w:ind w:firstLine="480" w:firstLineChars="200"/>
              <w:rPr>
                <w:rFonts w:hint="eastAsia" w:ascii="宋体" w:hAnsi="宋体"/>
                <w:sz w:val="24"/>
              </w:rPr>
            </w:pPr>
            <w:r>
              <w:rPr>
                <w:rFonts w:hint="eastAsia" w:ascii="宋体" w:hAnsi="宋体"/>
                <w:sz w:val="24"/>
              </w:rPr>
              <w:t xml:space="preserve">尽管 </w:t>
            </w:r>
            <w:r>
              <w:rPr>
                <w:rFonts w:hint="eastAsia" w:eastAsia="楷体"/>
                <w:b w:val="0"/>
                <w:bCs/>
                <w:sz w:val="24"/>
              </w:rPr>
              <w:t>ISGFAN</w:t>
            </w:r>
            <w:r>
              <w:rPr>
                <w:rFonts w:hint="eastAsia" w:ascii="宋体" w:hAnsi="宋体"/>
                <w:sz w:val="24"/>
              </w:rPr>
              <w:t xml:space="preserve"> 具备优异的特征提纯潜力，但在推进实际逆变器多工况迁移实验（如面临剧烈的负载突变或极端的环境干扰）时，本研究通过前期的验证实验发现，该基础架构在训练动力学和伪标签利用率上仍存在两处显著的局限性：</w:t>
            </w:r>
          </w:p>
          <w:p w14:paraId="597F59B9">
            <w:pPr>
              <w:ind w:firstLine="480" w:firstLineChars="200"/>
              <w:rPr>
                <w:rFonts w:hint="eastAsia" w:ascii="宋体" w:hAnsi="宋体"/>
                <w:sz w:val="24"/>
              </w:rPr>
            </w:pPr>
            <w:r>
              <w:rPr>
                <w:rFonts w:hint="eastAsia" w:ascii="宋体" w:hAnsi="宋体"/>
                <w:sz w:val="24"/>
              </w:rPr>
              <w:t>局限一：全局对抗动力学僵化（导致初期不收敛） 原框架在全局域对抗阶段采用固定强度的梯度反转层（</w:t>
            </w:r>
            <w:r>
              <w:rPr>
                <w:rFonts w:hint="eastAsia" w:eastAsia="楷体"/>
                <w:b w:val="0"/>
                <w:bCs/>
                <w:sz w:val="24"/>
              </w:rPr>
              <w:t>Static GRL</w:t>
            </w:r>
            <w:r>
              <w:rPr>
                <w:rFonts w:hint="eastAsia" w:ascii="宋体" w:hAnsi="宋体"/>
                <w:sz w:val="24"/>
              </w:rPr>
              <w:t>）。在训练初期，由于源域分类器尚未建立稳健的故障判别边界，过早引入强烈的跨域对抗极易引发分类损失与对抗损失的梯度冲突（</w:t>
            </w:r>
            <w:r>
              <w:rPr>
                <w:rFonts w:hint="eastAsia" w:eastAsia="楷体"/>
                <w:b w:val="0"/>
                <w:bCs/>
                <w:sz w:val="24"/>
              </w:rPr>
              <w:t>Gradient Conflict</w:t>
            </w:r>
            <w:r>
              <w:rPr>
                <w:rFonts w:hint="eastAsia" w:ascii="宋体" w:hAnsi="宋体"/>
                <w:sz w:val="24"/>
              </w:rPr>
              <w:t>），导致特征提取网络震荡，甚至发生特征塌陷（</w:t>
            </w:r>
            <w:r>
              <w:rPr>
                <w:rFonts w:hint="eastAsia" w:eastAsia="楷体"/>
                <w:b w:val="0"/>
                <w:bCs/>
                <w:sz w:val="24"/>
              </w:rPr>
              <w:t>Feature Collapse</w:t>
            </w:r>
            <w:r>
              <w:rPr>
                <w:rFonts w:hint="eastAsia" w:ascii="宋体" w:hAnsi="宋体"/>
                <w:sz w:val="24"/>
              </w:rPr>
              <w:t>）。</w:t>
            </w:r>
          </w:p>
          <w:p w14:paraId="64F62CD4">
            <w:pPr>
              <w:ind w:firstLine="480" w:firstLineChars="200"/>
              <w:rPr>
                <w:rFonts w:hint="eastAsia" w:ascii="宋体" w:hAnsi="宋体"/>
                <w:sz w:val="24"/>
              </w:rPr>
            </w:pPr>
            <w:r>
              <w:rPr>
                <w:rFonts w:hint="eastAsia" w:ascii="宋体" w:hAnsi="宋体"/>
                <w:sz w:val="24"/>
              </w:rPr>
              <w:t>局限二：焦点对齐对伪标签噪声极度敏感（导致负迁移） 原框架的 Focal Adaptation 高度依赖目标域伪标签的准确性来进行子域划分。在无监督训练早期，模型对未知工况的判别能力较弱，不可避免地会产生大量错误的伪标签。若无差别地将这些高噪声样本强制纳入细粒度对齐，将诱发严重的“确认偏差（</w:t>
            </w:r>
            <w:r>
              <w:rPr>
                <w:rFonts w:hint="eastAsia" w:eastAsia="楷体"/>
                <w:b w:val="0"/>
                <w:bCs/>
                <w:sz w:val="24"/>
              </w:rPr>
              <w:t>Confirmation Bias</w:t>
            </w:r>
            <w:r>
              <w:rPr>
                <w:rFonts w:hint="eastAsia" w:ascii="宋体" w:hAnsi="宋体"/>
                <w:sz w:val="24"/>
              </w:rPr>
              <w:t>）”，导致不同类别的故障特征被错误重叠（即发生负迁移）。</w:t>
            </w:r>
          </w:p>
          <w:p w14:paraId="66606F9D">
            <w:pPr>
              <w:ind w:firstLine="480" w:firstLineChars="200"/>
              <w:rPr>
                <w:rFonts w:hint="default" w:ascii="宋体" w:hAnsi="宋体"/>
                <w:sz w:val="24"/>
              </w:rPr>
            </w:pPr>
            <w:r>
              <w:rPr>
                <w:rFonts w:hint="eastAsia" w:ascii="宋体" w:hAnsi="宋体"/>
                <w:sz w:val="24"/>
              </w:rPr>
              <w:t>鉴于上述分析，本研究在保留 ISGFAN 信息分离优势的前提</w:t>
            </w:r>
            <w:r>
              <w:rPr>
                <w:rFonts w:hint="eastAsia" w:ascii="宋体" w:hAnsi="宋体"/>
                <w:sz w:val="24"/>
                <w:lang w:val="en-US" w:eastAsia="zh-CN"/>
              </w:rPr>
              <w:t>,</w:t>
            </w:r>
            <w:r>
              <w:rPr>
                <w:rFonts w:hint="default" w:ascii="宋体" w:hAnsi="宋体"/>
                <w:sz w:val="24"/>
              </w:rPr>
              <w:t>在“信息分离 + 全局/局部对齐”的主框架上，引入两项互补创新：动态 GRL 调度与 TEC（Target Entropy Curriculum）机制。前者解决“跨域对齐强度如何随训练阶段变化”的问题，后者解决“目标域无标签条件下如何抑制伪监督噪声放大”的问题。在优化层面，总体目标可写为：</w:t>
            </w:r>
          </w:p>
          <w:p w14:paraId="6BE0BB83">
            <w:pPr>
              <w:jc w:val="center"/>
              <w:rPr>
                <w:rFonts w:hint="eastAsia" w:eastAsia="宋体"/>
                <w:lang w:val="en-US" w:eastAsia="zh-CN"/>
              </w:rPr>
            </w:pPr>
            <w:r>
              <w:drawing>
                <wp:inline distT="0" distB="0" distL="114300" distR="114300">
                  <wp:extent cx="3696970" cy="340995"/>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6"/>
                          <a:srcRect t="14626"/>
                          <a:stretch>
                            <a:fillRect/>
                          </a:stretch>
                        </pic:blipFill>
                        <pic:spPr>
                          <a:xfrm>
                            <a:off x="0" y="0"/>
                            <a:ext cx="3696970" cy="340995"/>
                          </a:xfrm>
                          <a:prstGeom prst="rect">
                            <a:avLst/>
                          </a:prstGeom>
                          <a:noFill/>
                          <a:ln>
                            <a:noFill/>
                          </a:ln>
                        </pic:spPr>
                      </pic:pic>
                    </a:graphicData>
                  </a:graphic>
                </wp:inline>
              </w:drawing>
            </w:r>
          </w:p>
          <w:p w14:paraId="56F5F80E">
            <w:pPr>
              <w:ind w:firstLine="480" w:firstLineChars="200"/>
              <w:rPr>
                <w:rFonts w:hint="default" w:ascii="宋体" w:hAnsi="宋体" w:eastAsia="宋体"/>
                <w:sz w:val="24"/>
                <w:lang w:val="en-US" w:eastAsia="zh-CN"/>
              </w:rPr>
            </w:pPr>
            <w:r>
              <w:rPr>
                <w:rFonts w:hint="eastAsia" w:ascii="宋体" w:hAnsi="宋体"/>
                <w:sz w:val="24"/>
              </w:rPr>
              <w:t>其中，</w:t>
            </w:r>
            <w:r>
              <w:rPr>
                <w:rFonts w:hint="eastAsia" w:eastAsia="楷体"/>
                <w:b w:val="0"/>
                <w:bCs/>
                <w:sz w:val="24"/>
              </w:rPr>
              <w:t>L</w:t>
            </w:r>
            <w:r>
              <w:rPr>
                <w:rFonts w:hint="eastAsia" w:eastAsia="楷体"/>
                <w:b w:val="0"/>
                <w:bCs/>
                <w:sz w:val="24"/>
                <w:vertAlign w:val="subscript"/>
              </w:rPr>
              <w:t>cls</w:t>
            </w:r>
            <w:r>
              <w:rPr>
                <w:rFonts w:hint="eastAsia" w:ascii="宋体" w:hAnsi="宋体"/>
                <w:sz w:val="24"/>
                <w:vertAlign w:val="subscript"/>
                <w:lang w:val="en-US" w:eastAsia="zh-CN"/>
              </w:rPr>
              <w:t xml:space="preserve"> </w:t>
            </w:r>
            <w:r>
              <w:rPr>
                <w:rFonts w:hint="eastAsia" w:ascii="宋体" w:hAnsi="宋体"/>
                <w:sz w:val="24"/>
                <w:lang w:val="en-US" w:eastAsia="zh-CN"/>
              </w:rPr>
              <w:t>为主任务损失</w:t>
            </w:r>
            <w:r>
              <w:rPr>
                <w:rFonts w:hint="eastAsia" w:ascii="宋体" w:hAnsi="宋体"/>
                <w:sz w:val="24"/>
              </w:rPr>
              <w:t>，</w:t>
            </w:r>
            <w:r>
              <w:rPr>
                <w:rFonts w:hint="eastAsia" w:eastAsia="楷体"/>
                <w:b w:val="0"/>
                <w:bCs/>
                <w:sz w:val="24"/>
              </w:rPr>
              <w:t>λ(p)L</w:t>
            </w:r>
            <w:r>
              <w:rPr>
                <w:rFonts w:hint="eastAsia" w:eastAsia="楷体"/>
                <w:b w:val="0"/>
                <w:bCs/>
                <w:sz w:val="24"/>
                <w:vertAlign w:val="subscript"/>
              </w:rPr>
              <w:t>adv</w:t>
            </w:r>
            <w:r>
              <w:rPr>
                <w:rFonts w:hint="eastAsia" w:ascii="宋体" w:hAnsi="宋体" w:eastAsia="宋体" w:cs="宋体"/>
                <w:kern w:val="2"/>
                <w:sz w:val="24"/>
                <w:szCs w:val="24"/>
                <w:lang w:val="en-US" w:eastAsia="zh-CN"/>
              </w:rPr>
              <w:t>为</w:t>
            </w:r>
            <w:r>
              <w:rPr>
                <w:rFonts w:hint="eastAsia" w:ascii="宋体" w:hAnsi="宋体" w:eastAsia="宋体" w:cs="宋体"/>
                <w:kern w:val="2"/>
                <w:sz w:val="24"/>
                <w:szCs w:val="24"/>
              </w:rPr>
              <w:t>动态对抗损失</w:t>
            </w:r>
            <w:r>
              <w:rPr>
                <w:rFonts w:hint="eastAsia" w:ascii="宋体" w:hAnsi="宋体"/>
                <w:sz w:val="24"/>
              </w:rPr>
              <w:t>，</w:t>
            </w:r>
            <w:r>
              <w:rPr>
                <w:rFonts w:hint="eastAsia" w:eastAsia="楷体"/>
                <w:b w:val="0"/>
                <w:bCs/>
                <w:sz w:val="24"/>
              </w:rPr>
              <w:t>ω</w:t>
            </w:r>
            <w:r>
              <w:rPr>
                <w:rFonts w:hint="eastAsia" w:eastAsia="楷体"/>
                <w:b w:val="0"/>
                <w:bCs/>
                <w:sz w:val="24"/>
                <w:vertAlign w:val="subscript"/>
              </w:rPr>
              <w:t>tec</w:t>
            </w:r>
            <w:r>
              <w:rPr>
                <w:rFonts w:hint="eastAsia" w:eastAsia="楷体"/>
                <w:b w:val="0"/>
                <w:bCs/>
                <w:sz w:val="24"/>
              </w:rPr>
              <w:t>(p)</w:t>
            </w:r>
            <w:r>
              <w:rPr>
                <w:rFonts w:hint="eastAsia" w:ascii="宋体" w:hAnsi="宋体"/>
                <w:sz w:val="24"/>
              </w:rPr>
              <w:t>为</w:t>
            </w:r>
            <w:r>
              <w:rPr>
                <w:rFonts w:hint="eastAsia" w:eastAsia="楷体"/>
                <w:b w:val="0"/>
                <w:bCs/>
                <w:sz w:val="24"/>
              </w:rPr>
              <w:t>TEC</w:t>
            </w:r>
            <w:r>
              <w:rPr>
                <w:rFonts w:hint="eastAsia" w:ascii="宋体" w:hAnsi="宋体"/>
                <w:sz w:val="24"/>
              </w:rPr>
              <w:t>课程权重（前弱后强）</w:t>
            </w:r>
            <w:r>
              <w:rPr>
                <w:rFonts w:hint="eastAsia" w:ascii="宋体" w:hAnsi="宋体"/>
                <w:sz w:val="24"/>
                <w:lang w:eastAsia="zh-CN"/>
              </w:rPr>
              <w:t>，</w:t>
            </w:r>
            <w:r>
              <w:rPr>
                <w:rFonts w:hint="eastAsia" w:ascii="宋体" w:hAnsi="宋体" w:eastAsia="宋体" w:cs="宋体"/>
                <w:kern w:val="2"/>
                <w:sz w:val="24"/>
                <w:szCs w:val="24"/>
              </w:rPr>
              <w:t>辅助约束项</w:t>
            </w:r>
            <w:r>
              <w:rPr>
                <w:rFonts w:hint="eastAsia" w:eastAsia="楷体"/>
                <w:b w:val="0"/>
                <w:bCs/>
                <w:sz w:val="24"/>
              </w:rPr>
              <w:t>∑α</w:t>
            </w:r>
            <w:r>
              <w:rPr>
                <w:rFonts w:hint="eastAsia" w:ascii="宋体" w:hAnsi="宋体"/>
                <w:sz w:val="24"/>
                <w:vertAlign w:val="subscript"/>
              </w:rPr>
              <w:t>k</w:t>
            </w:r>
            <w:r>
              <w:rPr>
                <w:rFonts w:hint="eastAsia" w:eastAsia="楷体"/>
                <w:b w:val="0"/>
                <w:bCs/>
                <w:sz w:val="24"/>
              </w:rPr>
              <w:t>L</w:t>
            </w:r>
            <w:r>
              <w:rPr>
                <w:rFonts w:hint="eastAsia" w:ascii="宋体" w:hAnsi="宋体"/>
                <w:sz w:val="24"/>
                <w:vertAlign w:val="subscript"/>
              </w:rPr>
              <w:t>k</w:t>
            </w:r>
            <w:r>
              <w:rPr>
                <w:rFonts w:hint="eastAsia" w:ascii="宋体" w:hAnsi="宋体"/>
                <w:sz w:val="24"/>
              </w:rPr>
              <w:t>则继承了原框架的精髓。该式体现了“先学任务判别、后强域对齐；先用高置信目标样本、后扩展约束强度”的整体思想。</w:t>
            </w:r>
            <w:r>
              <w:rPr>
                <w:rFonts w:hint="eastAsia" w:ascii="宋体" w:hAnsi="宋体"/>
                <w:sz w:val="24"/>
                <w:lang w:val="en-US" w:eastAsia="zh-CN"/>
              </w:rPr>
              <w:t>总体网络架构如下图所示。</w:t>
            </w:r>
          </w:p>
          <w:p w14:paraId="2B028E75">
            <w:pPr>
              <w:jc w:val="center"/>
            </w:pPr>
            <w:r>
              <w:drawing>
                <wp:inline distT="0" distB="0" distL="114300" distR="114300">
                  <wp:extent cx="5400040" cy="2595880"/>
                  <wp:effectExtent l="0" t="0" r="5080" b="1016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7"/>
                          <a:stretch>
                            <a:fillRect/>
                          </a:stretch>
                        </pic:blipFill>
                        <pic:spPr>
                          <a:xfrm>
                            <a:off x="0" y="0"/>
                            <a:ext cx="5400040" cy="2595880"/>
                          </a:xfrm>
                          <a:prstGeom prst="rect">
                            <a:avLst/>
                          </a:prstGeom>
                          <a:noFill/>
                          <a:ln>
                            <a:noFill/>
                          </a:ln>
                        </pic:spPr>
                      </pic:pic>
                    </a:graphicData>
                  </a:graphic>
                </wp:inline>
              </w:drawing>
            </w:r>
          </w:p>
          <w:p w14:paraId="5A07DE40">
            <w:pPr>
              <w:numPr>
                <w:ilvl w:val="0"/>
                <w:numId w:val="0"/>
              </w:numPr>
              <w:jc w:val="center"/>
              <w:rPr>
                <w:rFonts w:hint="default"/>
                <w:lang w:val="en-US"/>
              </w:rPr>
            </w:pPr>
            <w:r>
              <w:rPr>
                <w:rFonts w:hint="eastAsia" w:ascii="宋体" w:hAnsi="宋体"/>
                <w:sz w:val="21"/>
                <w:szCs w:val="21"/>
                <w:lang w:val="en-US" w:eastAsia="zh-CN"/>
              </w:rPr>
              <w:t>图1：总体网络架构</w:t>
            </w:r>
          </w:p>
          <w:p w14:paraId="0DAD06C0">
            <w:pPr>
              <w:ind w:firstLine="480" w:firstLineChars="200"/>
              <w:rPr>
                <w:rFonts w:hint="eastAsia" w:ascii="宋体" w:hAnsi="宋体"/>
                <w:sz w:val="24"/>
              </w:rPr>
            </w:pPr>
          </w:p>
          <w:p w14:paraId="0F98C663">
            <w:pPr>
              <w:rPr>
                <w:rFonts w:hint="eastAsia" w:ascii="宋体" w:hAnsi="宋体"/>
                <w:sz w:val="24"/>
              </w:rPr>
            </w:pPr>
            <w:r>
              <w:rPr>
                <w:rFonts w:hint="eastAsia" w:ascii="宋体" w:hAnsi="宋体"/>
                <w:sz w:val="24"/>
              </w:rPr>
              <w:t>2</w:t>
            </w:r>
            <w:r>
              <w:rPr>
                <w:rFonts w:hint="eastAsia" w:ascii="宋体" w:hAnsi="宋体"/>
                <w:sz w:val="24"/>
                <w:lang w:val="en-US" w:eastAsia="zh-CN"/>
              </w:rPr>
              <w:t>.</w:t>
            </w:r>
            <w:r>
              <w:rPr>
                <w:rFonts w:hint="eastAsia" w:ascii="宋体" w:hAnsi="宋体"/>
                <w:sz w:val="24"/>
              </w:rPr>
              <w:t xml:space="preserve"> 创新点一：基于动态梯度增长策略的渐进式全局对抗机制</w:t>
            </w:r>
          </w:p>
          <w:p w14:paraId="5A2916A7">
            <w:pPr>
              <w:ind w:firstLine="480" w:firstLineChars="200"/>
              <w:rPr>
                <w:rFonts w:hint="eastAsia" w:ascii="宋体" w:hAnsi="宋体"/>
                <w:sz w:val="24"/>
              </w:rPr>
            </w:pPr>
            <w:r>
              <w:rPr>
                <w:rFonts w:hint="eastAsia" w:ascii="宋体" w:hAnsi="宋体"/>
                <w:sz w:val="24"/>
              </w:rPr>
              <w:t>在无监督领域自适应（</w:t>
            </w:r>
            <w:r>
              <w:rPr>
                <w:rFonts w:hint="eastAsia" w:eastAsia="楷体"/>
                <w:b w:val="0"/>
                <w:bCs/>
                <w:sz w:val="24"/>
              </w:rPr>
              <w:t>UDA</w:t>
            </w:r>
            <w:r>
              <w:rPr>
                <w:rFonts w:hint="eastAsia" w:ascii="宋体" w:hAnsi="宋体"/>
                <w:sz w:val="24"/>
              </w:rPr>
              <w:t>）的逆变器故障诊断任务中，模型面临的核心挑战在于：源域（实验室环境）具有完备的故障标签，而目标域（实际电站环境）不仅缺乏标签，其数据分布还会因光照、温度、负载突变等工况变化产生剧烈的域偏移（</w:t>
            </w:r>
            <w:r>
              <w:rPr>
                <w:rFonts w:hint="eastAsia" w:eastAsia="楷体"/>
                <w:b w:val="0"/>
                <w:bCs/>
                <w:sz w:val="24"/>
              </w:rPr>
              <w:t>Domain Shift</w:t>
            </w:r>
            <w:r>
              <w:rPr>
                <w:rFonts w:hint="eastAsia" w:ascii="宋体" w:hAnsi="宋体"/>
                <w:sz w:val="24"/>
              </w:rPr>
              <w:t>）。原有的 ISGFAN 基准框架采用固定的梯度反转层（</w:t>
            </w:r>
            <w:r>
              <w:rPr>
                <w:rFonts w:hint="eastAsia" w:eastAsia="楷体"/>
                <w:b w:val="0"/>
                <w:bCs/>
                <w:sz w:val="24"/>
              </w:rPr>
              <w:t>GRL</w:t>
            </w:r>
            <w:r>
              <w:rPr>
                <w:rFonts w:hint="eastAsia" w:ascii="宋体" w:hAnsi="宋体"/>
                <w:sz w:val="24"/>
              </w:rPr>
              <w:t>）来实现全局域对齐，但在实际训练中，本研究发现这种“静态对抗”策略会导致严重的训练失稳。为了解决这一痛点，本课题提出了一种动态梯度增长调度机制（</w:t>
            </w:r>
            <w:r>
              <w:rPr>
                <w:rFonts w:hint="eastAsia" w:eastAsia="楷体"/>
                <w:b w:val="0"/>
                <w:bCs/>
                <w:sz w:val="24"/>
              </w:rPr>
              <w:t>Dynamic GRL Scheduling</w:t>
            </w:r>
            <w:r>
              <w:rPr>
                <w:rFonts w:hint="eastAsia" w:ascii="宋体" w:hAnsi="宋体"/>
                <w:sz w:val="24"/>
              </w:rPr>
              <w:t>），通过重构极小极大博弈目标，实现了跨工况特征的渐进式对齐。</w:t>
            </w:r>
          </w:p>
          <w:p w14:paraId="106E19A5">
            <w:pPr>
              <w:ind w:firstLine="480" w:firstLineChars="200"/>
              <w:rPr>
                <w:rFonts w:hint="default" w:ascii="宋体" w:hAnsi="宋体"/>
                <w:sz w:val="24"/>
                <w:lang w:val="en-US"/>
              </w:rPr>
            </w:pPr>
            <w:r>
              <w:rPr>
                <w:rFonts w:hint="eastAsia" w:ascii="宋体" w:hAnsi="宋体"/>
                <w:sz w:val="24"/>
              </w:rPr>
              <w:t xml:space="preserve"> 在深度域对抗网络中，特征对齐本质上是一个生成器与判别器相互博弈的过程。本研究将该过程严谨地建模为一个极小极大博弈（</w:t>
            </w:r>
            <w:r>
              <w:rPr>
                <w:rFonts w:hint="eastAsia" w:eastAsia="楷体"/>
                <w:b w:val="0"/>
                <w:bCs/>
                <w:sz w:val="24"/>
              </w:rPr>
              <w:t>Minimax Game</w:t>
            </w:r>
            <w:r>
              <w:rPr>
                <w:rFonts w:hint="eastAsia" w:ascii="宋体" w:hAnsi="宋体"/>
                <w:sz w:val="24"/>
              </w:rPr>
              <w:t>）。假设网络包含特征提取器 F、故障分类器 C 以及全局域判别器 D，其基础的对抗优化目标函数可表示为：</w:t>
            </w:r>
            <m:oMath>
              <m:r>
                <m:rPr/>
                <w:rPr>
                  <w:rFonts w:hint="eastAsia" w:ascii="Cambria Math" w:hAnsi="宋体"/>
                  <w:sz w:val="24"/>
                </w:rPr>
                <m:t xml:space="preserve">    </m:t>
              </m:r>
            </m:oMath>
          </w:p>
          <w:p w14:paraId="29E7476F">
            <w:pPr>
              <w:ind w:firstLine="420" w:firstLineChars="200"/>
              <w:jc w:val="center"/>
              <w:rPr>
                <w:rFonts w:hint="eastAsia" w:ascii="宋体" w:hAnsi="宋体"/>
                <w:sz w:val="24"/>
              </w:rPr>
            </w:pPr>
            <w:r>
              <w:drawing>
                <wp:inline distT="0" distB="0" distL="114300" distR="114300">
                  <wp:extent cx="3014980" cy="324485"/>
                  <wp:effectExtent l="0" t="0" r="1270" b="127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8"/>
                          <a:stretch>
                            <a:fillRect/>
                          </a:stretch>
                        </pic:blipFill>
                        <pic:spPr>
                          <a:xfrm>
                            <a:off x="0" y="0"/>
                            <a:ext cx="3014980" cy="324485"/>
                          </a:xfrm>
                          <a:prstGeom prst="rect">
                            <a:avLst/>
                          </a:prstGeom>
                          <a:noFill/>
                          <a:ln>
                            <a:noFill/>
                          </a:ln>
                        </pic:spPr>
                      </pic:pic>
                    </a:graphicData>
                  </a:graphic>
                </wp:inline>
              </w:drawing>
            </w:r>
          </w:p>
          <w:p w14:paraId="3B9FE7E3">
            <w:pPr>
              <w:ind w:firstLine="480" w:firstLineChars="200"/>
              <w:rPr>
                <w:rFonts w:hint="eastAsia" w:ascii="宋体" w:hAnsi="宋体"/>
                <w:sz w:val="24"/>
              </w:rPr>
            </w:pPr>
            <w:r>
              <w:rPr>
                <w:rFonts w:hint="eastAsia" w:ascii="宋体" w:hAnsi="宋体"/>
                <w:sz w:val="24"/>
              </w:rPr>
              <w:t>其中，</w:t>
            </w:r>
            <w:r>
              <w:rPr>
                <w:rFonts w:hint="eastAsia" w:eastAsia="楷体"/>
                <w:b w:val="0"/>
                <w:bCs/>
                <w:sz w:val="24"/>
              </w:rPr>
              <w:t>L</w:t>
            </w:r>
            <w:r>
              <w:rPr>
                <w:rFonts w:hint="eastAsia" w:eastAsia="楷体"/>
                <w:b w:val="0"/>
                <w:bCs/>
                <w:sz w:val="24"/>
                <w:vertAlign w:val="subscript"/>
              </w:rPr>
              <w:t>cls</w:t>
            </w:r>
            <w:r>
              <w:rPr>
                <w:rFonts w:hint="eastAsia" w:ascii="宋体" w:hAnsi="宋体"/>
                <w:sz w:val="24"/>
                <w:vertAlign w:val="subscript"/>
                <w:lang w:val="en-US" w:eastAsia="zh-CN"/>
              </w:rPr>
              <w:t xml:space="preserve"> </w:t>
            </w:r>
            <w:r>
              <w:rPr>
                <w:rFonts w:hint="eastAsia" w:ascii="宋体" w:hAnsi="宋体"/>
                <w:sz w:val="24"/>
              </w:rPr>
              <w:t>为源域有标签数据的故障分类交叉熵损失，旨在保障模型对基本故障模式的识别能力；</w:t>
            </w:r>
            <w:r>
              <w:rPr>
                <w:rFonts w:hint="eastAsia" w:ascii="宋体" w:hAnsi="宋体"/>
                <w:sz w:val="24"/>
                <w:lang w:val="en-US" w:eastAsia="zh-CN"/>
              </w:rPr>
              <w:t xml:space="preserve"> </w:t>
            </w:r>
            <w:r>
              <w:rPr>
                <w:rFonts w:hint="eastAsia" w:eastAsia="楷体"/>
                <w:b w:val="0"/>
                <w:bCs/>
                <w:sz w:val="24"/>
              </w:rPr>
              <w:t>L</w:t>
            </w:r>
            <w:r>
              <w:rPr>
                <w:rFonts w:hint="eastAsia" w:eastAsia="楷体"/>
                <w:b w:val="0"/>
                <w:bCs/>
                <w:sz w:val="24"/>
                <w:vertAlign w:val="subscript"/>
              </w:rPr>
              <w:t>dom</w:t>
            </w:r>
            <w:r>
              <w:rPr>
                <w:rFonts w:hint="eastAsia" w:ascii="宋体" w:hAnsi="宋体"/>
                <w:sz w:val="24"/>
                <w:vertAlign w:val="subscript"/>
                <w:lang w:val="en-US" w:eastAsia="zh-CN"/>
              </w:rPr>
              <w:t xml:space="preserve"> </w:t>
            </w:r>
            <w:r>
              <w:rPr>
                <w:rFonts w:hint="eastAsia" w:ascii="宋体" w:hAnsi="宋体"/>
                <w:sz w:val="24"/>
              </w:rPr>
              <w:t xml:space="preserve">为域判别损失，域判别器 D 试图最大化区分数据来源，而特征提取器 F 则试图最小化该差异以“欺骗” </w:t>
            </w:r>
            <w:r>
              <w:rPr>
                <w:rFonts w:hint="eastAsia" w:eastAsia="楷体"/>
                <w:b w:val="0"/>
                <w:bCs/>
                <w:sz w:val="24"/>
              </w:rPr>
              <w:t>D</w:t>
            </w:r>
            <w:r>
              <w:rPr>
                <w:rFonts w:hint="eastAsia" w:ascii="宋体" w:hAnsi="宋体"/>
                <w:sz w:val="24"/>
              </w:rPr>
              <w:t>。参数 λ 作为梯度反转系数，直接决定了反向传播时 F 接收到的对抗梯度强度。</w:t>
            </w:r>
          </w:p>
          <w:p w14:paraId="3FAB7E0B">
            <w:pPr>
              <w:ind w:firstLine="480" w:firstLineChars="200"/>
              <w:rPr>
                <w:rFonts w:hint="eastAsia" w:ascii="宋体" w:hAnsi="宋体"/>
                <w:sz w:val="24"/>
              </w:rPr>
            </w:pPr>
            <w:r>
              <w:rPr>
                <w:rFonts w:hint="eastAsia" w:ascii="宋体" w:hAnsi="宋体"/>
                <w:sz w:val="24"/>
              </w:rPr>
              <w:t>在传统的</w:t>
            </w:r>
            <w:r>
              <w:rPr>
                <w:rFonts w:hint="eastAsia" w:eastAsia="楷体"/>
                <w:b w:val="0"/>
                <w:bCs/>
                <w:sz w:val="24"/>
              </w:rPr>
              <w:t xml:space="preserve"> UDA </w:t>
            </w:r>
            <w:r>
              <w:rPr>
                <w:rFonts w:hint="eastAsia" w:ascii="宋体" w:hAnsi="宋体"/>
                <w:sz w:val="24"/>
              </w:rPr>
              <w:t xml:space="preserve">方法中，λ 通常被设定为固定常数（如 1.0）。然而，在逆变器多工况训练初期，特征提取器 F 尚未建立起对“开路”、“短路”等基础故障波形的有效表征能力。此时若引入极强的 λ，域判别器 </w:t>
            </w:r>
            <w:r>
              <w:rPr>
                <w:rFonts w:hint="eastAsia" w:eastAsia="楷体"/>
                <w:b w:val="0"/>
                <w:bCs/>
                <w:sz w:val="24"/>
              </w:rPr>
              <w:t>D</w:t>
            </w:r>
            <w:r>
              <w:rPr>
                <w:rFonts w:hint="eastAsia" w:ascii="宋体" w:hAnsi="宋体"/>
                <w:sz w:val="24"/>
              </w:rPr>
              <w:t xml:space="preserve"> 传回的庞大梯度会瞬间淹没分类器 </w:t>
            </w:r>
            <w:r>
              <w:rPr>
                <w:rFonts w:hint="eastAsia" w:eastAsia="楷体"/>
                <w:b w:val="0"/>
                <w:bCs/>
                <w:sz w:val="24"/>
              </w:rPr>
              <w:t>C</w:t>
            </w:r>
            <w:r>
              <w:rPr>
                <w:rFonts w:hint="eastAsia" w:ascii="宋体" w:hAnsi="宋体"/>
                <w:sz w:val="24"/>
              </w:rPr>
              <w:t xml:space="preserve"> 的主线梯度，导致特征空间发生剧烈震荡甚至“特征塌陷”。</w:t>
            </w:r>
          </w:p>
          <w:p w14:paraId="0105C1C8">
            <w:pPr>
              <w:ind w:firstLine="480" w:firstLineChars="200"/>
              <w:rPr>
                <w:rFonts w:hint="eastAsia" w:ascii="宋体" w:hAnsi="宋体"/>
                <w:sz w:val="24"/>
              </w:rPr>
            </w:pPr>
            <w:r>
              <w:rPr>
                <w:rFonts w:hint="eastAsia" w:ascii="宋体" w:hAnsi="宋体"/>
                <w:sz w:val="24"/>
              </w:rPr>
              <w:t>基于此，本课题提出“先分类稳定，后迁移对齐”的渐进式学习策略，设计了基于训练进度 p 的动态调度函数：</w:t>
            </w:r>
          </w:p>
          <w:p w14:paraId="2B78A72E">
            <w:pPr>
              <w:ind w:firstLine="420" w:firstLineChars="200"/>
              <w:jc w:val="center"/>
              <w:rPr>
                <w:rFonts w:hint="eastAsia" w:ascii="宋体" w:hAnsi="宋体"/>
                <w:sz w:val="24"/>
              </w:rPr>
            </w:pPr>
            <w:r>
              <w:drawing>
                <wp:inline distT="0" distB="0" distL="114300" distR="114300">
                  <wp:extent cx="2047240" cy="518160"/>
                  <wp:effectExtent l="0" t="0" r="3810" b="63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9"/>
                          <a:stretch>
                            <a:fillRect/>
                          </a:stretch>
                        </pic:blipFill>
                        <pic:spPr>
                          <a:xfrm>
                            <a:off x="0" y="0"/>
                            <a:ext cx="2047240" cy="518160"/>
                          </a:xfrm>
                          <a:prstGeom prst="rect">
                            <a:avLst/>
                          </a:prstGeom>
                          <a:noFill/>
                          <a:ln>
                            <a:noFill/>
                          </a:ln>
                        </pic:spPr>
                      </pic:pic>
                    </a:graphicData>
                  </a:graphic>
                </wp:inline>
              </w:drawing>
            </w:r>
          </w:p>
          <w:p w14:paraId="7756D523">
            <w:pPr>
              <w:ind w:firstLine="480" w:firstLineChars="200"/>
              <w:rPr>
                <w:rFonts w:hint="eastAsia" w:ascii="宋体" w:hAnsi="宋体"/>
                <w:sz w:val="24"/>
              </w:rPr>
            </w:pPr>
            <w:r>
              <w:rPr>
                <w:rFonts w:hint="eastAsia" w:ascii="宋体" w:hAnsi="宋体"/>
                <w:sz w:val="24"/>
              </w:rPr>
              <w:t>其中γ</w:t>
            </w:r>
            <w:r>
              <w:rPr>
                <w:rFonts w:hint="default" w:ascii="宋体" w:hAnsi="宋体"/>
                <w:sz w:val="24"/>
              </w:rPr>
              <w:t>控制增长速度。</w:t>
            </w:r>
            <w:r>
              <w:rPr>
                <w:rFonts w:hint="eastAsia" w:ascii="宋体" w:hAnsi="宋体"/>
                <w:sz w:val="24"/>
              </w:rPr>
              <w:t>该函数具有深度的训练动力学意义：</w:t>
            </w:r>
          </w:p>
          <w:p w14:paraId="76FA6DD3">
            <w:pPr>
              <w:ind w:firstLine="480" w:firstLineChars="200"/>
              <w:rPr>
                <w:rFonts w:hint="eastAsia" w:ascii="宋体" w:hAnsi="宋体"/>
                <w:sz w:val="24"/>
              </w:rPr>
            </w:pPr>
            <w:r>
              <w:rPr>
                <w:rFonts w:hint="eastAsia" w:ascii="宋体" w:hAnsi="宋体"/>
                <w:sz w:val="24"/>
              </w:rPr>
              <w:t>训练进度映射：</w:t>
            </w:r>
            <w:r>
              <w:rPr>
                <w:rFonts w:hint="eastAsia" w:eastAsia="楷体"/>
                <w:b w:val="0"/>
                <w:bCs/>
                <w:sz w:val="24"/>
              </w:rPr>
              <w:t>p</w:t>
            </w:r>
            <w:r>
              <w:rPr>
                <w:rFonts w:hint="eastAsia" w:ascii="宋体" w:hAnsi="宋体"/>
                <w:sz w:val="24"/>
              </w:rPr>
              <w:t xml:space="preserve"> 定义为当前迭代次数与总迭代次数的比值（</w:t>
            </w:r>
            <w:r>
              <w:rPr>
                <w:rFonts w:hint="eastAsia" w:eastAsia="楷体"/>
                <w:b w:val="0"/>
                <w:bCs/>
                <w:sz w:val="24"/>
              </w:rPr>
              <w:t>p</w:t>
            </w:r>
            <w:r>
              <w:rPr>
                <w:rFonts w:hint="eastAsia" w:ascii="宋体" w:hAnsi="宋体"/>
                <w:sz w:val="24"/>
              </w:rPr>
              <w:t>∈[0,1]）。</w:t>
            </w:r>
          </w:p>
          <w:p w14:paraId="701C3821">
            <w:pPr>
              <w:ind w:firstLine="480" w:firstLineChars="200"/>
              <w:rPr>
                <w:rFonts w:hint="eastAsia" w:ascii="宋体" w:hAnsi="宋体"/>
                <w:sz w:val="24"/>
              </w:rPr>
            </w:pPr>
            <w:r>
              <w:rPr>
                <w:rFonts w:hint="eastAsia" w:ascii="宋体" w:hAnsi="宋体"/>
                <w:sz w:val="24"/>
              </w:rPr>
              <w:t xml:space="preserve">初期休眠与特征预热：当 </w:t>
            </w:r>
            <w:r>
              <w:rPr>
                <w:rFonts w:hint="eastAsia" w:eastAsia="楷体"/>
                <w:b w:val="0"/>
                <w:bCs/>
                <w:sz w:val="24"/>
              </w:rPr>
              <w:t>p</w:t>
            </w:r>
            <w:r>
              <w:rPr>
                <w:rFonts w:hint="eastAsia" w:ascii="宋体" w:hAnsi="宋体"/>
                <w:sz w:val="24"/>
              </w:rPr>
              <w:t xml:space="preserve"> 接近 0 时，λ(</w:t>
            </w:r>
            <w:r>
              <w:rPr>
                <w:rFonts w:hint="eastAsia" w:eastAsia="楷体"/>
                <w:b w:val="0"/>
                <w:bCs/>
                <w:sz w:val="24"/>
              </w:rPr>
              <w:t>p</w:t>
            </w:r>
            <w:r>
              <w:rPr>
                <w:rFonts w:hint="eastAsia" w:ascii="宋体" w:hAnsi="宋体"/>
                <w:sz w:val="24"/>
              </w:rPr>
              <w:t>)≈0。此时对抗机制近乎“休眠”，网络退化为标准监督学习模式。模型得以在不受目标域噪声干扰的情况下，优先且专注地学习源域逆变器信号的本征物理特征（如电压暂降幅度、电流谐波分布），构建出清晰的初始分类决策边界。</w:t>
            </w:r>
          </w:p>
          <w:p w14:paraId="538ABC00">
            <w:pPr>
              <w:ind w:firstLine="480" w:firstLineChars="200"/>
              <w:rPr>
                <w:rFonts w:hint="eastAsia" w:ascii="宋体" w:hAnsi="宋体"/>
                <w:sz w:val="24"/>
              </w:rPr>
            </w:pPr>
            <w:r>
              <w:rPr>
                <w:rFonts w:hint="eastAsia" w:ascii="宋体" w:hAnsi="宋体"/>
                <w:sz w:val="24"/>
              </w:rPr>
              <w:t>中期平滑过渡：随着训练推进，函数呈现 Sigmoid 型的非线性单调递增。参数 γ（通常设为 10）控制着曲线的增长斜率。此时对抗强度平滑上升，引导模型在维持分类能力的同时，逐步启动对目标域数据的适应性调整。</w:t>
            </w:r>
          </w:p>
          <w:p w14:paraId="41A64A91">
            <w:pPr>
              <w:ind w:firstLine="480" w:firstLineChars="200"/>
              <w:rPr>
                <w:rFonts w:hint="eastAsia" w:ascii="宋体" w:hAnsi="宋体"/>
                <w:sz w:val="24"/>
              </w:rPr>
            </w:pPr>
            <w:r>
              <w:rPr>
                <w:rFonts w:hint="eastAsia" w:ascii="宋体" w:hAnsi="宋体"/>
                <w:sz w:val="24"/>
              </w:rPr>
              <w:t>后期深度博弈：当 p→1 时，λ(p)→1。模型进入完全的对抗状态，强力抹除源域与目标域在全局特征流形上的残余边缘分布差异。</w:t>
            </w:r>
          </w:p>
          <w:p w14:paraId="4A3073ED">
            <w:pPr>
              <w:ind w:firstLine="480" w:firstLineChars="200"/>
              <w:rPr>
                <w:rFonts w:hint="eastAsia" w:ascii="宋体" w:hAnsi="宋体"/>
                <w:sz w:val="24"/>
              </w:rPr>
            </w:pPr>
            <w:r>
              <w:rPr>
                <w:rFonts w:hint="eastAsia" w:ascii="宋体" w:hAnsi="宋体"/>
                <w:sz w:val="24"/>
              </w:rPr>
              <w:t xml:space="preserve">为了将上述动态对抗策略完美嵌入到 </w:t>
            </w:r>
            <w:r>
              <w:rPr>
                <w:rFonts w:hint="eastAsia" w:eastAsia="楷体"/>
                <w:b w:val="0"/>
                <w:bCs/>
                <w:sz w:val="24"/>
              </w:rPr>
              <w:t>ISGFAN</w:t>
            </w:r>
            <w:r>
              <w:rPr>
                <w:rFonts w:hint="eastAsia" w:ascii="宋体" w:hAnsi="宋体"/>
                <w:sz w:val="24"/>
              </w:rPr>
              <w:t xml:space="preserve"> 的“信息分离”架构中，本课题构建全局协同优化的总损失函数</w:t>
            </w:r>
            <w:r>
              <w:rPr>
                <w:rFonts w:hint="eastAsia" w:ascii="宋体" w:hAnsi="宋体"/>
                <w:sz w:val="24"/>
                <w:lang w:val="en-US" w:eastAsia="zh-CN"/>
              </w:rPr>
              <w:t>如下</w:t>
            </w:r>
            <w:r>
              <w:rPr>
                <w:rFonts w:hint="eastAsia" w:ascii="宋体" w:hAnsi="宋体"/>
                <w:sz w:val="24"/>
              </w:rPr>
              <w:t>：</w:t>
            </w:r>
          </w:p>
          <w:p w14:paraId="3E373199">
            <w:pPr>
              <w:ind w:firstLine="420" w:firstLineChars="200"/>
              <w:jc w:val="center"/>
              <w:rPr>
                <w:rFonts w:hint="eastAsia" w:ascii="宋体" w:hAnsi="宋体"/>
                <w:sz w:val="24"/>
              </w:rPr>
            </w:pPr>
            <w:r>
              <w:drawing>
                <wp:inline distT="0" distB="0" distL="114300" distR="114300">
                  <wp:extent cx="2814320" cy="482600"/>
                  <wp:effectExtent l="0" t="0" r="8890" b="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0"/>
                          <a:stretch>
                            <a:fillRect/>
                          </a:stretch>
                        </pic:blipFill>
                        <pic:spPr>
                          <a:xfrm>
                            <a:off x="0" y="0"/>
                            <a:ext cx="2814320" cy="482600"/>
                          </a:xfrm>
                          <a:prstGeom prst="rect">
                            <a:avLst/>
                          </a:prstGeom>
                          <a:noFill/>
                          <a:ln>
                            <a:noFill/>
                          </a:ln>
                        </pic:spPr>
                      </pic:pic>
                    </a:graphicData>
                  </a:graphic>
                </wp:inline>
              </w:drawing>
            </w:r>
          </w:p>
          <w:p w14:paraId="75509BEE">
            <w:pPr>
              <w:ind w:firstLine="480" w:firstLineChars="200"/>
              <w:rPr>
                <w:rFonts w:hint="eastAsia" w:ascii="宋体" w:hAnsi="宋体"/>
                <w:sz w:val="24"/>
              </w:rPr>
            </w:pPr>
            <w:r>
              <w:rPr>
                <w:rFonts w:hint="eastAsia" w:ascii="宋体" w:hAnsi="宋体"/>
                <w:sz w:val="24"/>
              </w:rPr>
              <w:t xml:space="preserve">该综合损失函数实现了多任务约束的统一：主任务损失 </w:t>
            </w:r>
            <w:r>
              <w:rPr>
                <w:rFonts w:hint="eastAsia" w:eastAsia="楷体"/>
                <w:b w:val="0"/>
                <w:bCs/>
                <w:sz w:val="24"/>
              </w:rPr>
              <w:t>L</w:t>
            </w:r>
            <w:r>
              <w:rPr>
                <w:rFonts w:hint="eastAsia" w:ascii="宋体" w:hAnsi="宋体"/>
                <w:sz w:val="24"/>
                <w:vertAlign w:val="subscript"/>
              </w:rPr>
              <w:t>cls</w:t>
            </w:r>
            <w:r>
              <w:rPr>
                <w:rFonts w:hint="eastAsia" w:ascii="宋体" w:hAnsi="宋体"/>
                <w:sz w:val="24"/>
              </w:rPr>
              <w:t xml:space="preserve">提供故障语义监督；动态对抗损失 </w:t>
            </w:r>
            <w:r>
              <w:rPr>
                <w:rFonts w:hint="eastAsia" w:eastAsia="楷体"/>
                <w:b w:val="0"/>
                <w:bCs/>
                <w:sz w:val="24"/>
              </w:rPr>
              <w:t>λ(p)L</w:t>
            </w:r>
            <w:r>
              <w:rPr>
                <w:rFonts w:hint="eastAsia" w:eastAsia="楷体"/>
                <w:b w:val="0"/>
                <w:bCs/>
                <w:sz w:val="24"/>
                <w:vertAlign w:val="subscript"/>
              </w:rPr>
              <w:t>adv</w:t>
            </w:r>
            <w:r>
              <w:rPr>
                <w:rFonts w:hint="eastAsia" w:ascii="宋体" w:hAnsi="宋体"/>
                <w:sz w:val="24"/>
              </w:rPr>
              <w:t xml:space="preserve">负责稳定且渐进的全局域不变特征提取；而辅助约束项 </w:t>
            </w:r>
            <w:r>
              <w:rPr>
                <w:rFonts w:hint="eastAsia" w:eastAsia="楷体"/>
                <w:b w:val="0"/>
                <w:bCs/>
                <w:sz w:val="24"/>
              </w:rPr>
              <w:t>∑α</w:t>
            </w:r>
            <w:r>
              <w:rPr>
                <w:rFonts w:hint="eastAsia" w:ascii="宋体" w:hAnsi="宋体"/>
                <w:sz w:val="24"/>
                <w:vertAlign w:val="subscript"/>
              </w:rPr>
              <w:t>k</w:t>
            </w:r>
            <w:r>
              <w:rPr>
                <w:rFonts w:hint="eastAsia" w:eastAsia="楷体"/>
                <w:b w:val="0"/>
                <w:bCs/>
                <w:sz w:val="24"/>
              </w:rPr>
              <w:t>L</w:t>
            </w:r>
            <w:r>
              <w:rPr>
                <w:rFonts w:hint="eastAsia" w:ascii="宋体" w:hAnsi="宋体"/>
                <w:sz w:val="24"/>
                <w:vertAlign w:val="subscript"/>
              </w:rPr>
              <w:t>k</w:t>
            </w:r>
            <w:r>
              <w:rPr>
                <w:rFonts w:hint="eastAsia" w:ascii="宋体" w:hAnsi="宋体"/>
                <w:sz w:val="24"/>
              </w:rPr>
              <w:t>则继承了原框架的精髓（包含特征正交正则化项等），用于约束任务相关特征与域私有噪声的解耦分离。动态机制的引入，使得主任务、对抗任务与分离任务在不同训练阶段达到了完美的梯度平衡。</w:t>
            </w:r>
          </w:p>
          <w:p w14:paraId="7EE23C24">
            <w:pPr>
              <w:rPr>
                <w:rFonts w:hint="eastAsia" w:ascii="宋体" w:hAnsi="宋体"/>
                <w:sz w:val="24"/>
              </w:rPr>
            </w:pPr>
          </w:p>
          <w:p w14:paraId="3296C820">
            <w:pPr>
              <w:ind w:firstLine="480" w:firstLineChars="200"/>
              <w:rPr>
                <w:rFonts w:hint="eastAsia" w:ascii="宋体" w:hAnsi="宋体"/>
                <w:sz w:val="24"/>
              </w:rPr>
            </w:pPr>
            <w:r>
              <w:rPr>
                <w:rFonts w:hint="eastAsia" w:ascii="宋体" w:hAnsi="宋体"/>
                <w:sz w:val="24"/>
              </w:rPr>
              <w:t xml:space="preserve">综上所述，引入动态 </w:t>
            </w:r>
            <w:r>
              <w:rPr>
                <w:rFonts w:hint="eastAsia" w:eastAsia="楷体"/>
                <w:b w:val="0"/>
                <w:bCs/>
                <w:sz w:val="24"/>
              </w:rPr>
              <w:t>GRL</w:t>
            </w:r>
            <w:r>
              <w:rPr>
                <w:rFonts w:hint="eastAsia" w:ascii="宋体" w:hAnsi="宋体"/>
                <w:sz w:val="24"/>
              </w:rPr>
              <w:t xml:space="preserve"> 调度机制在理论与实际工程中具备三项显著优势：首先，显著提升了训练鲁棒性。通过动态控制梯度反转强度，从根本上避免了域判别器过早收敛（</w:t>
            </w:r>
            <w:r>
              <w:rPr>
                <w:rFonts w:hint="eastAsia" w:eastAsia="楷体"/>
                <w:b w:val="0"/>
                <w:bCs/>
                <w:sz w:val="24"/>
              </w:rPr>
              <w:t>Over-optimization</w:t>
            </w:r>
            <w:r>
              <w:rPr>
                <w:rFonts w:hint="eastAsia" w:ascii="宋体" w:hAnsi="宋体"/>
                <w:sz w:val="24"/>
              </w:rPr>
              <w:t>）导致的梯度消失问题，确保了极小极大博弈的纳什均衡；其次，改善了跨域特征分布的一致性。渐进式的对抗策略给予了特征提取网络充足的缓冲空间，使其能够更从容地寻找多工况信号背后的共性物理规律； 最后，有效降低了性能衰减与负迁移风险。在面对如光照骤变、电网电压跌落等极端目标域工况时，“先分类后对齐”的策略确保了模型底层的故障判别逻辑不会被域对齐过程破坏。</w:t>
            </w:r>
          </w:p>
          <w:p w14:paraId="09367DEC">
            <w:pPr>
              <w:ind w:firstLine="480" w:firstLineChars="200"/>
              <w:rPr>
                <w:rFonts w:hint="eastAsia" w:ascii="宋体" w:hAnsi="宋体"/>
                <w:sz w:val="24"/>
              </w:rPr>
            </w:pPr>
          </w:p>
          <w:p w14:paraId="3DE3C9C9">
            <w:pPr>
              <w:rPr>
                <w:rFonts w:hint="eastAsia" w:ascii="宋体" w:hAnsi="宋体"/>
                <w:sz w:val="24"/>
              </w:rPr>
            </w:pPr>
            <w:r>
              <w:rPr>
                <w:rFonts w:hint="eastAsia" w:ascii="宋体" w:hAnsi="宋体"/>
                <w:sz w:val="24"/>
              </w:rPr>
              <w:t>3</w:t>
            </w:r>
            <w:r>
              <w:rPr>
                <w:rFonts w:hint="eastAsia" w:ascii="宋体" w:hAnsi="宋体"/>
                <w:sz w:val="24"/>
                <w:lang w:val="en-US" w:eastAsia="zh-CN"/>
              </w:rPr>
              <w:t>.</w:t>
            </w:r>
            <w:r>
              <w:rPr>
                <w:rFonts w:hint="eastAsia" w:ascii="宋体" w:hAnsi="宋体"/>
                <w:sz w:val="24"/>
              </w:rPr>
              <w:t xml:space="preserve"> 创新点二：基于目标熵课程学习（</w:t>
            </w:r>
            <w:r>
              <w:rPr>
                <w:rFonts w:hint="eastAsia" w:eastAsia="楷体"/>
                <w:b w:val="0"/>
                <w:bCs/>
                <w:sz w:val="24"/>
              </w:rPr>
              <w:t>TEC</w:t>
            </w:r>
            <w:r>
              <w:rPr>
                <w:rFonts w:hint="eastAsia" w:ascii="宋体" w:hAnsi="宋体"/>
                <w:sz w:val="24"/>
              </w:rPr>
              <w:t>）的抗噪优化与判别增强</w:t>
            </w:r>
          </w:p>
          <w:p w14:paraId="30EA54B6">
            <w:pPr>
              <w:ind w:firstLine="480" w:firstLineChars="200"/>
              <w:rPr>
                <w:rFonts w:hint="eastAsia" w:ascii="宋体" w:hAnsi="宋体"/>
                <w:sz w:val="24"/>
              </w:rPr>
            </w:pPr>
            <w:r>
              <w:rPr>
                <w:rFonts w:hint="eastAsia" w:ascii="宋体" w:hAnsi="宋体"/>
                <w:sz w:val="24"/>
              </w:rPr>
              <w:t>在原 ISGFAN 框架的焦点自适应（</w:t>
            </w:r>
            <w:r>
              <w:rPr>
                <w:rFonts w:hint="eastAsia" w:eastAsia="楷体"/>
                <w:b w:val="0"/>
                <w:bCs/>
                <w:sz w:val="24"/>
              </w:rPr>
              <w:t>Focal Adaptation</w:t>
            </w:r>
            <w:r>
              <w:rPr>
                <w:rFonts w:hint="eastAsia" w:ascii="宋体" w:hAnsi="宋体"/>
                <w:sz w:val="24"/>
              </w:rPr>
              <w:t>）阶段，模型高度依赖目标域伪标签进行子域划分。然而，逆变器在跨越极大工况差异（如负载突变、强干扰）时，初期产生的目标域伪标签往往伴随极高的噪声比例。若盲目进行全量样本对齐，极易引发模型对错误边界的过拟合，即确认偏差（</w:t>
            </w:r>
            <w:r>
              <w:rPr>
                <w:rFonts w:hint="eastAsia" w:eastAsia="楷体"/>
                <w:b w:val="0"/>
                <w:bCs/>
                <w:sz w:val="24"/>
              </w:rPr>
              <w:t>Confirmation Bias</w:t>
            </w:r>
            <w:r>
              <w:rPr>
                <w:rFonts w:hint="eastAsia" w:ascii="宋体" w:hAnsi="宋体"/>
                <w:sz w:val="24"/>
              </w:rPr>
              <w:t>）。</w:t>
            </w:r>
          </w:p>
          <w:p w14:paraId="0FB0116A">
            <w:pPr>
              <w:ind w:firstLine="480" w:firstLineChars="200"/>
              <w:rPr>
                <w:rFonts w:hint="eastAsia" w:ascii="宋体" w:hAnsi="宋体"/>
                <w:sz w:val="24"/>
              </w:rPr>
            </w:pPr>
            <w:r>
              <w:rPr>
                <w:rFonts w:hint="eastAsia" w:ascii="宋体" w:hAnsi="宋体"/>
                <w:sz w:val="24"/>
              </w:rPr>
              <w:t>为此，本研究在 ISGFAN 架构中创新性地引入了目标熵课程学习（</w:t>
            </w:r>
            <w:r>
              <w:rPr>
                <w:rFonts w:hint="eastAsia" w:eastAsia="楷体"/>
                <w:b w:val="0"/>
                <w:bCs/>
                <w:sz w:val="24"/>
              </w:rPr>
              <w:t>Target Entropy Curriculum, TEC</w:t>
            </w:r>
            <w:r>
              <w:rPr>
                <w:rFonts w:hint="eastAsia" w:ascii="宋体" w:hAnsi="宋体"/>
                <w:sz w:val="24"/>
              </w:rPr>
              <w:t>）机制。该机制并非简单地剔除样本，而是构建了一套“样本动态选择 + 课程化熵正则”的联合优化策略。</w:t>
            </w:r>
          </w:p>
          <w:p w14:paraId="7443E494">
            <w:pPr>
              <w:ind w:firstLine="480" w:firstLineChars="200"/>
              <w:rPr>
                <w:rFonts w:hint="eastAsia" w:ascii="宋体" w:hAnsi="宋体"/>
                <w:sz w:val="24"/>
              </w:rPr>
            </w:pPr>
          </w:p>
          <w:p w14:paraId="5B1FE54A">
            <w:pPr>
              <w:ind w:firstLine="480" w:firstLineChars="200"/>
              <w:rPr>
                <w:rFonts w:hint="eastAsia" w:ascii="宋体" w:hAnsi="宋体"/>
                <w:sz w:val="24"/>
              </w:rPr>
            </w:pPr>
            <w:r>
              <w:rPr>
                <w:rFonts w:hint="eastAsia" w:ascii="宋体" w:hAnsi="宋体"/>
                <w:sz w:val="24"/>
              </w:rPr>
              <w:t>为量化伪标签的不确定性，本研究采用信息熵</w:t>
            </w:r>
            <w:r>
              <w:rPr>
                <w:rFonts w:hint="eastAsia" w:ascii="宋体" w:hAnsi="宋体"/>
                <w:sz w:val="24"/>
                <w:lang w:val="en-US" w:eastAsia="zh-CN"/>
              </w:rPr>
              <w:t xml:space="preserve"> </w:t>
            </w:r>
            <w:r>
              <w:rPr>
                <w:rFonts w:hint="eastAsia" w:ascii="宋体" w:hAnsi="宋体"/>
                <w:sz w:val="24"/>
              </w:rPr>
              <w:t>H(x</w:t>
            </w:r>
            <w:r>
              <w:rPr>
                <w:rFonts w:hint="eastAsia" w:ascii="宋体" w:hAnsi="宋体"/>
                <w:sz w:val="24"/>
                <w:vertAlign w:val="subscript"/>
              </w:rPr>
              <w:t>t</w:t>
            </w:r>
            <w:r>
              <w:rPr>
                <w:rFonts w:hint="eastAsia" w:ascii="宋体" w:hAnsi="宋体"/>
                <w:sz w:val="24"/>
              </w:rPr>
              <w:t>) 作为核心度量指标：</w:t>
            </w:r>
          </w:p>
          <w:p w14:paraId="06AA55B1">
            <w:pPr>
              <w:ind w:firstLine="420" w:firstLineChars="200"/>
              <w:jc w:val="center"/>
              <w:rPr>
                <w:rFonts w:hint="eastAsia" w:ascii="宋体" w:hAnsi="宋体"/>
                <w:sz w:val="24"/>
              </w:rPr>
            </w:pPr>
            <w:r>
              <w:drawing>
                <wp:inline distT="0" distB="0" distL="114300" distR="114300">
                  <wp:extent cx="2445385" cy="514985"/>
                  <wp:effectExtent l="0" t="0" r="3810" b="381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11"/>
                          <a:stretch>
                            <a:fillRect/>
                          </a:stretch>
                        </pic:blipFill>
                        <pic:spPr>
                          <a:xfrm>
                            <a:off x="0" y="0"/>
                            <a:ext cx="2445385" cy="514985"/>
                          </a:xfrm>
                          <a:prstGeom prst="rect">
                            <a:avLst/>
                          </a:prstGeom>
                          <a:noFill/>
                          <a:ln>
                            <a:noFill/>
                          </a:ln>
                        </pic:spPr>
                      </pic:pic>
                    </a:graphicData>
                  </a:graphic>
                </wp:inline>
              </w:drawing>
            </w:r>
          </w:p>
          <w:p w14:paraId="272BDB71">
            <w:pPr>
              <w:ind w:firstLine="480" w:firstLineChars="200"/>
              <w:rPr>
                <w:rFonts w:hint="eastAsia" w:ascii="宋体" w:hAnsi="宋体"/>
                <w:sz w:val="24"/>
              </w:rPr>
            </w:pPr>
            <w:r>
              <w:rPr>
                <w:rFonts w:hint="eastAsia" w:ascii="宋体" w:hAnsi="宋体"/>
                <w:sz w:val="24"/>
              </w:rPr>
              <w:t xml:space="preserve">其中 </w:t>
            </w:r>
            <w:r>
              <w:rPr>
                <w:rFonts w:hint="eastAsia" w:eastAsia="楷体"/>
                <w:b w:val="0"/>
                <w:bCs/>
                <w:sz w:val="24"/>
              </w:rPr>
              <w:t>p</w:t>
            </w:r>
            <w:r>
              <w:rPr>
                <w:rFonts w:hint="eastAsia" w:ascii="宋体" w:hAnsi="宋体"/>
                <w:sz w:val="24"/>
                <w:vertAlign w:val="subscript"/>
              </w:rPr>
              <w:t>c</w:t>
            </w:r>
            <w:r>
              <w:rPr>
                <w:rFonts w:hint="eastAsia" w:ascii="宋体" w:hAnsi="宋体"/>
                <w:sz w:val="24"/>
              </w:rPr>
              <w:t>(</w:t>
            </w:r>
            <w:r>
              <w:rPr>
                <w:rFonts w:hint="eastAsia" w:eastAsia="楷体"/>
                <w:b w:val="0"/>
                <w:bCs/>
                <w:sz w:val="24"/>
              </w:rPr>
              <w:t>x</w:t>
            </w:r>
            <w:r>
              <w:rPr>
                <w:rFonts w:hint="eastAsia" w:ascii="宋体" w:hAnsi="宋体"/>
                <w:sz w:val="24"/>
                <w:vertAlign w:val="subscript"/>
              </w:rPr>
              <w:t>t</w:t>
            </w:r>
            <w:r>
              <w:rPr>
                <w:rFonts w:hint="eastAsia" w:ascii="宋体" w:hAnsi="宋体"/>
                <w:sz w:val="24"/>
              </w:rPr>
              <w:t>) 为目标域样本属于第 c 类故障的预测概率。熵值越小，表征模型预测越集中、置信度越高。基于此，系统在每次迭代时，仅动态筛选出熵值低于特定阈值的高置信样本，构建出可靠目标域子集 S</w:t>
            </w:r>
            <w:r>
              <w:rPr>
                <w:rFonts w:hint="eastAsia" w:ascii="宋体" w:hAnsi="宋体"/>
                <w:sz w:val="24"/>
                <w:vertAlign w:val="subscript"/>
              </w:rPr>
              <w:t>t</w:t>
            </w:r>
            <w:r>
              <w:rPr>
                <w:rFonts w:hint="eastAsia" w:ascii="宋体" w:hAnsi="宋体"/>
                <w:sz w:val="24"/>
                <w:vertAlign w:val="subscript"/>
                <w:lang w:val="en-US" w:eastAsia="zh-CN"/>
              </w:rPr>
              <w:t xml:space="preserve"> </w:t>
            </w:r>
            <w:r>
              <w:rPr>
                <w:rFonts w:hint="eastAsia" w:ascii="宋体" w:hAnsi="宋体"/>
                <w:sz w:val="24"/>
              </w:rPr>
              <w:t>。</w:t>
            </w:r>
          </w:p>
          <w:p w14:paraId="2361D23C">
            <w:pPr>
              <w:ind w:firstLine="480" w:firstLineChars="200"/>
              <w:rPr>
                <w:rFonts w:hint="eastAsia" w:ascii="宋体" w:hAnsi="宋体"/>
                <w:sz w:val="24"/>
              </w:rPr>
            </w:pPr>
          </w:p>
          <w:p w14:paraId="4A7BFFB6">
            <w:pPr>
              <w:ind w:firstLine="480" w:firstLineChars="200"/>
              <w:rPr>
                <w:rFonts w:hint="eastAsia" w:ascii="宋体" w:hAnsi="宋体"/>
                <w:sz w:val="24"/>
              </w:rPr>
            </w:pPr>
            <w:r>
              <w:rPr>
                <w:rFonts w:hint="eastAsia" w:ascii="宋体" w:hAnsi="宋体"/>
                <w:sz w:val="24"/>
              </w:rPr>
              <w:t xml:space="preserve">与传统 </w:t>
            </w:r>
            <w:r>
              <w:rPr>
                <w:rFonts w:hint="eastAsia" w:eastAsia="楷体"/>
                <w:b w:val="0"/>
                <w:bCs/>
                <w:sz w:val="24"/>
              </w:rPr>
              <w:t>UDA</w:t>
            </w:r>
            <w:r>
              <w:rPr>
                <w:rFonts w:hint="eastAsia" w:ascii="宋体" w:hAnsi="宋体"/>
                <w:sz w:val="24"/>
              </w:rPr>
              <w:t xml:space="preserve"> 方法仅优化对齐距离不同，本研究在筛选出的高可靠子集 </w:t>
            </w:r>
            <w:r>
              <w:rPr>
                <w:rFonts w:hint="eastAsia" w:eastAsia="楷体"/>
                <w:b w:val="0"/>
                <w:bCs/>
                <w:sz w:val="24"/>
              </w:rPr>
              <w:t>S</w:t>
            </w:r>
            <w:r>
              <w:rPr>
                <w:rFonts w:hint="eastAsia" w:ascii="宋体" w:hAnsi="宋体"/>
                <w:sz w:val="24"/>
                <w:vertAlign w:val="subscript"/>
              </w:rPr>
              <w:t>t</w:t>
            </w:r>
            <w:r>
              <w:rPr>
                <w:rFonts w:hint="eastAsia" w:ascii="宋体" w:hAnsi="宋体"/>
                <w:sz w:val="24"/>
                <w:vertAlign w:val="subscript"/>
                <w:lang w:val="en-US" w:eastAsia="zh-CN"/>
              </w:rPr>
              <w:t xml:space="preserve"> </w:t>
            </w:r>
            <w:r>
              <w:rPr>
                <w:rFonts w:hint="eastAsia" w:ascii="宋体" w:hAnsi="宋体"/>
                <w:sz w:val="24"/>
              </w:rPr>
              <w:t>上，施加了额外的目标熵惩罚项：</w:t>
            </w:r>
          </w:p>
          <w:p w14:paraId="4226CBAD">
            <w:pPr>
              <w:ind w:firstLine="420" w:firstLineChars="200"/>
              <w:jc w:val="center"/>
              <w:rPr>
                <w:rFonts w:hint="eastAsia" w:ascii="宋体" w:hAnsi="宋体"/>
                <w:sz w:val="24"/>
              </w:rPr>
            </w:pPr>
            <w:r>
              <w:drawing>
                <wp:inline distT="0" distB="0" distL="114300" distR="114300">
                  <wp:extent cx="1878965" cy="483235"/>
                  <wp:effectExtent l="0" t="0" r="3175" b="1143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12"/>
                          <a:stretch>
                            <a:fillRect/>
                          </a:stretch>
                        </pic:blipFill>
                        <pic:spPr>
                          <a:xfrm>
                            <a:off x="0" y="0"/>
                            <a:ext cx="1878965" cy="483235"/>
                          </a:xfrm>
                          <a:prstGeom prst="rect">
                            <a:avLst/>
                          </a:prstGeom>
                          <a:noFill/>
                          <a:ln>
                            <a:noFill/>
                          </a:ln>
                        </pic:spPr>
                      </pic:pic>
                    </a:graphicData>
                  </a:graphic>
                </wp:inline>
              </w:drawing>
            </w:r>
          </w:p>
          <w:p w14:paraId="38771286">
            <w:pPr>
              <w:ind w:firstLine="480" w:firstLineChars="200"/>
              <w:rPr>
                <w:rFonts w:hint="eastAsia" w:ascii="宋体" w:hAnsi="宋体"/>
                <w:sz w:val="24"/>
              </w:rPr>
            </w:pPr>
            <w:r>
              <w:rPr>
                <w:rFonts w:hint="eastAsia" w:ascii="宋体" w:hAnsi="宋体"/>
                <w:sz w:val="24"/>
              </w:rPr>
              <w:t xml:space="preserve">通过最小化 </w:t>
            </w:r>
            <w:r>
              <w:rPr>
                <w:rFonts w:hint="eastAsia" w:eastAsia="楷体"/>
                <w:b w:val="0"/>
                <w:bCs/>
                <w:sz w:val="24"/>
              </w:rPr>
              <w:t>L</w:t>
            </w:r>
            <w:r>
              <w:rPr>
                <w:rFonts w:hint="eastAsia" w:ascii="宋体" w:hAnsi="宋体"/>
                <w:sz w:val="24"/>
                <w:vertAlign w:val="subscript"/>
              </w:rPr>
              <w:t>tec</w:t>
            </w:r>
            <w:r>
              <w:rPr>
                <w:rFonts w:hint="eastAsia" w:ascii="宋体" w:hAnsi="宋体"/>
                <w:sz w:val="24"/>
                <w:vertAlign w:val="subscript"/>
                <w:lang w:val="en-US" w:eastAsia="zh-CN"/>
              </w:rPr>
              <w:t xml:space="preserve"> </w:t>
            </w:r>
            <w:r>
              <w:rPr>
                <w:rFonts w:hint="eastAsia" w:ascii="宋体" w:hAnsi="宋体"/>
                <w:sz w:val="24"/>
              </w:rPr>
              <w:t>，强制模型对已有一定把握的逆变器故障特征做出更加确定（</w:t>
            </w:r>
            <w:r>
              <w:rPr>
                <w:rFonts w:hint="eastAsia" w:eastAsia="楷体"/>
                <w:b w:val="0"/>
                <w:bCs/>
                <w:sz w:val="24"/>
              </w:rPr>
              <w:t>Sharp</w:t>
            </w:r>
            <w:r>
              <w:rPr>
                <w:rFonts w:hint="eastAsia" w:ascii="宋体" w:hAnsi="宋体"/>
                <w:sz w:val="24"/>
              </w:rPr>
              <w:t>）的预测。这一操作在特征空间中等效于将分类决策边界推向目标域数据分布的低密度区域（</w:t>
            </w:r>
            <w:r>
              <w:rPr>
                <w:rFonts w:hint="eastAsia" w:eastAsia="楷体"/>
                <w:b w:val="0"/>
                <w:bCs/>
                <w:sz w:val="24"/>
              </w:rPr>
              <w:t>Low-density Separation</w:t>
            </w:r>
            <w:r>
              <w:rPr>
                <w:rFonts w:hint="eastAsia" w:ascii="宋体" w:hAnsi="宋体"/>
                <w:sz w:val="24"/>
              </w:rPr>
              <w:t>），从而显著提升了类间可分性。</w:t>
            </w:r>
          </w:p>
          <w:p w14:paraId="3B1E890B">
            <w:pPr>
              <w:ind w:firstLine="480" w:firstLineChars="200"/>
              <w:rPr>
                <w:rFonts w:hint="eastAsia" w:ascii="宋体" w:hAnsi="宋体"/>
                <w:sz w:val="24"/>
              </w:rPr>
            </w:pPr>
          </w:p>
          <w:p w14:paraId="47BB2A8C">
            <w:pPr>
              <w:ind w:firstLine="480" w:firstLineChars="200"/>
              <w:rPr>
                <w:rFonts w:hint="eastAsia" w:ascii="宋体" w:hAnsi="宋体"/>
                <w:sz w:val="24"/>
              </w:rPr>
            </w:pPr>
            <w:r>
              <w:rPr>
                <w:rFonts w:hint="eastAsia" w:ascii="宋体" w:hAnsi="宋体"/>
                <w:sz w:val="24"/>
              </w:rPr>
              <w:t>为了防止训练初期模型因过度自信而陷入局部最优，本研究设计了课程化的权重调节因子 w</w:t>
            </w:r>
            <w:r>
              <w:rPr>
                <w:rFonts w:hint="eastAsia" w:ascii="宋体" w:hAnsi="宋体"/>
                <w:sz w:val="24"/>
                <w:vertAlign w:val="subscript"/>
              </w:rPr>
              <w:t>tec</w:t>
            </w:r>
            <w:r>
              <w:rPr>
                <w:rFonts w:hint="eastAsia" w:ascii="宋体" w:hAnsi="宋体"/>
                <w:sz w:val="24"/>
              </w:rPr>
              <w:t>(p)，并将其集成至全局总损失中：</w:t>
            </w:r>
          </w:p>
          <w:p w14:paraId="1B27B73F">
            <w:pPr>
              <w:ind w:firstLine="420" w:firstLineChars="200"/>
              <w:jc w:val="center"/>
              <w:rPr>
                <w:rFonts w:hint="eastAsia" w:ascii="宋体" w:hAnsi="宋体"/>
                <w:sz w:val="24"/>
              </w:rPr>
            </w:pPr>
            <w:r>
              <w:drawing>
                <wp:inline distT="0" distB="0" distL="114300" distR="114300">
                  <wp:extent cx="2538730" cy="379730"/>
                  <wp:effectExtent l="0" t="0" r="6985" b="6350"/>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13"/>
                          <a:stretch>
                            <a:fillRect/>
                          </a:stretch>
                        </pic:blipFill>
                        <pic:spPr>
                          <a:xfrm>
                            <a:off x="0" y="0"/>
                            <a:ext cx="2538730" cy="379730"/>
                          </a:xfrm>
                          <a:prstGeom prst="rect">
                            <a:avLst/>
                          </a:prstGeom>
                          <a:noFill/>
                          <a:ln>
                            <a:noFill/>
                          </a:ln>
                        </pic:spPr>
                      </pic:pic>
                    </a:graphicData>
                  </a:graphic>
                </wp:inline>
              </w:drawing>
            </w:r>
          </w:p>
          <w:p w14:paraId="5078DF94">
            <w:pPr>
              <w:ind w:firstLine="480" w:firstLineChars="200"/>
              <w:rPr>
                <w:rFonts w:hint="eastAsia" w:ascii="宋体" w:hAnsi="宋体"/>
                <w:sz w:val="24"/>
              </w:rPr>
            </w:pPr>
            <w:r>
              <w:rPr>
                <w:rFonts w:hint="eastAsia" w:ascii="宋体" w:hAnsi="宋体"/>
                <w:sz w:val="24"/>
              </w:rPr>
              <w:t>其中，</w:t>
            </w:r>
            <w:r>
              <w:rPr>
                <w:rFonts w:hint="eastAsia" w:eastAsia="楷体"/>
                <w:b w:val="0"/>
                <w:bCs/>
                <w:sz w:val="24"/>
              </w:rPr>
              <w:t>L</w:t>
            </w:r>
            <w:r>
              <w:rPr>
                <w:rFonts w:hint="eastAsia" w:ascii="宋体" w:hAnsi="宋体"/>
                <w:sz w:val="24"/>
                <w:vertAlign w:val="subscript"/>
              </w:rPr>
              <w:t>base</w:t>
            </w:r>
            <w:r>
              <w:rPr>
                <w:rFonts w:hint="eastAsia" w:ascii="宋体" w:hAnsi="宋体"/>
                <w:sz w:val="24"/>
              </w:rPr>
              <w:t xml:space="preserve">包含原 ISGFAN 的主分类损失与宏观域对抗损失；而 </w:t>
            </w:r>
            <w:r>
              <w:rPr>
                <w:rFonts w:hint="eastAsia" w:eastAsia="楷体"/>
                <w:b w:val="0"/>
                <w:bCs/>
                <w:sz w:val="24"/>
              </w:rPr>
              <w:t>w</w:t>
            </w:r>
            <w:r>
              <w:rPr>
                <w:rFonts w:hint="eastAsia" w:ascii="宋体" w:hAnsi="宋体"/>
                <w:sz w:val="24"/>
                <w:vertAlign w:val="subscript"/>
              </w:rPr>
              <w:t>tec</w:t>
            </w:r>
            <w:r>
              <w:rPr>
                <w:rFonts w:hint="eastAsia" w:ascii="宋体" w:hAnsi="宋体"/>
                <w:sz w:val="24"/>
              </w:rPr>
              <w:t>(p)</w:t>
            </w:r>
            <w:r>
              <w:rPr>
                <w:rFonts w:hint="eastAsia" w:ascii="宋体" w:hAnsi="宋体"/>
                <w:sz w:val="24"/>
                <w:lang w:val="en-US" w:eastAsia="zh-CN"/>
              </w:rPr>
              <w:t xml:space="preserve"> </w:t>
            </w:r>
            <w:r>
              <w:rPr>
                <w:rFonts w:hint="eastAsia" w:ascii="宋体" w:hAnsi="宋体"/>
                <w:sz w:val="24"/>
              </w:rPr>
              <w:t>则是一个随训练进度 p 单调递增的权重函数。</w:t>
            </w:r>
          </w:p>
          <w:p w14:paraId="32F2CF18">
            <w:pPr>
              <w:ind w:firstLine="480" w:firstLineChars="200"/>
              <w:rPr>
                <w:rFonts w:hint="eastAsia" w:ascii="宋体" w:hAnsi="宋体"/>
                <w:sz w:val="24"/>
              </w:rPr>
            </w:pPr>
          </w:p>
          <w:p w14:paraId="0777B1CF">
            <w:pPr>
              <w:ind w:firstLine="480" w:firstLineChars="200"/>
              <w:rPr>
                <w:rFonts w:hint="eastAsia" w:ascii="宋体" w:hAnsi="宋体"/>
                <w:sz w:val="24"/>
              </w:rPr>
            </w:pPr>
            <w:r>
              <w:rPr>
                <w:rFonts w:hint="eastAsia" w:ascii="宋体" w:hAnsi="宋体"/>
                <w:sz w:val="24"/>
              </w:rPr>
              <w:t xml:space="preserve">通过上述联合优化策略，嵌入 </w:t>
            </w:r>
            <w:r>
              <w:rPr>
                <w:rFonts w:hint="eastAsia" w:eastAsia="楷体"/>
                <w:b w:val="0"/>
                <w:bCs/>
                <w:sz w:val="24"/>
              </w:rPr>
              <w:t>TEC</w:t>
            </w:r>
            <w:r>
              <w:rPr>
                <w:rFonts w:hint="eastAsia" w:ascii="宋体" w:hAnsi="宋体"/>
                <w:sz w:val="24"/>
              </w:rPr>
              <w:t xml:space="preserve"> 机制的 </w:t>
            </w:r>
            <w:r>
              <w:rPr>
                <w:rFonts w:hint="eastAsia" w:eastAsia="楷体"/>
                <w:b w:val="0"/>
                <w:bCs/>
                <w:sz w:val="24"/>
              </w:rPr>
              <w:t>ISGFAN</w:t>
            </w:r>
            <w:r>
              <w:rPr>
                <w:rFonts w:hint="eastAsia" w:ascii="宋体" w:hAnsi="宋体"/>
                <w:sz w:val="24"/>
              </w:rPr>
              <w:t xml:space="preserve"> 框架在逆变器多工况任务中展现出三大核心理论优势：</w:t>
            </w:r>
          </w:p>
          <w:p w14:paraId="2E366131">
            <w:pPr>
              <w:ind w:firstLine="480" w:firstLineChars="200"/>
              <w:rPr>
                <w:rFonts w:hint="eastAsia" w:ascii="宋体" w:hAnsi="宋体"/>
                <w:sz w:val="24"/>
              </w:rPr>
            </w:pPr>
            <w:r>
              <w:rPr>
                <w:rFonts w:hint="eastAsia" w:ascii="宋体" w:hAnsi="宋体"/>
                <w:sz w:val="24"/>
              </w:rPr>
              <w:t>强效噪声抑制（</w:t>
            </w:r>
            <w:r>
              <w:rPr>
                <w:rFonts w:hint="eastAsia" w:eastAsia="楷体"/>
                <w:b w:val="0"/>
                <w:bCs/>
                <w:sz w:val="24"/>
              </w:rPr>
              <w:t>Noise Suppression</w:t>
            </w:r>
            <w:r>
              <w:rPr>
                <w:rFonts w:hint="eastAsia" w:ascii="宋体" w:hAnsi="宋体"/>
                <w:sz w:val="24"/>
              </w:rPr>
              <w:t>）：仅在 S</w:t>
            </w:r>
            <w:r>
              <w:rPr>
                <w:rFonts w:hint="eastAsia" w:ascii="宋体" w:hAnsi="宋体"/>
                <w:sz w:val="24"/>
                <w:vertAlign w:val="subscript"/>
              </w:rPr>
              <w:t>t</w:t>
            </w:r>
            <w:r>
              <w:rPr>
                <w:rFonts w:hint="eastAsia" w:ascii="宋体" w:hAnsi="宋体"/>
                <w:sz w:val="24"/>
                <w:vertAlign w:val="subscript"/>
                <w:lang w:val="en-US" w:eastAsia="zh-CN"/>
              </w:rPr>
              <w:t xml:space="preserve"> </w:t>
            </w:r>
            <w:r>
              <w:rPr>
                <w:rFonts w:hint="eastAsia" w:ascii="宋体" w:hAnsi="宋体"/>
                <w:sz w:val="24"/>
              </w:rPr>
              <w:t xml:space="preserve">子集上激活熵优化与后续的子域 </w:t>
            </w:r>
            <w:r>
              <w:rPr>
                <w:rFonts w:hint="eastAsia" w:eastAsia="楷体"/>
                <w:b w:val="0"/>
                <w:bCs/>
                <w:sz w:val="24"/>
              </w:rPr>
              <w:t>GRL</w:t>
            </w:r>
            <w:r>
              <w:rPr>
                <w:rFonts w:hint="eastAsia" w:ascii="宋体" w:hAnsi="宋体"/>
                <w:sz w:val="24"/>
              </w:rPr>
              <w:t xml:space="preserve"> 对抗，从输入端物理隔绝了严重畸变信号和错分样本的毒害作用。</w:t>
            </w:r>
          </w:p>
          <w:p w14:paraId="200AF08A">
            <w:pPr>
              <w:ind w:firstLine="480" w:firstLineChars="200"/>
              <w:rPr>
                <w:rFonts w:hint="eastAsia" w:ascii="宋体" w:hAnsi="宋体"/>
                <w:sz w:val="24"/>
              </w:rPr>
            </w:pPr>
            <w:r>
              <w:rPr>
                <w:rFonts w:hint="eastAsia" w:ascii="宋体" w:hAnsi="宋体"/>
                <w:sz w:val="24"/>
              </w:rPr>
              <w:t>优化稳定性保障（</w:t>
            </w:r>
            <w:r>
              <w:rPr>
                <w:rFonts w:hint="eastAsia" w:eastAsia="楷体"/>
                <w:b w:val="0"/>
                <w:bCs/>
                <w:sz w:val="24"/>
              </w:rPr>
              <w:t>Optimization Stability</w:t>
            </w:r>
            <w:r>
              <w:rPr>
                <w:rFonts w:hint="eastAsia" w:ascii="宋体" w:hAnsi="宋体"/>
                <w:sz w:val="24"/>
              </w:rPr>
              <w:t xml:space="preserve">）：得益于 </w:t>
            </w:r>
            <w:r>
              <w:rPr>
                <w:rFonts w:hint="eastAsia" w:eastAsia="楷体"/>
                <w:b w:val="0"/>
                <w:bCs/>
                <w:sz w:val="24"/>
              </w:rPr>
              <w:t>w</w:t>
            </w:r>
            <w:r>
              <w:rPr>
                <w:rFonts w:hint="eastAsia" w:ascii="宋体" w:hAnsi="宋体"/>
                <w:sz w:val="24"/>
                <w:vertAlign w:val="subscript"/>
              </w:rPr>
              <w:t>tec</w:t>
            </w:r>
            <w:r>
              <w:rPr>
                <w:rFonts w:hint="eastAsia" w:ascii="宋体" w:hAnsi="宋体"/>
                <w:sz w:val="24"/>
              </w:rPr>
              <w:t>(p) 的前期弱约束，模型在尚未建立正确语义概念前，不会被强行要求对模糊样本表态，避免早期伪标签边界的震荡与崩溃。</w:t>
            </w:r>
          </w:p>
          <w:p w14:paraId="2909B262">
            <w:pPr>
              <w:ind w:firstLine="480" w:firstLineChars="200"/>
              <w:rPr>
                <w:rFonts w:hint="eastAsia" w:ascii="宋体" w:hAnsi="宋体"/>
                <w:sz w:val="24"/>
              </w:rPr>
            </w:pPr>
            <w:r>
              <w:rPr>
                <w:rFonts w:hint="eastAsia" w:ascii="宋体" w:hAnsi="宋体"/>
                <w:sz w:val="24"/>
              </w:rPr>
              <w:t>目标域判别特征增强（</w:t>
            </w:r>
            <w:r>
              <w:rPr>
                <w:rFonts w:hint="eastAsia" w:eastAsia="楷体"/>
                <w:b w:val="0"/>
                <w:bCs/>
                <w:sz w:val="24"/>
              </w:rPr>
              <w:t>Discriminability Enhancement</w:t>
            </w:r>
            <w:r>
              <w:rPr>
                <w:rFonts w:hint="eastAsia" w:ascii="宋体" w:hAnsi="宋体"/>
                <w:sz w:val="24"/>
              </w:rPr>
              <w:t xml:space="preserve">）：随着 </w:t>
            </w:r>
            <w:r>
              <w:rPr>
                <w:rFonts w:hint="eastAsia" w:eastAsia="楷体"/>
                <w:b w:val="0"/>
                <w:bCs/>
                <w:sz w:val="24"/>
              </w:rPr>
              <w:t>w</w:t>
            </w:r>
            <w:r>
              <w:rPr>
                <w:rFonts w:hint="eastAsia" w:ascii="宋体" w:hAnsi="宋体"/>
                <w:sz w:val="24"/>
                <w:vertAlign w:val="subscript"/>
              </w:rPr>
              <w:t>tec</w:t>
            </w:r>
            <w:r>
              <w:rPr>
                <w:rFonts w:hint="eastAsia" w:ascii="宋体" w:hAnsi="宋体"/>
                <w:sz w:val="24"/>
              </w:rPr>
              <w:t>(p)</w:t>
            </w:r>
            <w:r>
              <w:rPr>
                <w:rFonts w:hint="eastAsia" w:ascii="宋体" w:hAnsi="宋体"/>
                <w:sz w:val="24"/>
                <w:lang w:val="en-US" w:eastAsia="zh-CN"/>
              </w:rPr>
              <w:t xml:space="preserve"> </w:t>
            </w:r>
            <w:r>
              <w:rPr>
                <w:rFonts w:hint="eastAsia" w:ascii="宋体" w:hAnsi="宋体"/>
                <w:sz w:val="24"/>
              </w:rPr>
              <w:t>的后期增强，模型逐步扩大对复杂目标域样本的覆盖范围。伴随熵值的持续压缩，逆变器同类故障特征在无标签目标域中凝聚得更为紧密，显著提升了泛化阶段的分类精度。</w:t>
            </w:r>
          </w:p>
          <w:p w14:paraId="3B4C5926">
            <w:pPr>
              <w:numPr>
                <w:ilvl w:val="0"/>
                <w:numId w:val="0"/>
              </w:numPr>
              <w:rPr>
                <w:rFonts w:hint="default" w:ascii="宋体" w:hAnsi="宋体"/>
                <w:sz w:val="24"/>
                <w:lang w:val="en-US" w:eastAsia="zh-CN"/>
              </w:rPr>
            </w:pPr>
          </w:p>
          <w:p w14:paraId="1C6EF83F">
            <w:pPr>
              <w:numPr>
                <w:ilvl w:val="0"/>
                <w:numId w:val="0"/>
              </w:numPr>
              <w:rPr>
                <w:rFonts w:hint="default" w:ascii="宋体" w:hAnsi="宋体"/>
                <w:sz w:val="24"/>
                <w:lang w:val="en-US" w:eastAsia="zh-CN"/>
              </w:rPr>
            </w:pPr>
            <w:r>
              <w:rPr>
                <w:rFonts w:hint="default" w:ascii="宋体" w:hAnsi="宋体"/>
                <w:sz w:val="24"/>
                <w:lang w:val="en-US" w:eastAsia="zh-CN"/>
              </w:rPr>
              <w:t>4 实验设计与结果分析</w:t>
            </w:r>
          </w:p>
          <w:p w14:paraId="35D573B1">
            <w:pPr>
              <w:numPr>
                <w:ilvl w:val="0"/>
                <w:numId w:val="0"/>
              </w:numPr>
              <w:rPr>
                <w:rFonts w:hint="default" w:ascii="宋体" w:hAnsi="宋体"/>
                <w:sz w:val="24"/>
                <w:lang w:val="en-US" w:eastAsia="zh-CN"/>
              </w:rPr>
            </w:pPr>
            <w:r>
              <w:rPr>
                <w:rFonts w:hint="default" w:ascii="宋体" w:hAnsi="宋体"/>
                <w:sz w:val="24"/>
                <w:lang w:val="en-US" w:eastAsia="zh-CN"/>
              </w:rPr>
              <w:t>4.1 实验目的</w:t>
            </w:r>
          </w:p>
          <w:p w14:paraId="31C75A5B">
            <w:pPr>
              <w:numPr>
                <w:ilvl w:val="0"/>
                <w:numId w:val="0"/>
              </w:numPr>
              <w:rPr>
                <w:rFonts w:hint="default" w:ascii="宋体" w:hAnsi="宋体"/>
                <w:sz w:val="24"/>
                <w:lang w:val="en-US" w:eastAsia="zh-CN"/>
              </w:rPr>
            </w:pPr>
            <w:r>
              <w:rPr>
                <w:rFonts w:hint="default" w:ascii="宋体" w:hAnsi="宋体"/>
                <w:sz w:val="24"/>
                <w:lang w:val="en-US" w:eastAsia="zh-CN"/>
              </w:rPr>
              <w:t>本文围绕跨域故障诊断任务，分别在公开数据集与私有数据集上验证方法有效性。实验重点包括三点：</w:t>
            </w:r>
          </w:p>
          <w:p w14:paraId="7CE43F04">
            <w:pPr>
              <w:numPr>
                <w:ilvl w:val="0"/>
                <w:numId w:val="2"/>
              </w:numPr>
              <w:ind w:left="420" w:leftChars="0" w:hanging="420" w:firstLineChars="0"/>
              <w:rPr>
                <w:rFonts w:hint="default" w:ascii="宋体" w:hAnsi="宋体"/>
                <w:sz w:val="24"/>
                <w:lang w:val="en-US" w:eastAsia="zh-CN"/>
              </w:rPr>
            </w:pPr>
            <w:r>
              <w:rPr>
                <w:rFonts w:hint="default" w:ascii="宋体" w:hAnsi="宋体"/>
                <w:sz w:val="24"/>
                <w:lang w:val="en-US" w:eastAsia="zh-CN"/>
              </w:rPr>
              <w:t>验证动态GRL调度与TEC是否能提升目标域识别性能；</w:t>
            </w:r>
          </w:p>
          <w:p w14:paraId="219F7F43">
            <w:pPr>
              <w:numPr>
                <w:ilvl w:val="0"/>
                <w:numId w:val="2"/>
              </w:numPr>
              <w:ind w:left="420" w:leftChars="0" w:hanging="420" w:firstLineChars="0"/>
              <w:rPr>
                <w:rFonts w:hint="default" w:ascii="宋体" w:hAnsi="宋体"/>
                <w:sz w:val="24"/>
                <w:lang w:val="en-US" w:eastAsia="zh-CN"/>
              </w:rPr>
            </w:pPr>
            <w:r>
              <w:rPr>
                <w:rFonts w:hint="default" w:ascii="宋体" w:hAnsi="宋体"/>
                <w:sz w:val="24"/>
                <w:lang w:val="en-US" w:eastAsia="zh-CN"/>
              </w:rPr>
              <w:t>对比原始ISGFAN与改进方法在不同数据条件下的表现；</w:t>
            </w:r>
          </w:p>
          <w:p w14:paraId="3774B613">
            <w:pPr>
              <w:numPr>
                <w:ilvl w:val="0"/>
                <w:numId w:val="2"/>
              </w:numPr>
              <w:ind w:left="420" w:leftChars="0" w:hanging="420" w:firstLineChars="0"/>
              <w:rPr>
                <w:rFonts w:hint="default" w:ascii="宋体" w:hAnsi="宋体"/>
                <w:sz w:val="24"/>
                <w:lang w:val="en-US" w:eastAsia="zh-CN"/>
              </w:rPr>
            </w:pPr>
            <w:r>
              <w:rPr>
                <w:rFonts w:hint="default" w:ascii="宋体" w:hAnsi="宋体"/>
                <w:sz w:val="24"/>
                <w:lang w:val="en-US" w:eastAsia="zh-CN"/>
              </w:rPr>
              <w:t>通过混淆矩阵与t-SNE可视化分析模型的类间可分性与特征分布稳定性。</w:t>
            </w:r>
          </w:p>
          <w:p w14:paraId="68D2F0FF">
            <w:pPr>
              <w:numPr>
                <w:ilvl w:val="0"/>
                <w:numId w:val="0"/>
              </w:numPr>
              <w:ind w:leftChars="0"/>
              <w:rPr>
                <w:rFonts w:hint="default" w:ascii="宋体" w:hAnsi="宋体"/>
                <w:sz w:val="24"/>
                <w:lang w:val="en-US" w:eastAsia="zh-CN"/>
              </w:rPr>
            </w:pPr>
          </w:p>
          <w:p w14:paraId="07B45D36">
            <w:pPr>
              <w:numPr>
                <w:ilvl w:val="0"/>
                <w:numId w:val="0"/>
              </w:numPr>
              <w:rPr>
                <w:rFonts w:hint="default" w:ascii="宋体" w:hAnsi="宋体"/>
                <w:sz w:val="24"/>
                <w:lang w:val="en-US" w:eastAsia="zh-CN"/>
              </w:rPr>
            </w:pPr>
            <w:r>
              <w:rPr>
                <w:rFonts w:hint="default" w:ascii="宋体" w:hAnsi="宋体"/>
                <w:sz w:val="24"/>
                <w:lang w:val="en-US" w:eastAsia="zh-CN"/>
              </w:rPr>
              <w:t>4.2 数据集与划分</w:t>
            </w:r>
          </w:p>
          <w:p w14:paraId="0E2E2E62">
            <w:pPr>
              <w:numPr>
                <w:ilvl w:val="0"/>
                <w:numId w:val="0"/>
              </w:numPr>
              <w:rPr>
                <w:rFonts w:hint="default" w:ascii="宋体" w:hAnsi="宋体"/>
                <w:sz w:val="24"/>
                <w:lang w:val="en-US" w:eastAsia="zh-CN"/>
              </w:rPr>
            </w:pPr>
            <w:r>
              <w:rPr>
                <w:rFonts w:hint="default" w:ascii="宋体" w:hAnsi="宋体"/>
                <w:sz w:val="24"/>
                <w:lang w:val="en-US" w:eastAsia="zh-CN"/>
              </w:rPr>
              <w:t>（1）公开数据集（</w:t>
            </w:r>
            <w:r>
              <w:rPr>
                <w:rFonts w:hint="default" w:eastAsia="楷体"/>
                <w:b w:val="0"/>
                <w:bCs/>
                <w:sz w:val="24"/>
                <w:lang w:val="en-US" w:eastAsia="zh-CN"/>
              </w:rPr>
              <w:t>CWRU</w:t>
            </w:r>
            <w:r>
              <w:rPr>
                <w:rFonts w:hint="default" w:ascii="宋体" w:hAnsi="宋体"/>
                <w:sz w:val="24"/>
                <w:lang w:val="en-US" w:eastAsia="zh-CN"/>
              </w:rPr>
              <w:t>工况迁移设置）</w:t>
            </w:r>
          </w:p>
          <w:p w14:paraId="3B6113D2">
            <w:pPr>
              <w:numPr>
                <w:ilvl w:val="0"/>
                <w:numId w:val="0"/>
              </w:numPr>
              <w:ind w:firstLine="480" w:firstLineChars="200"/>
              <w:rPr>
                <w:rFonts w:hint="default" w:ascii="宋体" w:hAnsi="宋体"/>
                <w:sz w:val="24"/>
                <w:lang w:val="en-US" w:eastAsia="zh-CN"/>
              </w:rPr>
            </w:pPr>
            <w:r>
              <w:rPr>
                <w:rFonts w:hint="default" w:ascii="宋体" w:hAnsi="宋体"/>
                <w:sz w:val="24"/>
                <w:lang w:val="en-US" w:eastAsia="zh-CN"/>
              </w:rPr>
              <w:t>类别数：10类</w:t>
            </w:r>
          </w:p>
          <w:p w14:paraId="48B884E0">
            <w:pPr>
              <w:numPr>
                <w:ilvl w:val="0"/>
                <w:numId w:val="0"/>
              </w:numPr>
              <w:ind w:firstLine="480" w:firstLineChars="200"/>
              <w:rPr>
                <w:rFonts w:hint="default" w:ascii="宋体" w:hAnsi="宋体"/>
                <w:sz w:val="24"/>
                <w:lang w:val="en-US" w:eastAsia="zh-CN"/>
              </w:rPr>
            </w:pPr>
            <w:r>
              <w:rPr>
                <w:rFonts w:hint="default" w:ascii="宋体" w:hAnsi="宋体"/>
                <w:sz w:val="24"/>
                <w:lang w:val="en-US" w:eastAsia="zh-CN"/>
              </w:rPr>
              <w:t>Source Train：2100</w:t>
            </w:r>
          </w:p>
          <w:p w14:paraId="55C9F9E8">
            <w:pPr>
              <w:numPr>
                <w:ilvl w:val="0"/>
                <w:numId w:val="0"/>
              </w:numPr>
              <w:ind w:firstLine="480" w:firstLineChars="200"/>
              <w:rPr>
                <w:rFonts w:hint="default" w:ascii="宋体" w:hAnsi="宋体"/>
                <w:sz w:val="24"/>
                <w:lang w:val="en-US" w:eastAsia="zh-CN"/>
              </w:rPr>
            </w:pPr>
            <w:r>
              <w:rPr>
                <w:rFonts w:hint="default" w:ascii="宋体" w:hAnsi="宋体"/>
                <w:sz w:val="24"/>
                <w:lang w:val="en-US" w:eastAsia="zh-CN"/>
              </w:rPr>
              <w:t>Target（无标签）：2100</w:t>
            </w:r>
          </w:p>
          <w:p w14:paraId="2C1ED138">
            <w:pPr>
              <w:numPr>
                <w:ilvl w:val="0"/>
                <w:numId w:val="0"/>
              </w:numPr>
              <w:ind w:firstLine="480" w:firstLineChars="200"/>
              <w:rPr>
                <w:rFonts w:hint="default" w:ascii="宋体" w:hAnsi="宋体"/>
                <w:sz w:val="24"/>
                <w:lang w:val="en-US" w:eastAsia="zh-CN"/>
              </w:rPr>
            </w:pPr>
            <w:r>
              <w:rPr>
                <w:rFonts w:hint="default" w:ascii="宋体" w:hAnsi="宋体"/>
                <w:sz w:val="24"/>
                <w:lang w:val="en-US" w:eastAsia="zh-CN"/>
              </w:rPr>
              <w:t>Test（有标签）：2100</w:t>
            </w:r>
          </w:p>
          <w:p w14:paraId="4995767A">
            <w:pPr>
              <w:numPr>
                <w:ilvl w:val="0"/>
                <w:numId w:val="0"/>
              </w:numPr>
              <w:ind w:firstLine="480" w:firstLineChars="200"/>
              <w:rPr>
                <w:rFonts w:hint="default" w:ascii="宋体" w:hAnsi="宋体"/>
                <w:sz w:val="24"/>
                <w:lang w:val="en-US" w:eastAsia="zh-CN"/>
              </w:rPr>
            </w:pPr>
            <w:r>
              <w:rPr>
                <w:rFonts w:hint="default" w:ascii="宋体" w:hAnsi="宋体"/>
                <w:sz w:val="24"/>
                <w:lang w:val="en-US" w:eastAsia="zh-CN"/>
              </w:rPr>
              <w:t>该设置类别分布均衡，便于评估跨域方法本身的有效性。</w:t>
            </w:r>
          </w:p>
          <w:p w14:paraId="12D8558D">
            <w:pPr>
              <w:numPr>
                <w:ilvl w:val="0"/>
                <w:numId w:val="0"/>
              </w:numPr>
              <w:rPr>
                <w:rFonts w:hint="default" w:ascii="宋体" w:hAnsi="宋体"/>
                <w:sz w:val="24"/>
                <w:lang w:val="en-US" w:eastAsia="zh-CN"/>
              </w:rPr>
            </w:pPr>
            <w:r>
              <w:rPr>
                <w:rFonts w:hint="default" w:ascii="宋体" w:hAnsi="宋体"/>
                <w:sz w:val="24"/>
                <w:lang w:val="en-US" w:eastAsia="zh-CN"/>
              </w:rPr>
              <w:t>（2）私有数据集</w:t>
            </w:r>
            <w:r>
              <w:rPr>
                <w:rFonts w:hint="eastAsia" w:ascii="宋体" w:hAnsi="宋体"/>
                <w:sz w:val="24"/>
                <w:lang w:val="en-US" w:eastAsia="zh-CN"/>
              </w:rPr>
              <w:t>（逆变器多工况故障）</w:t>
            </w:r>
          </w:p>
          <w:p w14:paraId="13B34B49">
            <w:pPr>
              <w:numPr>
                <w:ilvl w:val="0"/>
                <w:numId w:val="0"/>
              </w:numPr>
              <w:ind w:firstLine="480" w:firstLineChars="200"/>
              <w:rPr>
                <w:rFonts w:hint="default" w:ascii="宋体" w:hAnsi="宋体"/>
                <w:sz w:val="24"/>
                <w:lang w:val="en-US" w:eastAsia="zh-CN"/>
              </w:rPr>
            </w:pPr>
            <w:r>
              <w:rPr>
                <w:rFonts w:hint="default" w:ascii="宋体" w:hAnsi="宋体"/>
                <w:sz w:val="24"/>
                <w:lang w:val="en-US" w:eastAsia="zh-CN"/>
              </w:rPr>
              <w:t>总样本为 32470，存在明显长尾：</w:t>
            </w:r>
          </w:p>
          <w:p w14:paraId="64FD1D6C">
            <w:pPr>
              <w:numPr>
                <w:ilvl w:val="0"/>
                <w:numId w:val="0"/>
              </w:numPr>
              <w:ind w:firstLine="480" w:firstLineChars="200"/>
              <w:rPr>
                <w:rFonts w:hint="default" w:ascii="宋体" w:hAnsi="宋体"/>
                <w:sz w:val="24"/>
                <w:lang w:val="en-US" w:eastAsia="zh-CN"/>
              </w:rPr>
            </w:pPr>
            <w:r>
              <w:rPr>
                <w:rFonts w:hint="default" w:ascii="宋体" w:hAnsi="宋体"/>
                <w:sz w:val="24"/>
                <w:lang w:val="en-US" w:eastAsia="zh-CN"/>
              </w:rPr>
              <w:t>头部类别：L120（16100）、L0（8086）、L1800（8050）</w:t>
            </w:r>
          </w:p>
          <w:p w14:paraId="7B174726">
            <w:pPr>
              <w:numPr>
                <w:ilvl w:val="0"/>
                <w:numId w:val="0"/>
              </w:numPr>
              <w:ind w:firstLine="480" w:firstLineChars="200"/>
              <w:rPr>
                <w:rFonts w:hint="default" w:ascii="宋体" w:hAnsi="宋体"/>
                <w:sz w:val="24"/>
                <w:lang w:val="en-US" w:eastAsia="zh-CN"/>
              </w:rPr>
            </w:pPr>
            <w:r>
              <w:rPr>
                <w:rFonts w:hint="default" w:ascii="宋体" w:hAnsi="宋体"/>
                <w:sz w:val="24"/>
                <w:lang w:val="en-US" w:eastAsia="zh-CN"/>
              </w:rPr>
              <w:t>尾部类别：L320（18）、L75（18）、NO_L（18）、L330（72）、L800（108）</w:t>
            </w:r>
          </w:p>
          <w:p w14:paraId="4763C562">
            <w:pPr>
              <w:numPr>
                <w:ilvl w:val="0"/>
                <w:numId w:val="0"/>
              </w:numPr>
              <w:ind w:firstLine="480" w:firstLineChars="200"/>
              <w:rPr>
                <w:rFonts w:hint="default" w:ascii="宋体" w:hAnsi="宋体"/>
                <w:sz w:val="24"/>
                <w:lang w:val="en-US" w:eastAsia="zh-CN"/>
              </w:rPr>
            </w:pPr>
            <w:r>
              <w:rPr>
                <w:rFonts w:hint="default" w:ascii="宋体" w:hAnsi="宋体"/>
                <w:sz w:val="24"/>
                <w:lang w:val="en-US" w:eastAsia="zh-CN"/>
              </w:rPr>
              <w:t>默认划分（test_ratio=0.2, seed=42）后：Train：25975</w:t>
            </w:r>
            <w:r>
              <w:rPr>
                <w:rFonts w:hint="eastAsia" w:ascii="宋体" w:hAnsi="宋体"/>
                <w:sz w:val="24"/>
                <w:lang w:val="en-US" w:eastAsia="zh-CN"/>
              </w:rPr>
              <w:t xml:space="preserve"> </w:t>
            </w:r>
            <w:r>
              <w:rPr>
                <w:rFonts w:hint="default" w:ascii="宋体" w:hAnsi="宋体"/>
                <w:sz w:val="24"/>
                <w:lang w:val="en-US" w:eastAsia="zh-CN"/>
              </w:rPr>
              <w:t>Test：6495</w:t>
            </w:r>
          </w:p>
          <w:p w14:paraId="1FFA4C0F">
            <w:pPr>
              <w:numPr>
                <w:ilvl w:val="0"/>
                <w:numId w:val="0"/>
              </w:numPr>
              <w:rPr>
                <w:rFonts w:hint="default" w:ascii="宋体" w:hAnsi="宋体"/>
                <w:sz w:val="24"/>
                <w:lang w:val="en-US" w:eastAsia="zh-CN"/>
              </w:rPr>
            </w:pPr>
          </w:p>
          <w:p w14:paraId="0FC33680">
            <w:pPr>
              <w:numPr>
                <w:ilvl w:val="0"/>
                <w:numId w:val="0"/>
              </w:numPr>
              <w:rPr>
                <w:rFonts w:hint="default" w:ascii="宋体" w:hAnsi="宋体"/>
                <w:sz w:val="24"/>
                <w:lang w:val="en-US" w:eastAsia="zh-CN"/>
              </w:rPr>
            </w:pPr>
            <w:r>
              <w:rPr>
                <w:rFonts w:hint="default" w:ascii="宋体" w:hAnsi="宋体"/>
                <w:sz w:val="24"/>
                <w:lang w:val="en-US" w:eastAsia="zh-CN"/>
              </w:rPr>
              <w:t>4.</w:t>
            </w:r>
            <w:r>
              <w:rPr>
                <w:rFonts w:hint="eastAsia" w:ascii="宋体" w:hAnsi="宋体"/>
                <w:sz w:val="24"/>
                <w:lang w:val="en-US" w:eastAsia="zh-CN"/>
              </w:rPr>
              <w:t>3</w:t>
            </w:r>
            <w:r>
              <w:rPr>
                <w:rFonts w:hint="default" w:ascii="宋体" w:hAnsi="宋体"/>
                <w:sz w:val="24"/>
                <w:lang w:val="en-US" w:eastAsia="zh-CN"/>
              </w:rPr>
              <w:t xml:space="preserve"> 评价指标与可视化方法</w:t>
            </w:r>
          </w:p>
          <w:p w14:paraId="36E0AA98">
            <w:pPr>
              <w:numPr>
                <w:ilvl w:val="0"/>
                <w:numId w:val="0"/>
              </w:numPr>
              <w:ind w:firstLine="480" w:firstLineChars="200"/>
              <w:rPr>
                <w:rFonts w:hint="default" w:ascii="宋体" w:hAnsi="宋体"/>
                <w:sz w:val="24"/>
                <w:lang w:val="en-US" w:eastAsia="zh-CN"/>
              </w:rPr>
            </w:pPr>
            <w:r>
              <w:rPr>
                <w:rFonts w:hint="default" w:ascii="宋体" w:hAnsi="宋体"/>
                <w:sz w:val="24"/>
                <w:lang w:val="en-US" w:eastAsia="zh-CN"/>
              </w:rPr>
              <w:t>实验采用以下指标：</w:t>
            </w:r>
          </w:p>
          <w:p w14:paraId="57F62209">
            <w:pPr>
              <w:numPr>
                <w:ilvl w:val="0"/>
                <w:numId w:val="0"/>
              </w:numPr>
              <w:ind w:firstLine="480" w:firstLineChars="200"/>
              <w:rPr>
                <w:rFonts w:hint="default" w:ascii="宋体" w:hAnsi="宋体"/>
                <w:sz w:val="24"/>
                <w:lang w:val="en-US" w:eastAsia="zh-CN"/>
              </w:rPr>
            </w:pPr>
            <w:r>
              <w:rPr>
                <w:rFonts w:hint="default" w:ascii="宋体" w:hAnsi="宋体"/>
                <w:sz w:val="24"/>
                <w:lang w:val="en-US" w:eastAsia="zh-CN"/>
              </w:rPr>
              <w:t>总体指标：Test Accuracy（整体准确率）</w:t>
            </w:r>
          </w:p>
          <w:p w14:paraId="594182A8">
            <w:pPr>
              <w:numPr>
                <w:ilvl w:val="0"/>
                <w:numId w:val="0"/>
              </w:numPr>
              <w:ind w:firstLine="480" w:firstLineChars="200"/>
              <w:rPr>
                <w:rFonts w:hint="default" w:ascii="宋体" w:hAnsi="宋体"/>
                <w:sz w:val="24"/>
                <w:lang w:val="en-US" w:eastAsia="zh-CN"/>
              </w:rPr>
            </w:pPr>
            <w:r>
              <w:rPr>
                <w:rFonts w:hint="default" w:ascii="宋体" w:hAnsi="宋体"/>
                <w:sz w:val="24"/>
                <w:lang w:val="en-US" w:eastAsia="zh-CN"/>
              </w:rPr>
              <w:t>可视化指标：混淆矩阵、t-SNE</w:t>
            </w:r>
          </w:p>
          <w:p w14:paraId="4A0F3481">
            <w:pPr>
              <w:numPr>
                <w:ilvl w:val="0"/>
                <w:numId w:val="0"/>
              </w:numPr>
              <w:rPr>
                <w:rFonts w:hint="default" w:ascii="宋体" w:hAnsi="宋体"/>
                <w:sz w:val="24"/>
                <w:lang w:val="en-US" w:eastAsia="zh-CN"/>
              </w:rPr>
            </w:pPr>
          </w:p>
          <w:p w14:paraId="6D0900D9">
            <w:pPr>
              <w:numPr>
                <w:ilvl w:val="0"/>
                <w:numId w:val="0"/>
              </w:numPr>
              <w:rPr>
                <w:rFonts w:hint="default" w:ascii="宋体" w:hAnsi="宋体"/>
                <w:sz w:val="24"/>
                <w:lang w:val="en-US" w:eastAsia="zh-CN"/>
              </w:rPr>
            </w:pPr>
            <w:r>
              <w:rPr>
                <w:rFonts w:hint="default" w:ascii="宋体" w:hAnsi="宋体"/>
                <w:sz w:val="24"/>
                <w:lang w:val="en-US" w:eastAsia="zh-CN"/>
              </w:rPr>
              <w:t>4.</w:t>
            </w:r>
            <w:r>
              <w:rPr>
                <w:rFonts w:hint="eastAsia" w:ascii="宋体" w:hAnsi="宋体"/>
                <w:sz w:val="24"/>
                <w:lang w:val="en-US" w:eastAsia="zh-CN"/>
              </w:rPr>
              <w:t>4</w:t>
            </w:r>
            <w:r>
              <w:rPr>
                <w:rFonts w:hint="default" w:ascii="宋体" w:hAnsi="宋体"/>
                <w:sz w:val="24"/>
                <w:lang w:val="en-US" w:eastAsia="zh-CN"/>
              </w:rPr>
              <w:t xml:space="preserve"> 主要结果（当前已完成实验）</w:t>
            </w:r>
          </w:p>
          <w:p w14:paraId="7BF176A3">
            <w:pPr>
              <w:numPr>
                <w:ilvl w:val="0"/>
                <w:numId w:val="0"/>
              </w:numPr>
              <w:rPr>
                <w:rFonts w:hint="default" w:ascii="宋体" w:hAnsi="宋体"/>
                <w:sz w:val="24"/>
                <w:lang w:val="en-US" w:eastAsia="zh-CN"/>
              </w:rPr>
            </w:pPr>
            <w:r>
              <w:rPr>
                <w:rFonts w:hint="default" w:ascii="宋体" w:hAnsi="宋体"/>
                <w:sz w:val="24"/>
                <w:lang w:val="en-US" w:eastAsia="zh-CN"/>
              </w:rPr>
              <w:t>（1）公开数据集</w:t>
            </w:r>
          </w:p>
          <w:p w14:paraId="0EBAE643">
            <w:pPr>
              <w:numPr>
                <w:ilvl w:val="0"/>
                <w:numId w:val="0"/>
              </w:numPr>
              <w:ind w:firstLine="480" w:firstLineChars="200"/>
              <w:rPr>
                <w:rFonts w:hint="default" w:ascii="宋体" w:hAnsi="宋体"/>
                <w:sz w:val="24"/>
                <w:lang w:val="en-US" w:eastAsia="zh-CN"/>
              </w:rPr>
            </w:pPr>
            <w:r>
              <w:rPr>
                <w:rFonts w:hint="default" w:ascii="宋体" w:hAnsi="宋体"/>
                <w:sz w:val="24"/>
                <w:lang w:val="en-US" w:eastAsia="zh-CN"/>
              </w:rPr>
              <w:t>在公开域</w:t>
            </w:r>
            <w:r>
              <w:rPr>
                <w:rFonts w:hint="eastAsia" w:ascii="宋体" w:hAnsi="宋体"/>
                <w:sz w:val="24"/>
                <w:lang w:val="en-US" w:eastAsia="zh-CN"/>
              </w:rPr>
              <w:t>迁移</w:t>
            </w:r>
            <w:r>
              <w:rPr>
                <w:rFonts w:hint="default" w:ascii="宋体" w:hAnsi="宋体"/>
                <w:sz w:val="24"/>
                <w:lang w:val="en-US" w:eastAsia="zh-CN"/>
              </w:rPr>
              <w:t>任务上，GRL+TEC对目标域识别有稳定提升。</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3"/>
              <w:gridCol w:w="2127"/>
              <w:gridCol w:w="2127"/>
            </w:tblGrid>
            <w:tr w14:paraId="69326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jc w:val="center"/>
              </w:trPr>
              <w:tc>
                <w:tcPr>
                  <w:tcW w:w="2125" w:type="dxa"/>
                </w:tcPr>
                <w:p w14:paraId="53B6889D">
                  <w:pPr>
                    <w:jc w:val="center"/>
                    <w:rPr>
                      <w:rFonts w:hint="default" w:eastAsia="楷体"/>
                      <w:b w:val="0"/>
                      <w:bCs/>
                      <w:sz w:val="24"/>
                      <w:szCs w:val="24"/>
                      <w:lang w:val="en-US" w:eastAsia="zh-CN"/>
                    </w:rPr>
                  </w:pPr>
                  <w:r>
                    <w:rPr>
                      <w:rFonts w:hint="eastAsia" w:eastAsia="楷体"/>
                      <w:b w:val="0"/>
                      <w:bCs/>
                      <w:sz w:val="24"/>
                      <w:szCs w:val="24"/>
                      <w:lang w:val="en-US" w:eastAsia="zh-CN"/>
                    </w:rPr>
                    <w:t>Model</w:t>
                  </w:r>
                </w:p>
              </w:tc>
              <w:tc>
                <w:tcPr>
                  <w:tcW w:w="2127" w:type="dxa"/>
                </w:tcPr>
                <w:p w14:paraId="6025F101">
                  <w:pPr>
                    <w:ind w:firstLine="480" w:firstLineChars="200"/>
                    <w:rPr>
                      <w:rFonts w:hint="default" w:eastAsia="楷体"/>
                      <w:b w:val="0"/>
                      <w:bCs/>
                      <w:sz w:val="24"/>
                      <w:szCs w:val="24"/>
                      <w:lang w:val="en-US" w:eastAsia="zh-CN"/>
                    </w:rPr>
                  </w:pPr>
                  <w:r>
                    <w:rPr>
                      <w:rFonts w:hint="eastAsia" w:eastAsia="楷体"/>
                      <w:b w:val="0"/>
                      <w:bCs/>
                      <w:sz w:val="24"/>
                      <w:szCs w:val="24"/>
                      <w:lang w:val="en-US" w:eastAsia="zh-CN"/>
                    </w:rPr>
                    <w:t>1HP→3HP</w:t>
                  </w:r>
                </w:p>
              </w:tc>
              <w:tc>
                <w:tcPr>
                  <w:tcW w:w="2127" w:type="dxa"/>
                </w:tcPr>
                <w:p w14:paraId="6CEC5EF1">
                  <w:pPr>
                    <w:ind w:firstLine="480" w:firstLineChars="200"/>
                    <w:rPr>
                      <w:rFonts w:hint="default" w:eastAsia="楷体"/>
                      <w:b w:val="0"/>
                      <w:bCs/>
                      <w:sz w:val="24"/>
                      <w:szCs w:val="24"/>
                      <w:lang w:val="en-US" w:eastAsia="zh-CN"/>
                    </w:rPr>
                  </w:pPr>
                  <w:r>
                    <w:rPr>
                      <w:rFonts w:hint="eastAsia" w:eastAsia="楷体"/>
                      <w:b w:val="0"/>
                      <w:bCs/>
                      <w:sz w:val="24"/>
                      <w:szCs w:val="24"/>
                      <w:lang w:val="en-US" w:eastAsia="zh-CN"/>
                    </w:rPr>
                    <w:t>3HP→1HP</w:t>
                  </w:r>
                </w:p>
              </w:tc>
            </w:tr>
            <w:tr w14:paraId="5BD69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jc w:val="center"/>
              </w:trPr>
              <w:tc>
                <w:tcPr>
                  <w:tcW w:w="2125" w:type="dxa"/>
                </w:tcPr>
                <w:p w14:paraId="2B748ECE">
                  <w:pPr>
                    <w:jc w:val="center"/>
                    <w:rPr>
                      <w:rFonts w:hint="default" w:eastAsia="楷体"/>
                      <w:b w:val="0"/>
                      <w:bCs/>
                      <w:sz w:val="24"/>
                      <w:lang w:val="en-US" w:eastAsia="zh-CN"/>
                    </w:rPr>
                  </w:pPr>
                  <w:r>
                    <w:rPr>
                      <w:rFonts w:hint="default" w:eastAsia="楷体"/>
                      <w:b w:val="0"/>
                      <w:bCs/>
                      <w:sz w:val="24"/>
                      <w:lang w:val="en-US" w:eastAsia="zh-CN"/>
                    </w:rPr>
                    <w:t>AMARSN</w:t>
                  </w:r>
                </w:p>
              </w:tc>
              <w:tc>
                <w:tcPr>
                  <w:tcW w:w="2127" w:type="dxa"/>
                </w:tcPr>
                <w:p w14:paraId="1EA07075">
                  <w:pPr>
                    <w:numPr>
                      <w:ilvl w:val="0"/>
                      <w:numId w:val="0"/>
                    </w:numPr>
                    <w:jc w:val="center"/>
                    <w:rPr>
                      <w:rFonts w:hint="default" w:ascii="宋体" w:hAnsi="宋体"/>
                      <w:sz w:val="24"/>
                      <w:vertAlign w:val="baseline"/>
                      <w:lang w:val="en-US" w:eastAsia="zh-CN"/>
                    </w:rPr>
                  </w:pPr>
                  <w:r>
                    <w:rPr>
                      <w:rFonts w:hint="eastAsia" w:ascii="宋体" w:hAnsi="宋体"/>
                      <w:sz w:val="24"/>
                      <w:vertAlign w:val="baseline"/>
                      <w:lang w:val="en-US" w:eastAsia="zh-CN"/>
                    </w:rPr>
                    <w:t>79.55%</w:t>
                  </w:r>
                </w:p>
              </w:tc>
              <w:tc>
                <w:tcPr>
                  <w:tcW w:w="2127" w:type="dxa"/>
                </w:tcPr>
                <w:p w14:paraId="3AB21426">
                  <w:pPr>
                    <w:numPr>
                      <w:ilvl w:val="0"/>
                      <w:numId w:val="0"/>
                    </w:numPr>
                    <w:jc w:val="center"/>
                    <w:rPr>
                      <w:rFonts w:hint="default" w:ascii="宋体" w:hAnsi="宋体"/>
                      <w:sz w:val="24"/>
                      <w:vertAlign w:val="baseline"/>
                      <w:lang w:val="en-US" w:eastAsia="zh-CN"/>
                    </w:rPr>
                  </w:pPr>
                  <w:r>
                    <w:rPr>
                      <w:rFonts w:hint="eastAsia" w:ascii="宋体" w:hAnsi="宋体"/>
                      <w:sz w:val="24"/>
                      <w:vertAlign w:val="baseline"/>
                      <w:lang w:val="en-US" w:eastAsia="zh-CN"/>
                    </w:rPr>
                    <w:t>82.77%</w:t>
                  </w:r>
                </w:p>
              </w:tc>
            </w:tr>
            <w:tr w14:paraId="0532C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jc w:val="center"/>
              </w:trPr>
              <w:tc>
                <w:tcPr>
                  <w:tcW w:w="2125" w:type="dxa"/>
                </w:tcPr>
                <w:p w14:paraId="072DBC78">
                  <w:pPr>
                    <w:jc w:val="center"/>
                    <w:rPr>
                      <w:rFonts w:hint="default" w:eastAsia="楷体"/>
                      <w:b w:val="0"/>
                      <w:bCs/>
                      <w:sz w:val="24"/>
                      <w:lang w:val="en-US" w:eastAsia="zh-CN"/>
                    </w:rPr>
                  </w:pPr>
                  <w:r>
                    <w:rPr>
                      <w:rFonts w:hint="default" w:eastAsia="楷体"/>
                      <w:b w:val="0"/>
                      <w:bCs/>
                      <w:sz w:val="24"/>
                      <w:lang w:val="en-US" w:eastAsia="zh-CN"/>
                    </w:rPr>
                    <w:t>NORN</w:t>
                  </w:r>
                </w:p>
              </w:tc>
              <w:tc>
                <w:tcPr>
                  <w:tcW w:w="2127" w:type="dxa"/>
                </w:tcPr>
                <w:p w14:paraId="4C788495">
                  <w:pPr>
                    <w:numPr>
                      <w:ilvl w:val="0"/>
                      <w:numId w:val="0"/>
                    </w:numPr>
                    <w:jc w:val="center"/>
                    <w:rPr>
                      <w:rFonts w:hint="default" w:ascii="宋体" w:hAnsi="宋体"/>
                      <w:sz w:val="24"/>
                      <w:vertAlign w:val="baseline"/>
                      <w:lang w:val="en-US" w:eastAsia="zh-CN"/>
                    </w:rPr>
                  </w:pPr>
                  <w:r>
                    <w:rPr>
                      <w:rFonts w:hint="eastAsia" w:ascii="宋体" w:hAnsi="宋体"/>
                      <w:sz w:val="24"/>
                      <w:vertAlign w:val="baseline"/>
                      <w:lang w:val="en-US" w:eastAsia="zh-CN"/>
                    </w:rPr>
                    <w:t>75.64%</w:t>
                  </w:r>
                </w:p>
              </w:tc>
              <w:tc>
                <w:tcPr>
                  <w:tcW w:w="2127" w:type="dxa"/>
                </w:tcPr>
                <w:p w14:paraId="4E1446F2">
                  <w:pPr>
                    <w:numPr>
                      <w:ilvl w:val="0"/>
                      <w:numId w:val="0"/>
                    </w:numPr>
                    <w:jc w:val="center"/>
                    <w:rPr>
                      <w:rFonts w:hint="default" w:ascii="宋体" w:hAnsi="宋体"/>
                      <w:sz w:val="24"/>
                      <w:vertAlign w:val="baseline"/>
                      <w:lang w:val="en-US" w:eastAsia="zh-CN"/>
                    </w:rPr>
                  </w:pPr>
                  <w:r>
                    <w:rPr>
                      <w:rFonts w:hint="eastAsia" w:ascii="宋体" w:hAnsi="宋体"/>
                      <w:sz w:val="24"/>
                      <w:vertAlign w:val="baseline"/>
                      <w:lang w:val="en-US" w:eastAsia="zh-CN"/>
                    </w:rPr>
                    <w:t>77.66%</w:t>
                  </w:r>
                </w:p>
              </w:tc>
            </w:tr>
            <w:tr w14:paraId="56734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jc w:val="center"/>
              </w:trPr>
              <w:tc>
                <w:tcPr>
                  <w:tcW w:w="2125" w:type="dxa"/>
                </w:tcPr>
                <w:p w14:paraId="69E2E80B">
                  <w:pPr>
                    <w:jc w:val="center"/>
                    <w:rPr>
                      <w:rFonts w:hint="default" w:eastAsia="楷体"/>
                      <w:b w:val="0"/>
                      <w:bCs/>
                      <w:sz w:val="24"/>
                      <w:lang w:val="en-US" w:eastAsia="zh-CN"/>
                    </w:rPr>
                  </w:pPr>
                  <w:r>
                    <w:rPr>
                      <w:rFonts w:hint="default" w:eastAsia="楷体"/>
                      <w:b w:val="0"/>
                      <w:bCs/>
                      <w:sz w:val="24"/>
                      <w:lang w:val="en-US" w:eastAsia="zh-CN"/>
                    </w:rPr>
                    <w:t>AGFCN</w:t>
                  </w:r>
                </w:p>
              </w:tc>
              <w:tc>
                <w:tcPr>
                  <w:tcW w:w="2127" w:type="dxa"/>
                </w:tcPr>
                <w:p w14:paraId="025B0803">
                  <w:pPr>
                    <w:numPr>
                      <w:ilvl w:val="0"/>
                      <w:numId w:val="0"/>
                    </w:numPr>
                    <w:jc w:val="center"/>
                    <w:rPr>
                      <w:rFonts w:hint="default" w:ascii="宋体" w:hAnsi="宋体"/>
                      <w:sz w:val="24"/>
                      <w:vertAlign w:val="baseline"/>
                      <w:lang w:val="en-US" w:eastAsia="zh-CN"/>
                    </w:rPr>
                  </w:pPr>
                  <w:r>
                    <w:rPr>
                      <w:rFonts w:hint="eastAsia" w:ascii="宋体" w:hAnsi="宋体"/>
                      <w:sz w:val="24"/>
                      <w:vertAlign w:val="baseline"/>
                      <w:lang w:val="en-US" w:eastAsia="zh-CN"/>
                    </w:rPr>
                    <w:t>75.12%</w:t>
                  </w:r>
                </w:p>
              </w:tc>
              <w:tc>
                <w:tcPr>
                  <w:tcW w:w="2127" w:type="dxa"/>
                </w:tcPr>
                <w:p w14:paraId="0672FF71">
                  <w:pPr>
                    <w:numPr>
                      <w:ilvl w:val="0"/>
                      <w:numId w:val="0"/>
                    </w:numPr>
                    <w:jc w:val="center"/>
                    <w:rPr>
                      <w:rFonts w:hint="default" w:ascii="宋体" w:hAnsi="宋体"/>
                      <w:sz w:val="24"/>
                      <w:vertAlign w:val="baseline"/>
                      <w:lang w:val="en-US" w:eastAsia="zh-CN"/>
                    </w:rPr>
                  </w:pPr>
                  <w:r>
                    <w:rPr>
                      <w:rFonts w:hint="eastAsia" w:ascii="宋体" w:hAnsi="宋体"/>
                      <w:sz w:val="24"/>
                      <w:vertAlign w:val="baseline"/>
                      <w:lang w:val="en-US" w:eastAsia="zh-CN"/>
                    </w:rPr>
                    <w:t>74.36%</w:t>
                  </w:r>
                </w:p>
              </w:tc>
            </w:tr>
            <w:tr w14:paraId="6CE8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jc w:val="center"/>
              </w:trPr>
              <w:tc>
                <w:tcPr>
                  <w:tcW w:w="2125" w:type="dxa"/>
                </w:tcPr>
                <w:p w14:paraId="35A43B1C">
                  <w:pPr>
                    <w:jc w:val="center"/>
                    <w:rPr>
                      <w:rFonts w:hint="default" w:eastAsia="楷体"/>
                      <w:b w:val="0"/>
                      <w:bCs/>
                      <w:sz w:val="24"/>
                      <w:lang w:val="en-US" w:eastAsia="zh-CN"/>
                    </w:rPr>
                  </w:pPr>
                  <w:r>
                    <w:rPr>
                      <w:rFonts w:hint="default" w:eastAsia="楷体"/>
                      <w:b w:val="0"/>
                      <w:bCs/>
                      <w:sz w:val="24"/>
                      <w:lang w:val="en-US" w:eastAsia="zh-CN"/>
                    </w:rPr>
                    <w:t>ITFS</w:t>
                  </w:r>
                </w:p>
              </w:tc>
              <w:tc>
                <w:tcPr>
                  <w:tcW w:w="2127" w:type="dxa"/>
                </w:tcPr>
                <w:p w14:paraId="74F50DF2">
                  <w:pPr>
                    <w:numPr>
                      <w:ilvl w:val="0"/>
                      <w:numId w:val="0"/>
                    </w:numPr>
                    <w:jc w:val="center"/>
                    <w:rPr>
                      <w:rFonts w:hint="default" w:ascii="宋体" w:hAnsi="宋体"/>
                      <w:sz w:val="24"/>
                      <w:vertAlign w:val="baseline"/>
                      <w:lang w:val="en-US" w:eastAsia="zh-CN"/>
                    </w:rPr>
                  </w:pPr>
                  <w:r>
                    <w:rPr>
                      <w:rFonts w:hint="eastAsia" w:ascii="宋体" w:hAnsi="宋体"/>
                      <w:sz w:val="24"/>
                      <w:vertAlign w:val="baseline"/>
                      <w:lang w:val="en-US" w:eastAsia="zh-CN"/>
                    </w:rPr>
                    <w:t>83.06%</w:t>
                  </w:r>
                </w:p>
              </w:tc>
              <w:tc>
                <w:tcPr>
                  <w:tcW w:w="2127" w:type="dxa"/>
                </w:tcPr>
                <w:p w14:paraId="72F131A3">
                  <w:pPr>
                    <w:numPr>
                      <w:ilvl w:val="0"/>
                      <w:numId w:val="0"/>
                    </w:numPr>
                    <w:jc w:val="center"/>
                    <w:rPr>
                      <w:rFonts w:hint="default" w:ascii="宋体" w:hAnsi="宋体"/>
                      <w:sz w:val="24"/>
                      <w:vertAlign w:val="baseline"/>
                      <w:lang w:val="en-US" w:eastAsia="zh-CN"/>
                    </w:rPr>
                  </w:pPr>
                  <w:r>
                    <w:rPr>
                      <w:rFonts w:hint="eastAsia" w:ascii="宋体" w:hAnsi="宋体"/>
                      <w:sz w:val="24"/>
                      <w:vertAlign w:val="baseline"/>
                      <w:lang w:val="en-US" w:eastAsia="zh-CN"/>
                    </w:rPr>
                    <w:t>85.43%</w:t>
                  </w:r>
                </w:p>
              </w:tc>
            </w:tr>
            <w:tr w14:paraId="6456D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jc w:val="center"/>
              </w:trPr>
              <w:tc>
                <w:tcPr>
                  <w:tcW w:w="2125" w:type="dxa"/>
                </w:tcPr>
                <w:p w14:paraId="064A4297">
                  <w:pPr>
                    <w:jc w:val="center"/>
                    <w:rPr>
                      <w:rFonts w:hint="default" w:eastAsia="楷体"/>
                      <w:b w:val="0"/>
                      <w:bCs/>
                      <w:sz w:val="24"/>
                      <w:lang w:val="en-US" w:eastAsia="zh-CN"/>
                    </w:rPr>
                  </w:pPr>
                  <w:r>
                    <w:rPr>
                      <w:rFonts w:hint="default" w:eastAsia="楷体"/>
                      <w:b w:val="0"/>
                      <w:bCs/>
                      <w:sz w:val="24"/>
                      <w:lang w:val="en-US" w:eastAsia="zh-CN"/>
                    </w:rPr>
                    <w:t>DSAN</w:t>
                  </w:r>
                </w:p>
              </w:tc>
              <w:tc>
                <w:tcPr>
                  <w:tcW w:w="2127" w:type="dxa"/>
                </w:tcPr>
                <w:p w14:paraId="2A240682">
                  <w:pPr>
                    <w:numPr>
                      <w:ilvl w:val="0"/>
                      <w:numId w:val="0"/>
                    </w:numPr>
                    <w:jc w:val="center"/>
                    <w:rPr>
                      <w:rFonts w:hint="default" w:ascii="宋体" w:hAnsi="宋体"/>
                      <w:sz w:val="24"/>
                      <w:vertAlign w:val="baseline"/>
                      <w:lang w:val="en-US" w:eastAsia="zh-CN"/>
                    </w:rPr>
                  </w:pPr>
                  <w:r>
                    <w:rPr>
                      <w:rFonts w:hint="eastAsia" w:ascii="宋体" w:hAnsi="宋体"/>
                      <w:sz w:val="24"/>
                      <w:vertAlign w:val="baseline"/>
                      <w:lang w:val="en-US" w:eastAsia="zh-CN"/>
                    </w:rPr>
                    <w:t>89.32%</w:t>
                  </w:r>
                </w:p>
              </w:tc>
              <w:tc>
                <w:tcPr>
                  <w:tcW w:w="2127" w:type="dxa"/>
                </w:tcPr>
                <w:p w14:paraId="6310194A">
                  <w:pPr>
                    <w:numPr>
                      <w:ilvl w:val="0"/>
                      <w:numId w:val="0"/>
                    </w:numPr>
                    <w:jc w:val="center"/>
                    <w:rPr>
                      <w:rFonts w:hint="default" w:ascii="宋体" w:hAnsi="宋体"/>
                      <w:sz w:val="24"/>
                      <w:vertAlign w:val="baseline"/>
                      <w:lang w:val="en-US" w:eastAsia="zh-CN"/>
                    </w:rPr>
                  </w:pPr>
                  <w:r>
                    <w:rPr>
                      <w:rFonts w:hint="eastAsia" w:ascii="宋体" w:hAnsi="宋体"/>
                      <w:sz w:val="24"/>
                      <w:vertAlign w:val="baseline"/>
                      <w:lang w:val="en-US" w:eastAsia="zh-CN"/>
                    </w:rPr>
                    <w:t>87.11%</w:t>
                  </w:r>
                </w:p>
              </w:tc>
            </w:tr>
            <w:tr w14:paraId="28371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jc w:val="center"/>
              </w:trPr>
              <w:tc>
                <w:tcPr>
                  <w:tcW w:w="2125" w:type="dxa"/>
                </w:tcPr>
                <w:p w14:paraId="5799C700">
                  <w:pPr>
                    <w:jc w:val="center"/>
                    <w:rPr>
                      <w:rFonts w:hint="default" w:eastAsia="楷体"/>
                      <w:b w:val="0"/>
                      <w:bCs/>
                      <w:sz w:val="24"/>
                      <w:lang w:val="en-US" w:eastAsia="zh-CN"/>
                    </w:rPr>
                  </w:pPr>
                  <w:r>
                    <w:rPr>
                      <w:rFonts w:hint="default" w:eastAsia="楷体"/>
                      <w:b w:val="0"/>
                      <w:bCs/>
                      <w:sz w:val="24"/>
                      <w:lang w:val="en-US" w:eastAsia="zh-CN"/>
                    </w:rPr>
                    <w:t>PEOTL</w:t>
                  </w:r>
                </w:p>
              </w:tc>
              <w:tc>
                <w:tcPr>
                  <w:tcW w:w="2127" w:type="dxa"/>
                </w:tcPr>
                <w:p w14:paraId="64655589">
                  <w:pPr>
                    <w:numPr>
                      <w:ilvl w:val="0"/>
                      <w:numId w:val="0"/>
                    </w:numPr>
                    <w:jc w:val="center"/>
                    <w:rPr>
                      <w:rFonts w:hint="default" w:ascii="宋体" w:hAnsi="宋体"/>
                      <w:sz w:val="24"/>
                      <w:vertAlign w:val="baseline"/>
                      <w:lang w:val="en-US" w:eastAsia="zh-CN"/>
                    </w:rPr>
                  </w:pPr>
                  <w:r>
                    <w:rPr>
                      <w:rFonts w:hint="eastAsia" w:ascii="宋体" w:hAnsi="宋体"/>
                      <w:sz w:val="24"/>
                      <w:vertAlign w:val="baseline"/>
                      <w:lang w:val="en-US" w:eastAsia="zh-CN"/>
                    </w:rPr>
                    <w:t>81.27%</w:t>
                  </w:r>
                </w:p>
              </w:tc>
              <w:tc>
                <w:tcPr>
                  <w:tcW w:w="2127" w:type="dxa"/>
                </w:tcPr>
                <w:p w14:paraId="3C86F24C">
                  <w:pPr>
                    <w:numPr>
                      <w:ilvl w:val="0"/>
                      <w:numId w:val="0"/>
                    </w:numPr>
                    <w:jc w:val="center"/>
                    <w:rPr>
                      <w:rFonts w:hint="default" w:ascii="宋体" w:hAnsi="宋体"/>
                      <w:sz w:val="24"/>
                      <w:vertAlign w:val="baseline"/>
                      <w:lang w:val="en-US" w:eastAsia="zh-CN"/>
                    </w:rPr>
                  </w:pPr>
                  <w:r>
                    <w:rPr>
                      <w:rFonts w:hint="eastAsia" w:ascii="宋体" w:hAnsi="宋体"/>
                      <w:sz w:val="24"/>
                      <w:vertAlign w:val="baseline"/>
                      <w:lang w:val="en-US" w:eastAsia="zh-CN"/>
                    </w:rPr>
                    <w:t>84.93%</w:t>
                  </w:r>
                </w:p>
              </w:tc>
            </w:tr>
            <w:tr w14:paraId="70C71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jc w:val="center"/>
              </w:trPr>
              <w:tc>
                <w:tcPr>
                  <w:tcW w:w="2125" w:type="dxa"/>
                </w:tcPr>
                <w:p w14:paraId="037132C2">
                  <w:pPr>
                    <w:jc w:val="center"/>
                    <w:rPr>
                      <w:rFonts w:hint="default" w:eastAsia="楷体"/>
                      <w:b w:val="0"/>
                      <w:bCs/>
                      <w:sz w:val="24"/>
                      <w:lang w:val="en-US" w:eastAsia="zh-CN"/>
                    </w:rPr>
                  </w:pPr>
                  <w:r>
                    <w:rPr>
                      <w:rFonts w:hint="default" w:eastAsia="楷体"/>
                      <w:b w:val="0"/>
                      <w:bCs/>
                      <w:sz w:val="24"/>
                      <w:lang w:val="en-US" w:eastAsia="zh-CN"/>
                    </w:rPr>
                    <w:t>ISGFAN</w:t>
                  </w:r>
                </w:p>
              </w:tc>
              <w:tc>
                <w:tcPr>
                  <w:tcW w:w="2127" w:type="dxa"/>
                </w:tcPr>
                <w:p w14:paraId="479BAEA0">
                  <w:pPr>
                    <w:numPr>
                      <w:ilvl w:val="0"/>
                      <w:numId w:val="0"/>
                    </w:numPr>
                    <w:jc w:val="center"/>
                    <w:rPr>
                      <w:rFonts w:hint="default" w:ascii="宋体" w:hAnsi="宋体"/>
                      <w:sz w:val="24"/>
                      <w:vertAlign w:val="baseline"/>
                      <w:lang w:val="en-US" w:eastAsia="zh-CN"/>
                    </w:rPr>
                  </w:pPr>
                  <w:r>
                    <w:rPr>
                      <w:rFonts w:hint="eastAsia" w:ascii="宋体" w:hAnsi="宋体"/>
                      <w:sz w:val="24"/>
                      <w:vertAlign w:val="baseline"/>
                      <w:lang w:val="en-US" w:eastAsia="zh-CN"/>
                    </w:rPr>
                    <w:t>95.48%</w:t>
                  </w:r>
                </w:p>
              </w:tc>
              <w:tc>
                <w:tcPr>
                  <w:tcW w:w="2127" w:type="dxa"/>
                </w:tcPr>
                <w:p w14:paraId="4562C8AA">
                  <w:pPr>
                    <w:numPr>
                      <w:ilvl w:val="0"/>
                      <w:numId w:val="0"/>
                    </w:numPr>
                    <w:jc w:val="center"/>
                    <w:rPr>
                      <w:rFonts w:hint="default" w:ascii="宋体" w:hAnsi="宋体"/>
                      <w:sz w:val="24"/>
                      <w:vertAlign w:val="baseline"/>
                      <w:lang w:val="en-US" w:eastAsia="zh-CN"/>
                    </w:rPr>
                  </w:pPr>
                  <w:r>
                    <w:rPr>
                      <w:rFonts w:hint="eastAsia" w:ascii="宋体" w:hAnsi="宋体"/>
                      <w:sz w:val="24"/>
                      <w:vertAlign w:val="baseline"/>
                      <w:lang w:val="en-US" w:eastAsia="zh-CN"/>
                    </w:rPr>
                    <w:t>94.07%</w:t>
                  </w:r>
                </w:p>
              </w:tc>
            </w:tr>
            <w:tr w14:paraId="2EB2C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jc w:val="center"/>
              </w:trPr>
              <w:tc>
                <w:tcPr>
                  <w:tcW w:w="2125" w:type="dxa"/>
                </w:tcPr>
                <w:p w14:paraId="3FB408CC">
                  <w:pPr>
                    <w:jc w:val="center"/>
                    <w:rPr>
                      <w:rFonts w:hint="default" w:eastAsia="楷体"/>
                      <w:b w:val="0"/>
                      <w:bCs/>
                      <w:sz w:val="24"/>
                      <w:lang w:val="en-US" w:eastAsia="zh-CN"/>
                    </w:rPr>
                  </w:pPr>
                  <w:r>
                    <w:rPr>
                      <w:rFonts w:hint="default" w:eastAsia="楷体"/>
                      <w:b/>
                      <w:bCs w:val="0"/>
                      <w:sz w:val="24"/>
                      <w:lang w:val="en-US" w:eastAsia="zh-CN"/>
                    </w:rPr>
                    <w:t>ISGFAN</w:t>
                  </w:r>
                  <w:r>
                    <w:rPr>
                      <w:rFonts w:hint="eastAsia" w:eastAsia="楷体"/>
                      <w:b/>
                      <w:bCs w:val="0"/>
                      <w:sz w:val="24"/>
                      <w:lang w:val="en-US" w:eastAsia="zh-CN"/>
                    </w:rPr>
                    <w:t>+</w:t>
                  </w:r>
                  <w:r>
                    <w:rPr>
                      <w:rFonts w:hint="default" w:eastAsia="楷体"/>
                      <w:b/>
                      <w:bCs w:val="0"/>
                      <w:sz w:val="24"/>
                      <w:lang w:val="en-US" w:eastAsia="zh-CN"/>
                    </w:rPr>
                    <w:t>GRL+TEC</w:t>
                  </w:r>
                </w:p>
              </w:tc>
              <w:tc>
                <w:tcPr>
                  <w:tcW w:w="2127" w:type="dxa"/>
                </w:tcPr>
                <w:p w14:paraId="0CE87786">
                  <w:pPr>
                    <w:numPr>
                      <w:ilvl w:val="0"/>
                      <w:numId w:val="0"/>
                    </w:numPr>
                    <w:jc w:val="center"/>
                    <w:rPr>
                      <w:rFonts w:hint="default" w:ascii="宋体" w:hAnsi="宋体"/>
                      <w:b/>
                      <w:bCs/>
                      <w:sz w:val="24"/>
                      <w:vertAlign w:val="baseline"/>
                      <w:lang w:val="en-US" w:eastAsia="zh-CN"/>
                    </w:rPr>
                  </w:pPr>
                  <w:r>
                    <w:rPr>
                      <w:rFonts w:hint="eastAsia" w:ascii="宋体" w:hAnsi="宋体"/>
                      <w:b/>
                      <w:bCs/>
                      <w:sz w:val="24"/>
                      <w:vertAlign w:val="baseline"/>
                      <w:lang w:val="en-US" w:eastAsia="zh-CN"/>
                    </w:rPr>
                    <w:t>97.00%</w:t>
                  </w:r>
                </w:p>
              </w:tc>
              <w:tc>
                <w:tcPr>
                  <w:tcW w:w="2127" w:type="dxa"/>
                </w:tcPr>
                <w:p w14:paraId="33FEE902">
                  <w:pPr>
                    <w:numPr>
                      <w:ilvl w:val="0"/>
                      <w:numId w:val="0"/>
                    </w:numPr>
                    <w:jc w:val="center"/>
                    <w:rPr>
                      <w:rFonts w:hint="default" w:ascii="宋体" w:hAnsi="宋体"/>
                      <w:b/>
                      <w:bCs/>
                      <w:sz w:val="24"/>
                      <w:vertAlign w:val="baseline"/>
                      <w:lang w:val="en-US" w:eastAsia="zh-CN"/>
                    </w:rPr>
                  </w:pPr>
                  <w:r>
                    <w:rPr>
                      <w:rFonts w:hint="eastAsia" w:ascii="宋体" w:hAnsi="宋体"/>
                      <w:b/>
                      <w:bCs/>
                      <w:sz w:val="24"/>
                      <w:vertAlign w:val="baseline"/>
                      <w:lang w:val="en-US" w:eastAsia="zh-CN"/>
                    </w:rPr>
                    <w:t>96.58%</w:t>
                  </w:r>
                </w:p>
              </w:tc>
            </w:tr>
          </w:tbl>
          <w:p w14:paraId="23286235">
            <w:pPr>
              <w:numPr>
                <w:ilvl w:val="0"/>
                <w:numId w:val="0"/>
              </w:numPr>
              <w:jc w:val="center"/>
              <w:rPr>
                <w:rFonts w:hint="eastAsia" w:ascii="宋体" w:hAnsi="宋体"/>
                <w:sz w:val="21"/>
                <w:szCs w:val="21"/>
                <w:lang w:val="en-US" w:eastAsia="zh-CN"/>
              </w:rPr>
            </w:pPr>
            <w:r>
              <w:rPr>
                <w:rFonts w:hint="eastAsia" w:ascii="宋体" w:hAnsi="宋体"/>
                <w:sz w:val="21"/>
                <w:szCs w:val="21"/>
                <w:lang w:val="en-US" w:eastAsia="zh-CN"/>
              </w:rPr>
              <w:t>表1：模型性能比较：在CWRU数据集上各种模型的迁移准确性。</w:t>
            </w:r>
          </w:p>
          <w:p w14:paraId="6FF4549D">
            <w:pPr>
              <w:numPr>
                <w:ilvl w:val="0"/>
                <w:numId w:val="0"/>
              </w:numPr>
              <w:jc w:val="center"/>
            </w:pPr>
            <w:r>
              <w:rPr>
                <w:rFonts w:ascii="宋体" w:hAnsi="宋体" w:eastAsia="宋体" w:cs="宋体"/>
                <w:sz w:val="24"/>
                <w:szCs w:val="24"/>
              </w:rPr>
              <w:drawing>
                <wp:inline distT="0" distB="0" distL="114300" distR="114300">
                  <wp:extent cx="4322445" cy="3241675"/>
                  <wp:effectExtent l="0" t="0" r="8890" b="3810"/>
                  <wp:docPr id="1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descr="IMG_256"/>
                          <pic:cNvPicPr>
                            <a:picLocks noChangeAspect="1"/>
                          </pic:cNvPicPr>
                        </pic:nvPicPr>
                        <pic:blipFill>
                          <a:blip r:embed="rId14"/>
                          <a:stretch>
                            <a:fillRect/>
                          </a:stretch>
                        </pic:blipFill>
                        <pic:spPr>
                          <a:xfrm>
                            <a:off x="0" y="0"/>
                            <a:ext cx="4322445" cy="3241675"/>
                          </a:xfrm>
                          <a:prstGeom prst="rect">
                            <a:avLst/>
                          </a:prstGeom>
                          <a:noFill/>
                          <a:ln w="9525">
                            <a:noFill/>
                          </a:ln>
                        </pic:spPr>
                      </pic:pic>
                    </a:graphicData>
                  </a:graphic>
                </wp:inline>
              </w:drawing>
            </w:r>
          </w:p>
          <w:p w14:paraId="24D7B180">
            <w:pPr>
              <w:numPr>
                <w:ilvl w:val="0"/>
                <w:numId w:val="0"/>
              </w:numPr>
              <w:jc w:val="center"/>
              <w:rPr>
                <w:rFonts w:hint="default" w:ascii="宋体" w:hAnsi="宋体"/>
                <w:sz w:val="21"/>
                <w:szCs w:val="21"/>
                <w:lang w:val="en-US" w:eastAsia="zh-CN"/>
              </w:rPr>
            </w:pPr>
            <w:r>
              <w:rPr>
                <w:rFonts w:hint="eastAsia" w:ascii="宋体" w:hAnsi="宋体"/>
                <w:sz w:val="21"/>
                <w:szCs w:val="21"/>
                <w:lang w:val="en-US" w:eastAsia="zh-CN"/>
              </w:rPr>
              <w:t>图2：CWRU数据集上SGFAN+GRL+TEC与原始模型测试性能对比（损失）</w:t>
            </w:r>
          </w:p>
          <w:p w14:paraId="69C4816E">
            <w:pPr>
              <w:numPr>
                <w:ilvl w:val="0"/>
                <w:numId w:val="0"/>
              </w:numPr>
              <w:rPr>
                <w:rFonts w:hint="default" w:ascii="宋体" w:hAnsi="宋体"/>
                <w:sz w:val="24"/>
                <w:lang w:val="en-US" w:eastAsia="zh-CN"/>
              </w:rPr>
            </w:pPr>
            <w:r>
              <w:rPr>
                <w:rFonts w:hint="default" w:ascii="宋体" w:hAnsi="宋体"/>
                <w:sz w:val="24"/>
                <w:lang w:val="en-US" w:eastAsia="zh-CN"/>
              </w:rPr>
              <w:t>（2）私有数据集</w:t>
            </w:r>
          </w:p>
          <w:p w14:paraId="00982132">
            <w:pPr>
              <w:numPr>
                <w:ilvl w:val="0"/>
                <w:numId w:val="0"/>
              </w:numPr>
              <w:rPr>
                <w:rFonts w:hint="default" w:ascii="宋体" w:hAnsi="宋体"/>
                <w:sz w:val="24"/>
                <w:lang w:val="en-US" w:eastAsia="zh-CN"/>
              </w:rPr>
            </w:pPr>
            <w:r>
              <w:rPr>
                <w:rFonts w:hint="default" w:ascii="宋体" w:hAnsi="宋体"/>
                <w:sz w:val="24"/>
                <w:lang w:val="en-US" w:eastAsia="zh-CN"/>
              </w:rPr>
              <w:t>根据当前对比脚本统计：</w:t>
            </w:r>
          </w:p>
          <w:p w14:paraId="2BC6F85A">
            <w:pPr>
              <w:numPr>
                <w:ilvl w:val="0"/>
                <w:numId w:val="0"/>
              </w:numPr>
              <w:rPr>
                <w:rFonts w:hint="default" w:ascii="宋体" w:hAnsi="宋体"/>
                <w:sz w:val="24"/>
                <w:lang w:val="en-US" w:eastAsia="zh-CN"/>
              </w:rPr>
            </w:pPr>
            <w:r>
              <w:rPr>
                <w:rFonts w:hint="default" w:ascii="宋体" w:hAnsi="宋体"/>
                <w:sz w:val="24"/>
                <w:lang w:val="en-US" w:eastAsia="zh-CN"/>
              </w:rPr>
              <w:t>trainself_original：best acc = 0.9875</w:t>
            </w:r>
          </w:p>
          <w:p w14:paraId="40587257">
            <w:pPr>
              <w:numPr>
                <w:ilvl w:val="0"/>
                <w:numId w:val="0"/>
              </w:numPr>
              <w:rPr>
                <w:rFonts w:hint="default" w:ascii="宋体" w:hAnsi="宋体"/>
                <w:sz w:val="24"/>
                <w:lang w:val="en-US" w:eastAsia="zh-CN"/>
              </w:rPr>
            </w:pPr>
            <w:r>
              <w:rPr>
                <w:rFonts w:hint="default" w:ascii="宋体" w:hAnsi="宋体"/>
                <w:sz w:val="24"/>
                <w:lang w:val="en-US" w:eastAsia="zh-CN"/>
              </w:rPr>
              <w:t>trainself_grl_tec：best acc = 0.9923</w:t>
            </w:r>
          </w:p>
          <w:p w14:paraId="3721F089">
            <w:pPr>
              <w:numPr>
                <w:ilvl w:val="0"/>
                <w:numId w:val="0"/>
              </w:numPr>
              <w:rPr>
                <w:rFonts w:hint="eastAsia" w:ascii="宋体" w:hAnsi="宋体"/>
                <w:sz w:val="24"/>
                <w:lang w:val="en-US" w:eastAsia="zh-CN"/>
              </w:rPr>
            </w:pPr>
            <w:r>
              <w:rPr>
                <w:rFonts w:hint="default" w:ascii="宋体" w:hAnsi="宋体"/>
                <w:sz w:val="24"/>
                <w:lang w:val="en-US" w:eastAsia="zh-CN"/>
              </w:rPr>
              <w:t>结果表明，改进策略在私有数据上相较原始方法有精度提升</w:t>
            </w:r>
            <w:r>
              <w:rPr>
                <w:rFonts w:hint="eastAsia" w:ascii="宋体" w:hAnsi="宋体"/>
                <w:sz w:val="24"/>
                <w:lang w:val="en-US" w:eastAsia="zh-CN"/>
              </w:rPr>
              <w:t>。</w:t>
            </w:r>
          </w:p>
          <w:p w14:paraId="31023486">
            <w:pPr>
              <w:numPr>
                <w:ilvl w:val="0"/>
                <w:numId w:val="0"/>
              </w:numPr>
              <w:jc w:val="center"/>
            </w:pPr>
            <w:r>
              <w:rPr>
                <w:rFonts w:ascii="宋体" w:hAnsi="宋体" w:eastAsia="宋体" w:cs="宋体"/>
                <w:sz w:val="24"/>
                <w:szCs w:val="24"/>
              </w:rPr>
              <w:drawing>
                <wp:inline distT="0" distB="0" distL="114300" distR="114300">
                  <wp:extent cx="4140835" cy="3106420"/>
                  <wp:effectExtent l="0" t="0" r="9525" b="6350"/>
                  <wp:docPr id="1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descr="IMG_256"/>
                          <pic:cNvPicPr>
                            <a:picLocks noChangeAspect="1"/>
                          </pic:cNvPicPr>
                        </pic:nvPicPr>
                        <pic:blipFill>
                          <a:blip r:embed="rId15"/>
                          <a:stretch>
                            <a:fillRect/>
                          </a:stretch>
                        </pic:blipFill>
                        <pic:spPr>
                          <a:xfrm>
                            <a:off x="0" y="0"/>
                            <a:ext cx="4140835" cy="3106420"/>
                          </a:xfrm>
                          <a:prstGeom prst="rect">
                            <a:avLst/>
                          </a:prstGeom>
                          <a:noFill/>
                          <a:ln w="9525">
                            <a:noFill/>
                          </a:ln>
                        </pic:spPr>
                      </pic:pic>
                    </a:graphicData>
                  </a:graphic>
                </wp:inline>
              </w:drawing>
            </w:r>
          </w:p>
          <w:p w14:paraId="4A30F239">
            <w:pPr>
              <w:numPr>
                <w:ilvl w:val="0"/>
                <w:numId w:val="0"/>
              </w:numPr>
              <w:jc w:val="center"/>
              <w:rPr>
                <w:rFonts w:hint="eastAsia"/>
                <w:lang w:val="en-US" w:eastAsia="zh-CN"/>
              </w:rPr>
            </w:pPr>
            <w:r>
              <w:rPr>
                <w:rFonts w:hint="eastAsia" w:ascii="宋体" w:hAnsi="宋体"/>
                <w:sz w:val="21"/>
                <w:szCs w:val="21"/>
                <w:lang w:val="en-US" w:eastAsia="zh-CN"/>
              </w:rPr>
              <w:t>图3：私有逆变器数据集上SGFAN+GRL+TEC与原始模型测试性能对比（损失）</w:t>
            </w:r>
          </w:p>
          <w:p w14:paraId="26C54817">
            <w:pPr>
              <w:numPr>
                <w:ilvl w:val="0"/>
                <w:numId w:val="0"/>
              </w:numPr>
              <w:rPr>
                <w:rFonts w:hint="default" w:ascii="宋体" w:hAnsi="宋体"/>
                <w:sz w:val="24"/>
                <w:lang w:val="en-US" w:eastAsia="zh-CN"/>
              </w:rPr>
            </w:pPr>
          </w:p>
          <w:p w14:paraId="24D84852">
            <w:pPr>
              <w:numPr>
                <w:ilvl w:val="0"/>
                <w:numId w:val="0"/>
              </w:numPr>
              <w:rPr>
                <w:rFonts w:hint="default" w:ascii="宋体" w:hAnsi="宋体"/>
                <w:sz w:val="24"/>
                <w:lang w:val="en-US" w:eastAsia="zh-CN"/>
              </w:rPr>
            </w:pPr>
            <w:r>
              <w:rPr>
                <w:rFonts w:hint="default" w:ascii="宋体" w:hAnsi="宋体"/>
                <w:sz w:val="24"/>
                <w:lang w:val="en-US" w:eastAsia="zh-CN"/>
              </w:rPr>
              <w:t>4.</w:t>
            </w:r>
            <w:r>
              <w:rPr>
                <w:rFonts w:hint="eastAsia" w:ascii="宋体" w:hAnsi="宋体"/>
                <w:sz w:val="24"/>
                <w:lang w:val="en-US" w:eastAsia="zh-CN"/>
              </w:rPr>
              <w:t>5</w:t>
            </w:r>
            <w:r>
              <w:rPr>
                <w:rFonts w:hint="default" w:ascii="宋体" w:hAnsi="宋体"/>
                <w:sz w:val="24"/>
                <w:lang w:val="en-US" w:eastAsia="zh-CN"/>
              </w:rPr>
              <w:t xml:space="preserve"> 可视化结果</w:t>
            </w:r>
          </w:p>
          <w:p w14:paraId="70BA8CFA">
            <w:pPr>
              <w:numPr>
                <w:ilvl w:val="0"/>
                <w:numId w:val="0"/>
              </w:numPr>
              <w:ind w:firstLine="480" w:firstLineChars="200"/>
              <w:rPr>
                <w:rFonts w:hint="default" w:ascii="宋体" w:hAnsi="宋体"/>
                <w:sz w:val="24"/>
                <w:lang w:val="en-US" w:eastAsia="zh-CN"/>
              </w:rPr>
            </w:pPr>
            <w:r>
              <w:rPr>
                <w:rFonts w:hint="default" w:ascii="宋体" w:hAnsi="宋体"/>
                <w:sz w:val="24"/>
                <w:lang w:val="en-US" w:eastAsia="zh-CN"/>
              </w:rPr>
              <w:t>在</w:t>
            </w:r>
            <w:r>
              <w:rPr>
                <w:rFonts w:hint="eastAsia" w:eastAsia="楷体"/>
                <w:b w:val="0"/>
                <w:bCs/>
                <w:sz w:val="24"/>
                <w:lang w:val="en-US" w:eastAsia="zh-CN"/>
              </w:rPr>
              <w:t>SGFAN+GRL+TEC</w:t>
            </w:r>
            <w:r>
              <w:rPr>
                <w:rFonts w:hint="eastAsia" w:ascii="宋体" w:hAnsi="宋体"/>
                <w:sz w:val="21"/>
                <w:szCs w:val="21"/>
                <w:lang w:val="en-US" w:eastAsia="zh-CN"/>
              </w:rPr>
              <w:t>与原</w:t>
            </w:r>
            <w:r>
              <w:rPr>
                <w:rFonts w:hint="eastAsia" w:eastAsia="楷体"/>
                <w:b w:val="0"/>
                <w:bCs/>
                <w:sz w:val="24"/>
                <w:lang w:val="en-US" w:eastAsia="zh-CN"/>
              </w:rPr>
              <w:t>ISFGAN</w:t>
            </w:r>
            <w:r>
              <w:rPr>
                <w:rFonts w:hint="default" w:ascii="宋体" w:hAnsi="宋体"/>
                <w:sz w:val="24"/>
                <w:lang w:val="en-US" w:eastAsia="zh-CN"/>
              </w:rPr>
              <w:t>的可视化对比中，</w:t>
            </w:r>
            <w:r>
              <w:rPr>
                <w:rFonts w:hint="eastAsia" w:eastAsia="楷体"/>
                <w:b w:val="0"/>
                <w:bCs/>
                <w:sz w:val="24"/>
                <w:lang w:val="en-US" w:eastAsia="zh-CN"/>
              </w:rPr>
              <w:t>GRL+TEC</w:t>
            </w:r>
            <w:r>
              <w:rPr>
                <w:rFonts w:hint="default" w:ascii="宋体" w:hAnsi="宋体"/>
                <w:sz w:val="24"/>
                <w:lang w:val="en-US" w:eastAsia="zh-CN"/>
              </w:rPr>
              <w:t>版本在类簇分离度与边界清晰度上整体更优，与精度提升结论一致。</w:t>
            </w:r>
          </w:p>
          <w:p w14:paraId="5BD107BA">
            <w:pPr>
              <w:numPr>
                <w:ilvl w:val="0"/>
                <w:numId w:val="0"/>
              </w:numPr>
              <w:jc w:val="center"/>
            </w:pPr>
            <w:r>
              <w:drawing>
                <wp:inline distT="0" distB="0" distL="114300" distR="114300">
                  <wp:extent cx="6118860" cy="3209290"/>
                  <wp:effectExtent l="0" t="0" r="10160" b="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6"/>
                          <a:stretch>
                            <a:fillRect/>
                          </a:stretch>
                        </pic:blipFill>
                        <pic:spPr>
                          <a:xfrm>
                            <a:off x="0" y="0"/>
                            <a:ext cx="6118860" cy="3209290"/>
                          </a:xfrm>
                          <a:prstGeom prst="rect">
                            <a:avLst/>
                          </a:prstGeom>
                          <a:noFill/>
                          <a:ln>
                            <a:noFill/>
                          </a:ln>
                        </pic:spPr>
                      </pic:pic>
                    </a:graphicData>
                  </a:graphic>
                </wp:inline>
              </w:drawing>
            </w:r>
          </w:p>
          <w:p w14:paraId="73CDB81A">
            <w:pPr>
              <w:numPr>
                <w:ilvl w:val="0"/>
                <w:numId w:val="0"/>
              </w:numPr>
              <w:jc w:val="center"/>
              <w:rPr>
                <w:rFonts w:hint="eastAsia" w:ascii="宋体" w:hAnsi="宋体"/>
                <w:sz w:val="21"/>
                <w:szCs w:val="21"/>
                <w:lang w:val="en-US" w:eastAsia="zh-CN"/>
              </w:rPr>
            </w:pPr>
            <w:r>
              <w:rPr>
                <w:rFonts w:hint="eastAsia" w:ascii="宋体" w:hAnsi="宋体"/>
                <w:sz w:val="21"/>
                <w:szCs w:val="21"/>
                <w:lang w:val="en-US" w:eastAsia="zh-CN"/>
              </w:rPr>
              <w:t>图4：CWRU数据集上SGFAN+GRL+TEC与原始模型跨域特征分布图（t-SNE）</w:t>
            </w:r>
          </w:p>
          <w:p w14:paraId="75F56259">
            <w:pPr>
              <w:numPr>
                <w:ilvl w:val="0"/>
                <w:numId w:val="0"/>
              </w:numPr>
              <w:jc w:val="center"/>
              <w:rPr>
                <w:rFonts w:hint="eastAsia" w:ascii="宋体" w:hAnsi="宋体"/>
                <w:sz w:val="21"/>
                <w:szCs w:val="21"/>
                <w:lang w:val="en-US" w:eastAsia="zh-CN"/>
              </w:rPr>
            </w:pPr>
          </w:p>
          <w:p w14:paraId="3D20AC8F">
            <w:pPr>
              <w:numPr>
                <w:ilvl w:val="0"/>
                <w:numId w:val="0"/>
              </w:numPr>
              <w:ind w:firstLine="480" w:firstLineChars="200"/>
              <w:rPr>
                <w:rFonts w:hint="default" w:ascii="宋体" w:hAnsi="宋体"/>
                <w:sz w:val="24"/>
                <w:lang w:val="en-US" w:eastAsia="zh-CN"/>
              </w:rPr>
            </w:pPr>
            <w:r>
              <w:rPr>
                <w:rFonts w:hint="eastAsia" w:ascii="宋体" w:hAnsi="宋体"/>
                <w:sz w:val="24"/>
                <w:lang w:val="en-US" w:eastAsia="zh-CN"/>
              </w:rPr>
              <w:t>此外，</w:t>
            </w:r>
            <w:r>
              <w:rPr>
                <w:rFonts w:hint="eastAsia" w:eastAsia="楷体"/>
                <w:b w:val="0"/>
                <w:bCs/>
                <w:sz w:val="24"/>
                <w:lang w:val="en-US" w:eastAsia="zh-CN"/>
              </w:rPr>
              <w:t>SGFAN+GRL+TEC</w:t>
            </w:r>
            <w:r>
              <w:rPr>
                <w:rFonts w:hint="eastAsia" w:ascii="宋体" w:hAnsi="宋体"/>
                <w:sz w:val="21"/>
                <w:szCs w:val="21"/>
                <w:lang w:val="en-US" w:eastAsia="zh-CN"/>
              </w:rPr>
              <w:t>的</w:t>
            </w:r>
            <w:r>
              <w:rPr>
                <w:rFonts w:hint="default" w:ascii="宋体" w:hAnsi="宋体"/>
                <w:sz w:val="24"/>
                <w:lang w:val="en-US" w:eastAsia="zh-CN"/>
              </w:rPr>
              <w:t>混淆矩阵对角线集中，错误类别混淆少。</w:t>
            </w:r>
          </w:p>
          <w:p w14:paraId="74890A20">
            <w:pPr>
              <w:numPr>
                <w:ilvl w:val="0"/>
                <w:numId w:val="0"/>
              </w:numPr>
              <w:jc w:val="center"/>
            </w:pPr>
            <w:r>
              <w:drawing>
                <wp:inline distT="0" distB="0" distL="114300" distR="114300">
                  <wp:extent cx="2957195" cy="2465705"/>
                  <wp:effectExtent l="0" t="0" r="10795"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7"/>
                          <a:stretch>
                            <a:fillRect/>
                          </a:stretch>
                        </pic:blipFill>
                        <pic:spPr>
                          <a:xfrm>
                            <a:off x="0" y="0"/>
                            <a:ext cx="2957195" cy="2465705"/>
                          </a:xfrm>
                          <a:prstGeom prst="rect">
                            <a:avLst/>
                          </a:prstGeom>
                          <a:noFill/>
                          <a:ln>
                            <a:noFill/>
                          </a:ln>
                        </pic:spPr>
                      </pic:pic>
                    </a:graphicData>
                  </a:graphic>
                </wp:inline>
              </w:drawing>
            </w:r>
          </w:p>
          <w:p w14:paraId="5015C170">
            <w:pPr>
              <w:numPr>
                <w:ilvl w:val="0"/>
                <w:numId w:val="0"/>
              </w:numPr>
              <w:jc w:val="center"/>
              <w:rPr>
                <w:rFonts w:hint="default" w:ascii="宋体" w:hAnsi="宋体"/>
                <w:sz w:val="21"/>
                <w:szCs w:val="21"/>
                <w:lang w:val="en-US" w:eastAsia="zh-CN"/>
              </w:rPr>
            </w:pPr>
            <w:r>
              <w:rPr>
                <w:rFonts w:hint="eastAsia" w:ascii="宋体" w:hAnsi="宋体"/>
                <w:sz w:val="21"/>
                <w:szCs w:val="21"/>
                <w:lang w:val="en-US" w:eastAsia="zh-CN"/>
              </w:rPr>
              <w:t>图5：CWRU数据集上SGFAN+GRL+TEC混淆矩阵</w:t>
            </w:r>
          </w:p>
          <w:p w14:paraId="1386107A">
            <w:pPr>
              <w:numPr>
                <w:ilvl w:val="0"/>
                <w:numId w:val="0"/>
              </w:numPr>
              <w:jc w:val="center"/>
              <w:rPr>
                <w:rFonts w:hint="default"/>
                <w:lang w:val="en-US" w:eastAsia="zh-CN"/>
              </w:rPr>
            </w:pPr>
          </w:p>
          <w:p w14:paraId="475C1757">
            <w:pPr>
              <w:numPr>
                <w:ilvl w:val="0"/>
                <w:numId w:val="0"/>
              </w:numPr>
              <w:rPr>
                <w:rFonts w:hint="default" w:ascii="宋体" w:hAnsi="宋体"/>
                <w:sz w:val="24"/>
                <w:lang w:val="en-US" w:eastAsia="zh-CN"/>
              </w:rPr>
            </w:pPr>
          </w:p>
          <w:p w14:paraId="1A7A8F60">
            <w:pPr>
              <w:numPr>
                <w:ilvl w:val="0"/>
                <w:numId w:val="0"/>
              </w:numPr>
              <w:rPr>
                <w:rFonts w:hint="default" w:ascii="宋体" w:hAnsi="宋体"/>
                <w:sz w:val="24"/>
                <w:lang w:val="en-US" w:eastAsia="zh-CN"/>
              </w:rPr>
            </w:pPr>
            <w:r>
              <w:rPr>
                <w:rFonts w:hint="default" w:ascii="宋体" w:hAnsi="宋体"/>
                <w:sz w:val="24"/>
                <w:lang w:val="en-US" w:eastAsia="zh-CN"/>
              </w:rPr>
              <w:t>4.7 小结</w:t>
            </w:r>
          </w:p>
          <w:p w14:paraId="07BAAB6A">
            <w:pPr>
              <w:numPr>
                <w:ilvl w:val="0"/>
                <w:numId w:val="0"/>
              </w:numPr>
              <w:ind w:firstLine="480" w:firstLineChars="200"/>
              <w:rPr>
                <w:rFonts w:hint="default" w:ascii="宋体" w:hAnsi="宋体"/>
                <w:sz w:val="24"/>
                <w:lang w:val="en-US" w:eastAsia="zh-CN"/>
              </w:rPr>
            </w:pPr>
            <w:r>
              <w:rPr>
                <w:rFonts w:hint="default" w:ascii="宋体" w:hAnsi="宋体"/>
                <w:sz w:val="24"/>
                <w:lang w:val="en-US" w:eastAsia="zh-CN"/>
              </w:rPr>
              <w:t>综合公开与私有两类数据实验可知</w:t>
            </w:r>
            <w:r>
              <w:rPr>
                <w:rFonts w:hint="eastAsia" w:ascii="宋体" w:hAnsi="宋体"/>
                <w:sz w:val="24"/>
                <w:lang w:val="en-US" w:eastAsia="zh-CN"/>
              </w:rPr>
              <w:t>，</w:t>
            </w:r>
            <w:r>
              <w:rPr>
                <w:rFonts w:hint="default" w:ascii="宋体" w:hAnsi="宋体"/>
                <w:sz w:val="24"/>
                <w:lang w:val="en-US" w:eastAsia="zh-CN"/>
              </w:rPr>
              <w:t>动态</w:t>
            </w:r>
            <w:r>
              <w:rPr>
                <w:rFonts w:hint="default" w:eastAsia="楷体"/>
                <w:b w:val="0"/>
                <w:bCs/>
                <w:sz w:val="24"/>
                <w:lang w:val="en-US" w:eastAsia="zh-CN"/>
              </w:rPr>
              <w:t>GRL</w:t>
            </w:r>
            <w:r>
              <w:rPr>
                <w:rFonts w:hint="default" w:ascii="宋体" w:hAnsi="宋体"/>
                <w:sz w:val="24"/>
                <w:lang w:val="en-US" w:eastAsia="zh-CN"/>
              </w:rPr>
              <w:t>调度与</w:t>
            </w:r>
            <w:r>
              <w:rPr>
                <w:rFonts w:hint="default" w:eastAsia="楷体"/>
                <w:b w:val="0"/>
                <w:bCs/>
                <w:sz w:val="24"/>
                <w:lang w:val="en-US" w:eastAsia="zh-CN"/>
              </w:rPr>
              <w:t>TEC</w:t>
            </w:r>
            <w:r>
              <w:rPr>
                <w:rFonts w:hint="default" w:ascii="宋体" w:hAnsi="宋体"/>
                <w:sz w:val="24"/>
                <w:lang w:val="en-US" w:eastAsia="zh-CN"/>
              </w:rPr>
              <w:t>在不同数据条件下均表现出正向增益</w:t>
            </w:r>
            <w:r>
              <w:rPr>
                <w:rFonts w:hint="eastAsia" w:ascii="宋体" w:hAnsi="宋体"/>
                <w:sz w:val="24"/>
                <w:lang w:val="en-US" w:eastAsia="zh-CN"/>
              </w:rPr>
              <w:t>，</w:t>
            </w:r>
            <w:r>
              <w:rPr>
                <w:rFonts w:hint="default" w:ascii="宋体" w:hAnsi="宋体"/>
                <w:sz w:val="24"/>
                <w:lang w:val="en-US" w:eastAsia="zh-CN"/>
              </w:rPr>
              <w:t>在公开均衡数据上提升体现在跨域性能提高</w:t>
            </w:r>
            <w:r>
              <w:rPr>
                <w:rFonts w:hint="eastAsia" w:ascii="宋体" w:hAnsi="宋体"/>
                <w:sz w:val="24"/>
                <w:lang w:val="en-US" w:eastAsia="zh-CN"/>
              </w:rPr>
              <w:t>，</w:t>
            </w:r>
            <w:r>
              <w:rPr>
                <w:rFonts w:hint="default" w:ascii="宋体" w:hAnsi="宋体"/>
                <w:sz w:val="24"/>
                <w:lang w:val="en-US" w:eastAsia="zh-CN"/>
              </w:rPr>
              <w:t>在私有长尾数据上提升体现在总体精度改善与训练评估稳定性增强；结合混淆矩阵与双视角</w:t>
            </w:r>
            <w:r>
              <w:rPr>
                <w:rFonts w:hint="default" w:eastAsia="楷体"/>
                <w:b w:val="0"/>
                <w:bCs/>
                <w:sz w:val="24"/>
                <w:lang w:val="en-US" w:eastAsia="zh-CN"/>
              </w:rPr>
              <w:t>t-SNE</w:t>
            </w:r>
            <w:r>
              <w:rPr>
                <w:rFonts w:hint="default" w:ascii="宋体" w:hAnsi="宋体"/>
                <w:sz w:val="24"/>
                <w:lang w:val="en-US" w:eastAsia="zh-CN"/>
              </w:rPr>
              <w:t>分析，改进方法具备较好的泛化与可解释性。</w:t>
            </w:r>
          </w:p>
        </w:tc>
      </w:tr>
    </w:tbl>
    <w:p w14:paraId="6BE87033">
      <w:pPr>
        <w:numPr>
          <w:ilvl w:val="0"/>
          <w:numId w:val="1"/>
        </w:numPr>
        <w:rPr>
          <w:b/>
          <w:bCs/>
          <w:sz w:val="36"/>
        </w:rPr>
      </w:pPr>
      <w:r>
        <w:br w:type="page"/>
      </w:r>
      <w:r>
        <w:rPr>
          <w:rFonts w:hint="eastAsia" w:ascii="黑体" w:hAnsi="黑体" w:eastAsia="黑体"/>
          <w:bCs/>
          <w:sz w:val="28"/>
        </w:rPr>
        <w:t>存在的主要问题和解决办法</w:t>
      </w:r>
    </w:p>
    <w:tbl>
      <w:tblPr>
        <w:tblStyle w:val="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57" w:type="dxa"/>
          <w:bottom w:w="57" w:type="dxa"/>
          <w:right w:w="57" w:type="dxa"/>
        </w:tblCellMar>
      </w:tblPr>
      <w:tblGrid>
        <w:gridCol w:w="9752"/>
      </w:tblGrid>
      <w:tr w14:paraId="4310A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6803" w:hRule="atLeast"/>
          <w:jc w:val="center"/>
        </w:trPr>
        <w:tc>
          <w:tcPr>
            <w:tcW w:w="5000" w:type="pct"/>
          </w:tcPr>
          <w:p w14:paraId="6BD6FC31">
            <w:pPr>
              <w:spacing w:after="120" w:afterLines="50"/>
              <w:rPr>
                <w:rFonts w:ascii="楷体" w:hAnsi="楷体" w:eastAsia="楷体"/>
                <w:b/>
                <w:sz w:val="24"/>
              </w:rPr>
            </w:pPr>
            <w:r>
              <w:rPr>
                <w:rFonts w:hint="eastAsia" w:ascii="楷体" w:hAnsi="楷体" w:eastAsia="楷体"/>
                <w:b/>
                <w:sz w:val="24"/>
              </w:rPr>
              <w:t>1.毕业设计</w:t>
            </w:r>
            <w:r>
              <w:rPr>
                <w:rFonts w:ascii="楷体" w:hAnsi="楷体" w:eastAsia="楷体"/>
                <w:b/>
                <w:sz w:val="24"/>
              </w:rPr>
              <w:t>进程中</w:t>
            </w:r>
            <w:r>
              <w:rPr>
                <w:rFonts w:hint="eastAsia" w:ascii="楷体" w:hAnsi="楷体" w:eastAsia="楷体"/>
                <w:b/>
                <w:sz w:val="24"/>
              </w:rPr>
              <w:t>存在的问题、</w:t>
            </w:r>
            <w:r>
              <w:rPr>
                <w:rFonts w:ascii="楷体" w:hAnsi="楷体" w:eastAsia="楷体"/>
                <w:b/>
                <w:sz w:val="24"/>
              </w:rPr>
              <w:t>难点、</w:t>
            </w:r>
            <w:r>
              <w:rPr>
                <w:rFonts w:hint="eastAsia" w:ascii="楷体" w:hAnsi="楷体" w:eastAsia="楷体"/>
                <w:b/>
                <w:sz w:val="24"/>
              </w:rPr>
              <w:t>原理性、技术性等方面的限制（可续页，字体</w:t>
            </w:r>
            <w:r>
              <w:rPr>
                <w:rFonts w:ascii="楷体" w:hAnsi="楷体" w:eastAsia="楷体"/>
                <w:b/>
                <w:sz w:val="24"/>
              </w:rPr>
              <w:t>格式同</w:t>
            </w:r>
            <w:r>
              <w:rPr>
                <w:rFonts w:hint="eastAsia" w:ascii="楷体" w:hAnsi="楷体" w:eastAsia="楷体"/>
                <w:b/>
                <w:sz w:val="24"/>
              </w:rPr>
              <w:t>上）</w:t>
            </w:r>
          </w:p>
          <w:p w14:paraId="777D8652">
            <w:pPr>
              <w:ind w:firstLine="480" w:firstLineChars="200"/>
              <w:rPr>
                <w:rFonts w:hint="eastAsia" w:ascii="宋体" w:hAnsi="宋体"/>
                <w:bCs/>
                <w:sz w:val="24"/>
              </w:rPr>
            </w:pPr>
            <w:r>
              <w:rPr>
                <w:rFonts w:hint="eastAsia" w:ascii="宋体" w:hAnsi="宋体"/>
                <w:bCs/>
                <w:sz w:val="24"/>
              </w:rPr>
              <w:t>在本课题推进过程中，首先遇到的核心问题是模型训练稳定性与方法复杂度之间的矛盾。早期方案尝试在原有框架上直接引入注意力相关结构，虽然在局部阶段能够带来一定性能提升，但从整体训练过程看，模型在中后期出现了明显的性能回落和波动放大，表现为测试精度先升后降、测试损失出现回弹，说明该结构在当前数据规模、样本分布和超参数条件下，未能形成稳定的泛化增益。其本质难点在于：注意力模块引入了更高的参数耦合与优化敏感性，使得域对齐目标、分类目标和重构目标之间更容易产生梯度冲突，导致训练轨迹不稳定。</w:t>
            </w:r>
          </w:p>
          <w:p w14:paraId="45D87D84">
            <w:pPr>
              <w:ind w:firstLine="480" w:firstLineChars="200"/>
              <w:rPr>
                <w:rFonts w:hint="eastAsia" w:ascii="宋体" w:hAnsi="宋体"/>
                <w:bCs/>
                <w:sz w:val="24"/>
              </w:rPr>
            </w:pPr>
            <w:r>
              <w:rPr>
                <w:rFonts w:hint="eastAsia" w:ascii="宋体" w:hAnsi="宋体"/>
                <w:bCs/>
                <w:sz w:val="24"/>
              </w:rPr>
              <w:t>第二个问题是域对抗强度控制。原始做法中对抗分支作用较强，容易在训练早期就对特征空间施加过强约束，出现“可分性尚未建立就被强制对齐”的现象。理论上，域适配应遵循“先学判别、后做强对齐”的渐进规律；若一开始对抗过强，模型会在源域判别能力与跨域不变性之间反复拉扯，最终表现为收敛慢、波动大，且中后期改进幅度受限。</w:t>
            </w:r>
          </w:p>
          <w:p w14:paraId="3E951029">
            <w:pPr>
              <w:ind w:firstLine="480" w:firstLineChars="200"/>
              <w:rPr>
                <w:rFonts w:hint="eastAsia" w:ascii="宋体" w:hAnsi="宋体"/>
                <w:bCs/>
                <w:sz w:val="24"/>
              </w:rPr>
            </w:pPr>
            <w:r>
              <w:rPr>
                <w:rFonts w:hint="eastAsia" w:ascii="宋体" w:hAnsi="宋体"/>
                <w:bCs/>
                <w:sz w:val="24"/>
              </w:rPr>
              <w:t>第三个问题</w:t>
            </w:r>
            <w:r>
              <w:rPr>
                <w:rFonts w:hint="eastAsia" w:ascii="宋体" w:hAnsi="宋体"/>
                <w:bCs/>
                <w:sz w:val="24"/>
                <w:lang w:val="en-US" w:eastAsia="zh-CN"/>
              </w:rPr>
              <w:t>为</w:t>
            </w:r>
            <w:r>
              <w:rPr>
                <w:rFonts w:hint="eastAsia" w:ascii="宋体" w:hAnsi="宋体"/>
                <w:bCs/>
                <w:sz w:val="24"/>
              </w:rPr>
              <w:t>私有数据集的分布特性。私有数据存在显著长尾与类别不均衡，少数类样本量极低，而多数类样本量远高于少数类。这会带来两个直接后果：其一，模型总体准确率可能较高，但少数类召回率和精确率并不理想；其二，若仅使用总体准确率作为主评价指标，容易掩盖“关键小类识别能力不足”的事实，影响结论的真实性与工程可用性。这一问题不仅是技术实现难点，也是实验评价层面的原理性限制，即单指标无法完整反映模型在不均衡场景下的真实性能。</w:t>
            </w:r>
          </w:p>
          <w:p w14:paraId="05C235FC">
            <w:pPr>
              <w:ind w:firstLine="480" w:firstLineChars="200"/>
              <w:rPr>
                <w:rFonts w:ascii="宋体" w:hAnsi="宋体"/>
                <w:bCs/>
                <w:sz w:val="24"/>
              </w:rPr>
            </w:pPr>
            <w:r>
              <w:rPr>
                <w:rFonts w:hint="eastAsia" w:ascii="宋体" w:hAnsi="宋体"/>
                <w:bCs/>
                <w:sz w:val="24"/>
              </w:rPr>
              <w:t>第四个问题是训练工程与实验管理复杂度较高。公开数据训练轮次较长，实验耗时大、资源占用高，参数网格搜索成本显著；同时，多次中断重启、不同实验分支并行推进，也增加了日志管理、结果追踪和可复现组织的难度。</w:t>
            </w:r>
          </w:p>
        </w:tc>
      </w:tr>
      <w:tr w14:paraId="6EA15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7030" w:hRule="atLeast"/>
          <w:jc w:val="center"/>
        </w:trPr>
        <w:tc>
          <w:tcPr>
            <w:tcW w:w="5000" w:type="pct"/>
          </w:tcPr>
          <w:p w14:paraId="4B02DBED">
            <w:pPr>
              <w:spacing w:after="120" w:afterLines="50"/>
              <w:rPr>
                <w:rFonts w:ascii="楷体" w:hAnsi="楷体" w:eastAsia="楷体"/>
                <w:b/>
                <w:sz w:val="24"/>
              </w:rPr>
            </w:pPr>
            <w:r>
              <w:rPr>
                <w:rFonts w:hint="eastAsia" w:ascii="楷体" w:hAnsi="楷体" w:eastAsia="楷体"/>
                <w:b/>
                <w:sz w:val="24"/>
              </w:rPr>
              <w:t>2.针对上述问题采取何种解决办法，对毕业设计的研究内容及所采取的理论方法、技术路线和实施方案的进一步调整，以及下一步的计划（可续页，字体</w:t>
            </w:r>
            <w:r>
              <w:rPr>
                <w:rFonts w:ascii="楷体" w:hAnsi="楷体" w:eastAsia="楷体"/>
                <w:b/>
                <w:sz w:val="24"/>
              </w:rPr>
              <w:t>格式同</w:t>
            </w:r>
            <w:r>
              <w:rPr>
                <w:rFonts w:hint="eastAsia" w:ascii="楷体" w:hAnsi="楷体" w:eastAsia="楷体"/>
                <w:b/>
                <w:sz w:val="24"/>
              </w:rPr>
              <w:t>上）</w:t>
            </w:r>
          </w:p>
          <w:p w14:paraId="0521FEE0">
            <w:pPr>
              <w:ind w:firstLine="480" w:firstLineChars="200"/>
              <w:rPr>
                <w:rFonts w:hint="eastAsia" w:ascii="宋体" w:hAnsi="宋体"/>
                <w:bCs/>
                <w:sz w:val="24"/>
              </w:rPr>
            </w:pPr>
            <w:r>
              <w:rPr>
                <w:rFonts w:hint="eastAsia" w:ascii="宋体" w:hAnsi="宋体"/>
                <w:bCs/>
                <w:sz w:val="24"/>
              </w:rPr>
              <w:t>针对训练不稳定和注意力方案收益不确定的问题，课题已完成研究路线调整：从“结构复杂化优先”转为“优化稳定性优先”。具体而言，将核心改进聚焦为动态GRL调度与TEC（熵课程）协同机制，通过“渐进式域对齐+阶段性不确定性约束”替代早期的一次性强对抗。该调整遵循了先建立判别能力、再强化跨域一致性的思路，降低了训练初期梯度冲突，提高了中后期收敛稳定性。</w:t>
            </w:r>
          </w:p>
          <w:p w14:paraId="5A141C28">
            <w:pPr>
              <w:ind w:firstLine="480" w:firstLineChars="200"/>
              <w:rPr>
                <w:rFonts w:hint="eastAsia" w:ascii="宋体" w:hAnsi="宋体"/>
                <w:bCs/>
                <w:sz w:val="24"/>
              </w:rPr>
            </w:pPr>
            <w:r>
              <w:rPr>
                <w:rFonts w:hint="eastAsia" w:ascii="宋体" w:hAnsi="宋体"/>
                <w:bCs/>
                <w:sz w:val="24"/>
              </w:rPr>
              <w:t>在技术实现上，已将关键机制参数化并纳入统一训练接口，实现了</w:t>
            </w:r>
            <w:r>
              <w:rPr>
                <w:rFonts w:hint="eastAsia" w:eastAsia="楷体"/>
                <w:b w:val="0"/>
                <w:bCs/>
                <w:sz w:val="24"/>
              </w:rPr>
              <w:t>GRL</w:t>
            </w:r>
            <w:r>
              <w:rPr>
                <w:rFonts w:hint="eastAsia" w:ascii="宋体" w:hAnsi="宋体"/>
                <w:bCs/>
                <w:sz w:val="24"/>
              </w:rPr>
              <w:t>强度可调、</w:t>
            </w:r>
            <w:r>
              <w:rPr>
                <w:rFonts w:hint="eastAsia" w:eastAsia="楷体"/>
                <w:b w:val="0"/>
                <w:bCs/>
                <w:sz w:val="24"/>
              </w:rPr>
              <w:t>TEC</w:t>
            </w:r>
            <w:r>
              <w:rPr>
                <w:rFonts w:hint="eastAsia" w:ascii="宋体" w:hAnsi="宋体"/>
                <w:bCs/>
                <w:sz w:val="24"/>
              </w:rPr>
              <w:t>可开关。这样既保障了实验可重复，也便于做消融验证</w:t>
            </w:r>
            <w:bookmarkStart w:id="2" w:name="_GoBack"/>
            <w:bookmarkEnd w:id="2"/>
            <w:r>
              <w:rPr>
                <w:rFonts w:hint="eastAsia" w:ascii="宋体" w:hAnsi="宋体"/>
                <w:bCs/>
                <w:sz w:val="24"/>
              </w:rPr>
              <w:t>（如仅</w:t>
            </w:r>
            <w:r>
              <w:rPr>
                <w:rFonts w:hint="eastAsia" w:eastAsia="楷体"/>
                <w:b w:val="0"/>
                <w:bCs/>
                <w:sz w:val="24"/>
              </w:rPr>
              <w:t>GRL</w:t>
            </w:r>
            <w:r>
              <w:rPr>
                <w:rFonts w:hint="eastAsia" w:ascii="宋体" w:hAnsi="宋体"/>
                <w:bCs/>
                <w:sz w:val="24"/>
              </w:rPr>
              <w:t>、仅</w:t>
            </w:r>
            <w:r>
              <w:rPr>
                <w:rFonts w:hint="eastAsia" w:eastAsia="楷体"/>
                <w:b w:val="0"/>
                <w:bCs/>
                <w:sz w:val="24"/>
              </w:rPr>
              <w:t>TEC、GRL+TEC</w:t>
            </w:r>
            <w:r>
              <w:rPr>
                <w:rFonts w:hint="eastAsia" w:ascii="宋体" w:hAnsi="宋体"/>
                <w:bCs/>
                <w:sz w:val="24"/>
              </w:rPr>
              <w:t>）。在私有数据实验中，进一步引入</w:t>
            </w:r>
            <w:r>
              <w:rPr>
                <w:rFonts w:hint="eastAsia" w:eastAsia="楷体"/>
                <w:b w:val="0"/>
                <w:bCs/>
                <w:sz w:val="24"/>
              </w:rPr>
              <w:t>EMA</w:t>
            </w:r>
            <w:r>
              <w:rPr>
                <w:rFonts w:hint="eastAsia" w:ascii="宋体" w:hAnsi="宋体"/>
                <w:bCs/>
                <w:sz w:val="24"/>
              </w:rPr>
              <w:t>评估分支，以降低单次评估尖刺对判断的干扰，使性能曲线更符合整体趋势，从而提高实验结论的稳健性。</w:t>
            </w:r>
          </w:p>
          <w:p w14:paraId="1E7BA6E5">
            <w:pPr>
              <w:ind w:firstLine="480" w:firstLineChars="200"/>
              <w:rPr>
                <w:rFonts w:hint="eastAsia" w:ascii="宋体" w:hAnsi="宋体"/>
                <w:bCs/>
                <w:sz w:val="24"/>
              </w:rPr>
            </w:pPr>
            <w:r>
              <w:rPr>
                <w:rFonts w:hint="eastAsia" w:ascii="宋体" w:hAnsi="宋体"/>
                <w:bCs/>
                <w:sz w:val="24"/>
              </w:rPr>
              <w:t>针对类别不均衡问题，课题在“评价体系”和“方法策略”两侧同步调整。评价侧不再仅依赖总体准确率，而是同时关注分类别指标与混淆矩阵、</w:t>
            </w:r>
            <w:r>
              <w:rPr>
                <w:rFonts w:hint="eastAsia" w:eastAsia="楷体"/>
                <w:b w:val="0"/>
                <w:bCs/>
                <w:sz w:val="24"/>
              </w:rPr>
              <w:t>t-SNE</w:t>
            </w:r>
            <w:r>
              <w:rPr>
                <w:rFonts w:hint="eastAsia" w:ascii="宋体" w:hAnsi="宋体"/>
                <w:bCs/>
                <w:sz w:val="24"/>
              </w:rPr>
              <w:t>等可视化证据，保证结论能够反映少数类表现。方法侧下一步将加入更有针对性的长尾处理策略，包括类别重加权损失、均衡采样或分层采样、以及面向少数类的阈值与决策后处理，以缩小“总体指标高但少数类弱”的偏差。</w:t>
            </w:r>
          </w:p>
          <w:p w14:paraId="7BC09601">
            <w:pPr>
              <w:ind w:firstLine="480" w:firstLineChars="200"/>
              <w:rPr>
                <w:rFonts w:hint="eastAsia" w:ascii="宋体" w:hAnsi="宋体"/>
                <w:bCs/>
                <w:sz w:val="24"/>
              </w:rPr>
            </w:pPr>
          </w:p>
          <w:p w14:paraId="41DC7449">
            <w:pPr>
              <w:ind w:firstLine="480" w:firstLineChars="200"/>
              <w:rPr>
                <w:rFonts w:hint="eastAsia" w:ascii="宋体" w:hAnsi="宋体"/>
                <w:bCs/>
                <w:sz w:val="24"/>
              </w:rPr>
            </w:pPr>
            <w:r>
              <w:rPr>
                <w:rFonts w:hint="eastAsia" w:ascii="宋体" w:hAnsi="宋体"/>
                <w:bCs/>
                <w:sz w:val="24"/>
              </w:rPr>
              <w:t>在实施方案上，后续将按“稳定性验证—泛化验证—可解释性验证”三阶段推进：</w:t>
            </w:r>
          </w:p>
          <w:p w14:paraId="7638B083">
            <w:pPr>
              <w:ind w:firstLine="480" w:firstLineChars="200"/>
              <w:rPr>
                <w:rFonts w:hint="eastAsia" w:ascii="宋体" w:hAnsi="宋体"/>
                <w:bCs/>
                <w:sz w:val="24"/>
              </w:rPr>
            </w:pPr>
            <w:r>
              <w:rPr>
                <w:rFonts w:hint="eastAsia" w:ascii="宋体" w:hAnsi="宋体"/>
                <w:bCs/>
                <w:sz w:val="24"/>
              </w:rPr>
              <w:t>第一阶段，固定现有最优配置，完成多次重复实验并统计均值与方差，验证结果稳健性；</w:t>
            </w:r>
          </w:p>
          <w:p w14:paraId="57ED31E1">
            <w:pPr>
              <w:ind w:firstLine="480" w:firstLineChars="200"/>
              <w:rPr>
                <w:rFonts w:hint="eastAsia" w:ascii="宋体" w:hAnsi="宋体"/>
                <w:bCs/>
                <w:sz w:val="24"/>
              </w:rPr>
            </w:pPr>
            <w:r>
              <w:rPr>
                <w:rFonts w:hint="eastAsia" w:ascii="宋体" w:hAnsi="宋体"/>
                <w:bCs/>
                <w:sz w:val="24"/>
              </w:rPr>
              <w:t>第二阶段，引入不均衡学习策略并做对照实验，重点观察少数类召回与宏平均指标变化；</w:t>
            </w:r>
          </w:p>
          <w:p w14:paraId="04687D33">
            <w:pPr>
              <w:ind w:firstLine="480" w:firstLineChars="200"/>
              <w:rPr>
                <w:rFonts w:hint="eastAsia" w:ascii="宋体" w:hAnsi="宋体"/>
                <w:bCs/>
                <w:sz w:val="24"/>
              </w:rPr>
            </w:pPr>
            <w:r>
              <w:rPr>
                <w:rFonts w:hint="eastAsia" w:ascii="宋体" w:hAnsi="宋体"/>
                <w:bCs/>
                <w:sz w:val="24"/>
              </w:rPr>
              <w:t>第三阶段，完善可视化和消融分析，用于支撑论文结论。</w:t>
            </w:r>
          </w:p>
          <w:p w14:paraId="5B7AD4E2">
            <w:pPr>
              <w:ind w:firstLine="480" w:firstLineChars="200"/>
              <w:rPr>
                <w:rFonts w:hint="eastAsia" w:ascii="宋体" w:hAnsi="宋体"/>
                <w:bCs/>
                <w:sz w:val="24"/>
              </w:rPr>
            </w:pPr>
          </w:p>
          <w:p w14:paraId="73ABBF7B">
            <w:pPr>
              <w:ind w:firstLine="480" w:firstLineChars="200"/>
              <w:rPr>
                <w:rFonts w:hint="eastAsia" w:ascii="宋体" w:hAnsi="宋体"/>
                <w:bCs/>
                <w:sz w:val="24"/>
              </w:rPr>
            </w:pPr>
            <w:r>
              <w:rPr>
                <w:rFonts w:hint="eastAsia" w:ascii="宋体" w:hAnsi="宋体"/>
                <w:bCs/>
                <w:sz w:val="24"/>
              </w:rPr>
              <w:t>下一步计划具体包括：</w:t>
            </w:r>
          </w:p>
          <w:p w14:paraId="78C113F3">
            <w:pPr>
              <w:ind w:firstLine="480" w:firstLineChars="200"/>
              <w:rPr>
                <w:rFonts w:hint="eastAsia" w:ascii="宋体" w:hAnsi="宋体"/>
                <w:bCs/>
                <w:sz w:val="24"/>
              </w:rPr>
            </w:pPr>
            <w:r>
              <w:rPr>
                <w:rFonts w:hint="eastAsia" w:ascii="宋体" w:hAnsi="宋体"/>
                <w:bCs/>
                <w:sz w:val="24"/>
              </w:rPr>
              <w:t>1）完成现有实验的统一归档与命名规范，确保图表、日志、模型一一对应；</w:t>
            </w:r>
          </w:p>
          <w:p w14:paraId="3490EAD2">
            <w:pPr>
              <w:ind w:firstLine="480" w:firstLineChars="200"/>
              <w:rPr>
                <w:rFonts w:hint="eastAsia" w:ascii="宋体" w:hAnsi="宋体"/>
                <w:bCs/>
                <w:sz w:val="24"/>
              </w:rPr>
            </w:pPr>
            <w:r>
              <w:rPr>
                <w:rFonts w:hint="eastAsia" w:ascii="宋体" w:hAnsi="宋体"/>
                <w:bCs/>
                <w:sz w:val="24"/>
              </w:rPr>
              <w:t>2）补做关键消融的重复实验，给出统计显著性层面的结果说明；</w:t>
            </w:r>
          </w:p>
          <w:p w14:paraId="522D715F">
            <w:pPr>
              <w:ind w:firstLine="480" w:firstLineChars="200"/>
              <w:rPr>
                <w:rFonts w:hint="eastAsia" w:ascii="宋体" w:hAnsi="宋体"/>
                <w:bCs/>
                <w:sz w:val="24"/>
              </w:rPr>
            </w:pPr>
            <w:r>
              <w:rPr>
                <w:rFonts w:hint="eastAsia" w:ascii="宋体" w:hAnsi="宋体"/>
                <w:bCs/>
                <w:sz w:val="24"/>
              </w:rPr>
              <w:t>3）新增</w:t>
            </w:r>
            <w:r>
              <w:rPr>
                <w:rFonts w:hint="eastAsia" w:eastAsia="楷体"/>
                <w:b w:val="0"/>
                <w:bCs/>
                <w:sz w:val="24"/>
              </w:rPr>
              <w:t>Balanced Accuracy</w:t>
            </w:r>
            <w:r>
              <w:rPr>
                <w:rFonts w:hint="eastAsia" w:ascii="宋体" w:hAnsi="宋体"/>
                <w:bCs/>
                <w:sz w:val="24"/>
              </w:rPr>
              <w:t>等指标进入正文表格；</w:t>
            </w:r>
          </w:p>
          <w:p w14:paraId="27BCA6BB">
            <w:pPr>
              <w:ind w:firstLine="480" w:firstLineChars="200"/>
              <w:rPr>
                <w:rFonts w:hint="eastAsia" w:ascii="宋体" w:hAnsi="宋体"/>
                <w:bCs/>
                <w:sz w:val="24"/>
              </w:rPr>
            </w:pPr>
            <w:r>
              <w:rPr>
                <w:rFonts w:hint="eastAsia" w:ascii="宋体" w:hAnsi="宋体"/>
                <w:bCs/>
                <w:sz w:val="24"/>
              </w:rPr>
              <w:t>4）完善“问题—调整—结果”叙事结构，使论文从“能跑通”提升为“可解释、可复现、可迁移”；</w:t>
            </w:r>
          </w:p>
        </w:tc>
      </w:tr>
    </w:tbl>
    <w:p w14:paraId="4D163057">
      <w:pPr>
        <w:numPr>
          <w:ilvl w:val="0"/>
          <w:numId w:val="1"/>
        </w:numPr>
        <w:rPr>
          <w:b/>
          <w:bCs/>
          <w:sz w:val="36"/>
        </w:rPr>
      </w:pPr>
      <w:r>
        <w:br w:type="page"/>
      </w:r>
      <w:r>
        <w:rPr>
          <w:rFonts w:hint="eastAsia" w:ascii="黑体" w:hAnsi="黑体" w:eastAsia="黑体"/>
          <w:bCs/>
          <w:sz w:val="28"/>
        </w:rPr>
        <w:t>中期考评审查意见</w:t>
      </w:r>
    </w:p>
    <w:tbl>
      <w:tblPr>
        <w:tblStyle w:val="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57" w:type="dxa"/>
          <w:bottom w:w="57" w:type="dxa"/>
          <w:right w:w="57" w:type="dxa"/>
        </w:tblCellMar>
      </w:tblPr>
      <w:tblGrid>
        <w:gridCol w:w="4864"/>
        <w:gridCol w:w="4888"/>
      </w:tblGrid>
      <w:tr w14:paraId="1E2E9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cantSplit/>
          <w:trHeight w:val="1966" w:hRule="atLeast"/>
          <w:jc w:val="center"/>
        </w:trPr>
        <w:tc>
          <w:tcPr>
            <w:tcW w:w="5000" w:type="pct"/>
            <w:gridSpan w:val="2"/>
            <w:tcBorders>
              <w:bottom w:val="nil"/>
            </w:tcBorders>
          </w:tcPr>
          <w:p w14:paraId="04E98A8B">
            <w:pPr>
              <w:spacing w:after="120" w:afterLines="50"/>
              <w:rPr>
                <w:rFonts w:eastAsia="楷体"/>
                <w:b/>
                <w:sz w:val="24"/>
              </w:rPr>
            </w:pPr>
            <w:r>
              <w:rPr>
                <w:rFonts w:hint="eastAsia" w:eastAsia="楷体"/>
                <w:b/>
                <w:sz w:val="24"/>
              </w:rPr>
              <w:t>1.导师对毕业设计进展</w:t>
            </w:r>
            <w:r>
              <w:rPr>
                <w:rFonts w:hint="eastAsia" w:ascii="楷体" w:hAnsi="楷体" w:eastAsia="楷体"/>
                <w:b/>
                <w:sz w:val="24"/>
              </w:rPr>
              <w:t>及研究计划的</w:t>
            </w:r>
            <w:r>
              <w:rPr>
                <w:rFonts w:hint="eastAsia" w:eastAsia="楷体"/>
                <w:b/>
                <w:sz w:val="24"/>
              </w:rPr>
              <w:t>意见：</w:t>
            </w:r>
          </w:p>
          <w:p w14:paraId="72DC46F0">
            <w:pPr>
              <w:rPr>
                <w:rFonts w:ascii="宋体" w:hAnsi="宋体"/>
                <w:sz w:val="24"/>
              </w:rPr>
            </w:pPr>
          </w:p>
          <w:p w14:paraId="01394854">
            <w:pPr>
              <w:rPr>
                <w:rFonts w:ascii="宋体" w:hAnsi="宋体"/>
                <w:sz w:val="24"/>
              </w:rPr>
            </w:pPr>
          </w:p>
          <w:p w14:paraId="319BE388">
            <w:pPr>
              <w:rPr>
                <w:rFonts w:ascii="宋体" w:hAnsi="宋体"/>
                <w:sz w:val="24"/>
              </w:rPr>
            </w:pPr>
          </w:p>
          <w:p w14:paraId="0D8588DF">
            <w:pPr>
              <w:rPr>
                <w:rFonts w:ascii="宋体" w:hAnsi="宋体"/>
                <w:sz w:val="24"/>
              </w:rPr>
            </w:pPr>
          </w:p>
          <w:p w14:paraId="4E7EEFDE">
            <w:pPr>
              <w:wordWrap w:val="0"/>
              <w:ind w:right="210" w:firstLine="420" w:firstLineChars="200"/>
              <w:jc w:val="right"/>
            </w:pPr>
          </w:p>
        </w:tc>
      </w:tr>
      <w:tr w14:paraId="2D9EC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cantSplit/>
          <w:trHeight w:val="2515" w:hRule="atLeast"/>
          <w:jc w:val="center"/>
        </w:trPr>
        <w:tc>
          <w:tcPr>
            <w:tcW w:w="2494" w:type="pct"/>
            <w:tcBorders>
              <w:top w:val="nil"/>
              <w:right w:val="nil"/>
            </w:tcBorders>
          </w:tcPr>
          <w:p w14:paraId="40B531AA">
            <w:pPr>
              <w:rPr>
                <w:rFonts w:ascii="宋体" w:hAnsi="宋体"/>
                <w:sz w:val="24"/>
              </w:rPr>
            </w:pPr>
          </w:p>
          <w:p w14:paraId="2D40CFF8">
            <w:pPr>
              <w:ind w:firstLine="482" w:firstLineChars="200"/>
              <w:jc w:val="right"/>
              <w:rPr>
                <w:rFonts w:eastAsia="楷体"/>
                <w:b/>
                <w:sz w:val="24"/>
              </w:rPr>
            </w:pPr>
          </w:p>
          <w:p w14:paraId="4265E550">
            <w:pPr>
              <w:wordWrap w:val="0"/>
              <w:ind w:right="210" w:firstLine="482" w:firstLineChars="200"/>
              <w:jc w:val="right"/>
              <w:rPr>
                <w:rFonts w:eastAsia="楷体"/>
                <w:b/>
                <w:sz w:val="24"/>
              </w:rPr>
            </w:pPr>
          </w:p>
        </w:tc>
        <w:tc>
          <w:tcPr>
            <w:tcW w:w="2506" w:type="pct"/>
            <w:tcBorders>
              <w:top w:val="nil"/>
              <w:left w:val="nil"/>
            </w:tcBorders>
          </w:tcPr>
          <w:p w14:paraId="2ABA1E65">
            <w:pPr>
              <w:wordWrap w:val="0"/>
              <w:ind w:right="964"/>
              <w:rPr>
                <w:rFonts w:eastAsia="楷体"/>
                <w:b/>
                <w:sz w:val="24"/>
              </w:rPr>
            </w:pPr>
            <w:r>
              <w:rPr>
                <w:rFonts w:hint="eastAsia" w:eastAsia="楷体"/>
                <w:b/>
                <w:sz w:val="24"/>
              </w:rPr>
              <w:t xml:space="preserve">指导老师签字： </w:t>
            </w:r>
            <w:r>
              <w:rPr>
                <w:rFonts w:hint="eastAsia" w:eastAsia="楷体"/>
                <w:b/>
                <w:sz w:val="24"/>
              </w:rPr>
              <w:drawing>
                <wp:inline distT="0" distB="0" distL="114300" distR="114300">
                  <wp:extent cx="952500" cy="476250"/>
                  <wp:effectExtent l="0" t="0" r="635" b="635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8"/>
                          <a:stretch>
                            <a:fillRect/>
                          </a:stretch>
                        </pic:blipFill>
                        <pic:spPr>
                          <a:xfrm>
                            <a:off x="0" y="0"/>
                            <a:ext cx="952500" cy="476250"/>
                          </a:xfrm>
                          <a:prstGeom prst="rect">
                            <a:avLst/>
                          </a:prstGeom>
                        </pic:spPr>
                      </pic:pic>
                    </a:graphicData>
                  </a:graphic>
                </wp:inline>
              </w:drawing>
            </w:r>
            <w:r>
              <w:rPr>
                <w:rFonts w:eastAsia="楷体"/>
                <w:b/>
                <w:sz w:val="24"/>
              </w:rPr>
              <w:t xml:space="preserve"> </w:t>
            </w:r>
          </w:p>
          <w:p w14:paraId="3B1707A1">
            <w:pPr>
              <w:widowControl/>
              <w:jc w:val="left"/>
              <w:rPr>
                <w:rFonts w:eastAsia="楷体"/>
                <w:b/>
                <w:sz w:val="24"/>
              </w:rPr>
            </w:pPr>
            <w:r>
              <w:rPr>
                <w:rFonts w:hint="eastAsia" w:eastAsia="楷体"/>
                <w:b/>
                <w:sz w:val="24"/>
              </w:rPr>
              <w:t>日期：</w:t>
            </w:r>
          </w:p>
          <w:p w14:paraId="2481B79C">
            <w:pPr>
              <w:wordWrap w:val="0"/>
              <w:ind w:right="210" w:firstLine="482" w:firstLineChars="200"/>
              <w:jc w:val="right"/>
              <w:rPr>
                <w:rFonts w:eastAsia="楷体"/>
                <w:b/>
                <w:sz w:val="24"/>
              </w:rPr>
            </w:pPr>
          </w:p>
        </w:tc>
      </w:tr>
    </w:tbl>
    <w:p w14:paraId="075CFFD9">
      <w:pPr>
        <w:rPr>
          <w:rFonts w:eastAsia="楷体"/>
          <w:b/>
        </w:rPr>
      </w:pPr>
    </w:p>
    <w:sectPr>
      <w:footerReference r:id="rId4" w:type="default"/>
      <w:pgSz w:w="11906" w:h="16838"/>
      <w:pgMar w:top="1134" w:right="1134" w:bottom="1134" w:left="1134"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KaTeX_Math">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75498">
    <w:pPr>
      <w:pStyle w:val="3"/>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F4BE9">
    <w:pPr>
      <w:pStyle w:val="3"/>
      <w:jc w:val="center"/>
    </w:pPr>
    <w:r>
      <w:fldChar w:fldCharType="begin"/>
    </w:r>
    <w:r>
      <w:instrText xml:space="preserve">PAGE   \* MERGEFORMAT</w:instrText>
    </w:r>
    <w:r>
      <w:fldChar w:fldCharType="separate"/>
    </w:r>
    <w:r>
      <w:rPr>
        <w:lang w:val="zh-CN"/>
      </w:rPr>
      <w:t>2</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0ED5ACE"/>
    <w:multiLevelType w:val="multilevel"/>
    <w:tmpl w:val="50ED5ACE"/>
    <w:lvl w:ilvl="0" w:tentative="0">
      <w:start w:val="1"/>
      <w:numFmt w:val="chineseCountingThousand"/>
      <w:suff w:val="nothing"/>
      <w:lvlText w:val="%1、"/>
      <w:lvlJc w:val="left"/>
      <w:pPr>
        <w:ind w:left="750" w:hanging="750"/>
      </w:pPr>
      <w:rPr>
        <w:rFonts w:ascii="黑体" w:hAnsi="黑体" w:eastAsia="黑体"/>
        <w:b w:val="0"/>
        <w:sz w:val="2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CE7CAE3"/>
    <w:multiLevelType w:val="singleLevel"/>
    <w:tmpl w:val="5CE7CAE3"/>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61785C"/>
    <w:rsid w:val="000131C1"/>
    <w:rsid w:val="000267D9"/>
    <w:rsid w:val="000303B0"/>
    <w:rsid w:val="0003134E"/>
    <w:rsid w:val="00047B11"/>
    <w:rsid w:val="00051BB3"/>
    <w:rsid w:val="00056DDE"/>
    <w:rsid w:val="000660E3"/>
    <w:rsid w:val="000674CB"/>
    <w:rsid w:val="00072637"/>
    <w:rsid w:val="00074E6D"/>
    <w:rsid w:val="0007655E"/>
    <w:rsid w:val="000800A0"/>
    <w:rsid w:val="0009422F"/>
    <w:rsid w:val="000A2606"/>
    <w:rsid w:val="000A4F7E"/>
    <w:rsid w:val="000B0E9A"/>
    <w:rsid w:val="000C2ECA"/>
    <w:rsid w:val="000D0530"/>
    <w:rsid w:val="000E50C0"/>
    <w:rsid w:val="000F24A4"/>
    <w:rsid w:val="000F2CF2"/>
    <w:rsid w:val="000F62BA"/>
    <w:rsid w:val="00125C2C"/>
    <w:rsid w:val="00134BFD"/>
    <w:rsid w:val="00140748"/>
    <w:rsid w:val="00160451"/>
    <w:rsid w:val="00164AB5"/>
    <w:rsid w:val="0016675F"/>
    <w:rsid w:val="00172077"/>
    <w:rsid w:val="0017473F"/>
    <w:rsid w:val="001952D2"/>
    <w:rsid w:val="001A5DA3"/>
    <w:rsid w:val="001C09F5"/>
    <w:rsid w:val="001C0EBF"/>
    <w:rsid w:val="001F2124"/>
    <w:rsid w:val="001F513B"/>
    <w:rsid w:val="001F77F1"/>
    <w:rsid w:val="00203BF7"/>
    <w:rsid w:val="00232B82"/>
    <w:rsid w:val="00243E5D"/>
    <w:rsid w:val="00245D8F"/>
    <w:rsid w:val="00263ADD"/>
    <w:rsid w:val="00267595"/>
    <w:rsid w:val="002805A9"/>
    <w:rsid w:val="00291E10"/>
    <w:rsid w:val="002B6B2A"/>
    <w:rsid w:val="002C6ADC"/>
    <w:rsid w:val="002F4C63"/>
    <w:rsid w:val="003012C0"/>
    <w:rsid w:val="00301859"/>
    <w:rsid w:val="00302A0E"/>
    <w:rsid w:val="00314ADB"/>
    <w:rsid w:val="00316553"/>
    <w:rsid w:val="00324413"/>
    <w:rsid w:val="003308ED"/>
    <w:rsid w:val="00336490"/>
    <w:rsid w:val="003416B4"/>
    <w:rsid w:val="00343263"/>
    <w:rsid w:val="00350EF9"/>
    <w:rsid w:val="00351C2F"/>
    <w:rsid w:val="00363A94"/>
    <w:rsid w:val="00363BC2"/>
    <w:rsid w:val="00364223"/>
    <w:rsid w:val="00373A86"/>
    <w:rsid w:val="003762EA"/>
    <w:rsid w:val="00380303"/>
    <w:rsid w:val="00387B27"/>
    <w:rsid w:val="003A0553"/>
    <w:rsid w:val="003A469A"/>
    <w:rsid w:val="003B50F2"/>
    <w:rsid w:val="003D356B"/>
    <w:rsid w:val="003E1CD8"/>
    <w:rsid w:val="003F1499"/>
    <w:rsid w:val="003F545E"/>
    <w:rsid w:val="003F57C5"/>
    <w:rsid w:val="004130D9"/>
    <w:rsid w:val="004161E6"/>
    <w:rsid w:val="00417390"/>
    <w:rsid w:val="00431612"/>
    <w:rsid w:val="00436096"/>
    <w:rsid w:val="00446549"/>
    <w:rsid w:val="00455D44"/>
    <w:rsid w:val="0047216F"/>
    <w:rsid w:val="0047487B"/>
    <w:rsid w:val="00481AAA"/>
    <w:rsid w:val="00490E65"/>
    <w:rsid w:val="004A536B"/>
    <w:rsid w:val="004B2BFD"/>
    <w:rsid w:val="004B32C1"/>
    <w:rsid w:val="004C1080"/>
    <w:rsid w:val="004C1483"/>
    <w:rsid w:val="004D02FC"/>
    <w:rsid w:val="004D0D73"/>
    <w:rsid w:val="004D487B"/>
    <w:rsid w:val="004E34DB"/>
    <w:rsid w:val="004E7C1C"/>
    <w:rsid w:val="004F2454"/>
    <w:rsid w:val="004F45D7"/>
    <w:rsid w:val="004F737F"/>
    <w:rsid w:val="004F7C42"/>
    <w:rsid w:val="00513B6E"/>
    <w:rsid w:val="005160DE"/>
    <w:rsid w:val="0051688F"/>
    <w:rsid w:val="00520FFC"/>
    <w:rsid w:val="00527F22"/>
    <w:rsid w:val="005354EE"/>
    <w:rsid w:val="00536AA8"/>
    <w:rsid w:val="00542ABD"/>
    <w:rsid w:val="0056095C"/>
    <w:rsid w:val="00562947"/>
    <w:rsid w:val="00562FAA"/>
    <w:rsid w:val="00573E33"/>
    <w:rsid w:val="00582AB2"/>
    <w:rsid w:val="005A06F5"/>
    <w:rsid w:val="005B71A4"/>
    <w:rsid w:val="005D4938"/>
    <w:rsid w:val="006056A8"/>
    <w:rsid w:val="00616B1B"/>
    <w:rsid w:val="0061785C"/>
    <w:rsid w:val="00626BBF"/>
    <w:rsid w:val="00631409"/>
    <w:rsid w:val="00631781"/>
    <w:rsid w:val="00636593"/>
    <w:rsid w:val="00642F9F"/>
    <w:rsid w:val="00650AF5"/>
    <w:rsid w:val="006537FF"/>
    <w:rsid w:val="00656EB9"/>
    <w:rsid w:val="00660F89"/>
    <w:rsid w:val="00662C6C"/>
    <w:rsid w:val="00664D76"/>
    <w:rsid w:val="0067028B"/>
    <w:rsid w:val="00692058"/>
    <w:rsid w:val="006A1642"/>
    <w:rsid w:val="006A3E1B"/>
    <w:rsid w:val="006B1592"/>
    <w:rsid w:val="006B2BB3"/>
    <w:rsid w:val="006D21F3"/>
    <w:rsid w:val="006E62A3"/>
    <w:rsid w:val="006E7145"/>
    <w:rsid w:val="006F2D62"/>
    <w:rsid w:val="006F44F1"/>
    <w:rsid w:val="006F7A30"/>
    <w:rsid w:val="00703787"/>
    <w:rsid w:val="00715656"/>
    <w:rsid w:val="007200AB"/>
    <w:rsid w:val="0072239D"/>
    <w:rsid w:val="00731A94"/>
    <w:rsid w:val="007419F7"/>
    <w:rsid w:val="007438C4"/>
    <w:rsid w:val="00744EF1"/>
    <w:rsid w:val="007529B5"/>
    <w:rsid w:val="00756604"/>
    <w:rsid w:val="00756F05"/>
    <w:rsid w:val="00757990"/>
    <w:rsid w:val="00772D54"/>
    <w:rsid w:val="007760A4"/>
    <w:rsid w:val="00776386"/>
    <w:rsid w:val="0078740E"/>
    <w:rsid w:val="00791A82"/>
    <w:rsid w:val="007A70B6"/>
    <w:rsid w:val="007B76E9"/>
    <w:rsid w:val="007C4021"/>
    <w:rsid w:val="007D4BE6"/>
    <w:rsid w:val="007D57B7"/>
    <w:rsid w:val="007D630B"/>
    <w:rsid w:val="007F16B3"/>
    <w:rsid w:val="00803E9A"/>
    <w:rsid w:val="00806457"/>
    <w:rsid w:val="00852884"/>
    <w:rsid w:val="00853069"/>
    <w:rsid w:val="0086246D"/>
    <w:rsid w:val="00863AF7"/>
    <w:rsid w:val="0089138A"/>
    <w:rsid w:val="008922DC"/>
    <w:rsid w:val="008A35EB"/>
    <w:rsid w:val="008A6417"/>
    <w:rsid w:val="008B01C0"/>
    <w:rsid w:val="008B3719"/>
    <w:rsid w:val="008B6756"/>
    <w:rsid w:val="008B7B9C"/>
    <w:rsid w:val="008C4843"/>
    <w:rsid w:val="008C62AD"/>
    <w:rsid w:val="008D150D"/>
    <w:rsid w:val="008D5BB4"/>
    <w:rsid w:val="008E4F17"/>
    <w:rsid w:val="008E71D8"/>
    <w:rsid w:val="008E7216"/>
    <w:rsid w:val="009018A4"/>
    <w:rsid w:val="009063F9"/>
    <w:rsid w:val="0091733A"/>
    <w:rsid w:val="0092516D"/>
    <w:rsid w:val="009273EA"/>
    <w:rsid w:val="00931508"/>
    <w:rsid w:val="00935846"/>
    <w:rsid w:val="009414B1"/>
    <w:rsid w:val="00943BF2"/>
    <w:rsid w:val="009470DE"/>
    <w:rsid w:val="00974D57"/>
    <w:rsid w:val="0098039C"/>
    <w:rsid w:val="00990DDF"/>
    <w:rsid w:val="009965C8"/>
    <w:rsid w:val="009A0BE8"/>
    <w:rsid w:val="009C1170"/>
    <w:rsid w:val="009D3865"/>
    <w:rsid w:val="009E14DE"/>
    <w:rsid w:val="009E18E7"/>
    <w:rsid w:val="009E3CA8"/>
    <w:rsid w:val="00A07A3A"/>
    <w:rsid w:val="00A12151"/>
    <w:rsid w:val="00A12AD5"/>
    <w:rsid w:val="00A54E9E"/>
    <w:rsid w:val="00A54EA6"/>
    <w:rsid w:val="00A61A12"/>
    <w:rsid w:val="00A638F9"/>
    <w:rsid w:val="00A71230"/>
    <w:rsid w:val="00A74692"/>
    <w:rsid w:val="00A8237B"/>
    <w:rsid w:val="00A84616"/>
    <w:rsid w:val="00A9360F"/>
    <w:rsid w:val="00A97CCF"/>
    <w:rsid w:val="00AA22E5"/>
    <w:rsid w:val="00AA406A"/>
    <w:rsid w:val="00AC4437"/>
    <w:rsid w:val="00AD54EE"/>
    <w:rsid w:val="00AD5F42"/>
    <w:rsid w:val="00AE136E"/>
    <w:rsid w:val="00B0023B"/>
    <w:rsid w:val="00B0220D"/>
    <w:rsid w:val="00B03AF4"/>
    <w:rsid w:val="00B04BDF"/>
    <w:rsid w:val="00B1760C"/>
    <w:rsid w:val="00B208E8"/>
    <w:rsid w:val="00B3136A"/>
    <w:rsid w:val="00B33AC3"/>
    <w:rsid w:val="00B358B5"/>
    <w:rsid w:val="00B35F08"/>
    <w:rsid w:val="00B55390"/>
    <w:rsid w:val="00B60A66"/>
    <w:rsid w:val="00B75E75"/>
    <w:rsid w:val="00B86241"/>
    <w:rsid w:val="00B95BF0"/>
    <w:rsid w:val="00BA0060"/>
    <w:rsid w:val="00BA316B"/>
    <w:rsid w:val="00BB2FE9"/>
    <w:rsid w:val="00BC4E73"/>
    <w:rsid w:val="00BC5D2E"/>
    <w:rsid w:val="00BC63D4"/>
    <w:rsid w:val="00BC6F73"/>
    <w:rsid w:val="00BD4943"/>
    <w:rsid w:val="00BD617A"/>
    <w:rsid w:val="00BE7287"/>
    <w:rsid w:val="00BE764B"/>
    <w:rsid w:val="00BF51FD"/>
    <w:rsid w:val="00C1290A"/>
    <w:rsid w:val="00C225E8"/>
    <w:rsid w:val="00C233A6"/>
    <w:rsid w:val="00C24AA0"/>
    <w:rsid w:val="00C34DB3"/>
    <w:rsid w:val="00C37F5D"/>
    <w:rsid w:val="00C4152A"/>
    <w:rsid w:val="00C41ED3"/>
    <w:rsid w:val="00C47D27"/>
    <w:rsid w:val="00C5583B"/>
    <w:rsid w:val="00C62224"/>
    <w:rsid w:val="00C66128"/>
    <w:rsid w:val="00C80BC9"/>
    <w:rsid w:val="00C80BE0"/>
    <w:rsid w:val="00C813C1"/>
    <w:rsid w:val="00C82FC0"/>
    <w:rsid w:val="00C92241"/>
    <w:rsid w:val="00C93E62"/>
    <w:rsid w:val="00CA3210"/>
    <w:rsid w:val="00CB54D0"/>
    <w:rsid w:val="00CC5CCE"/>
    <w:rsid w:val="00CD176D"/>
    <w:rsid w:val="00CD355D"/>
    <w:rsid w:val="00CD38CB"/>
    <w:rsid w:val="00CD50A1"/>
    <w:rsid w:val="00D00DC5"/>
    <w:rsid w:val="00D035FD"/>
    <w:rsid w:val="00D37238"/>
    <w:rsid w:val="00D557DF"/>
    <w:rsid w:val="00D75508"/>
    <w:rsid w:val="00D75AA9"/>
    <w:rsid w:val="00D77239"/>
    <w:rsid w:val="00D864E5"/>
    <w:rsid w:val="00D86CA6"/>
    <w:rsid w:val="00DA0CAA"/>
    <w:rsid w:val="00DA22C9"/>
    <w:rsid w:val="00DA36B1"/>
    <w:rsid w:val="00DA5593"/>
    <w:rsid w:val="00DC14C7"/>
    <w:rsid w:val="00DC6140"/>
    <w:rsid w:val="00DC6C66"/>
    <w:rsid w:val="00DD3549"/>
    <w:rsid w:val="00DD7D24"/>
    <w:rsid w:val="00DE4644"/>
    <w:rsid w:val="00DE5ECB"/>
    <w:rsid w:val="00DF38B7"/>
    <w:rsid w:val="00DF735E"/>
    <w:rsid w:val="00E04D95"/>
    <w:rsid w:val="00E577A8"/>
    <w:rsid w:val="00E7249F"/>
    <w:rsid w:val="00E84DAA"/>
    <w:rsid w:val="00E93791"/>
    <w:rsid w:val="00E94F0F"/>
    <w:rsid w:val="00EA4AE8"/>
    <w:rsid w:val="00EB4285"/>
    <w:rsid w:val="00EC2943"/>
    <w:rsid w:val="00EC48EC"/>
    <w:rsid w:val="00EC7B34"/>
    <w:rsid w:val="00F15C3B"/>
    <w:rsid w:val="00F420C7"/>
    <w:rsid w:val="00F511E7"/>
    <w:rsid w:val="00F55C7A"/>
    <w:rsid w:val="00F70EF3"/>
    <w:rsid w:val="00F76EBE"/>
    <w:rsid w:val="00F816FC"/>
    <w:rsid w:val="00F9202F"/>
    <w:rsid w:val="00FD2272"/>
    <w:rsid w:val="00FD7060"/>
    <w:rsid w:val="00FD7C2F"/>
    <w:rsid w:val="00FE3128"/>
    <w:rsid w:val="0A801619"/>
    <w:rsid w:val="1F817EB6"/>
    <w:rsid w:val="254E615B"/>
    <w:rsid w:val="3CE33B06"/>
    <w:rsid w:val="3D7A0A9C"/>
    <w:rsid w:val="43860CA8"/>
    <w:rsid w:val="43C95804"/>
    <w:rsid w:val="4A143551"/>
    <w:rsid w:val="62F55365"/>
    <w:rsid w:val="67693F7C"/>
    <w:rsid w:val="6A655190"/>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1"/>
    <w:qFormat/>
    <w:uiPriority w:val="99"/>
    <w:pPr>
      <w:tabs>
        <w:tab w:val="center" w:pos="4153"/>
        <w:tab w:val="right" w:pos="8306"/>
      </w:tabs>
      <w:snapToGrid w:val="0"/>
      <w:jc w:val="left"/>
    </w:pPr>
    <w:rPr>
      <w:sz w:val="18"/>
      <w:szCs w:val="18"/>
    </w:rPr>
  </w:style>
  <w:style w:type="paragraph" w:styleId="4">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customStyle="1" w:styleId="10">
    <w:name w:val="页眉 Char"/>
    <w:link w:val="4"/>
    <w:qFormat/>
    <w:uiPriority w:val="0"/>
    <w:rPr>
      <w:kern w:val="2"/>
      <w:sz w:val="18"/>
      <w:szCs w:val="18"/>
    </w:rPr>
  </w:style>
  <w:style w:type="character" w:customStyle="1" w:styleId="11">
    <w:name w:val="页脚 Char"/>
    <w:link w:val="3"/>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556DF7-4735-4AFD-AD09-739E416A629C}">
  <ds:schemaRefs/>
</ds:datastoreItem>
</file>

<file path=docProps/app.xml><?xml version="1.0" encoding="utf-8"?>
<Properties xmlns="http://schemas.openxmlformats.org/officeDocument/2006/extended-properties" xmlns:vt="http://schemas.openxmlformats.org/officeDocument/2006/docPropsVTypes">
  <Template>Normal.dotm</Template>
  <Company>uestc</Company>
  <Pages>11</Pages>
  <Words>178</Words>
  <Characters>211</Characters>
  <Lines>1</Lines>
  <Paragraphs>1</Paragraphs>
  <TotalTime>51</TotalTime>
  <ScaleCrop>false</ScaleCrop>
  <LinksUpToDate>false</LinksUpToDate>
  <CharactersWithSpaces>581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2018-11-06T01:59:00Z</dcterms:created>
  <dc:creator>pmx</dc:creator>
  <cp:lastModifiedBy>恰逢</cp:lastModifiedBy>
  <cp:lastPrinted>2004-09-01T08:04:00Z</cp:lastPrinted>
  <dcterms:modified xsi:type="dcterms:W3CDTF">2026-03-14T14:27:17Z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KSOTemplateDocerSaveRecord">
    <vt:lpwstr>eyJoZGlkIjoiM2FiZDIzMjBhYjY3YjcwYmIxYWI1NjM4YzVmYjEyMDMiLCJ1c2VySWQiOiIxMDc1NjI5NjE5In0=</vt:lpwstr>
  </property>
  <property fmtid="{D5CDD505-2E9C-101B-9397-08002B2CF9AE}" pid="5" name="KSOProductBuildVer">
    <vt:lpwstr>2052-12.1.0.25225</vt:lpwstr>
  </property>
  <property fmtid="{D5CDD505-2E9C-101B-9397-08002B2CF9AE}" pid="6" name="ICV">
    <vt:lpwstr>DE66C5DC98244E03A10C59C0786C5CC8_12</vt:lpwstr>
  </property>
</Properties>
</file>