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80FB" w14:textId="757B70DA" w:rsidR="00E8569B" w:rsidRPr="00E8569B" w:rsidRDefault="00E8569B" w:rsidP="00E8569B">
      <w:pPr>
        <w:ind w:firstLine="420"/>
        <w:jc w:val="center"/>
        <w:rPr>
          <w:rFonts w:ascii="宋体" w:eastAsia="宋体" w:hAnsi="宋体"/>
          <w:b/>
          <w:bCs/>
          <w:sz w:val="32"/>
          <w:szCs w:val="32"/>
        </w:rPr>
      </w:pPr>
      <w:r w:rsidRPr="00E8569B">
        <w:rPr>
          <w:rFonts w:ascii="宋体" w:eastAsia="宋体" w:hAnsi="宋体" w:hint="eastAsia"/>
          <w:b/>
          <w:bCs/>
          <w:sz w:val="32"/>
          <w:szCs w:val="32"/>
        </w:rPr>
        <w:t>引言</w:t>
      </w:r>
    </w:p>
    <w:p w14:paraId="6EE31829" w14:textId="13341A7B" w:rsidR="004C3E1A" w:rsidRDefault="002019B4" w:rsidP="00E8569B">
      <w:pPr>
        <w:ind w:firstLine="420"/>
        <w:rPr>
          <w:rFonts w:ascii="宋体" w:eastAsia="宋体" w:hAnsi="宋体"/>
        </w:rPr>
      </w:pPr>
      <w:r w:rsidRPr="00E8569B">
        <w:rPr>
          <w:rFonts w:ascii="宋体" w:eastAsia="宋体" w:hAnsi="宋体" w:hint="eastAsia"/>
        </w:rPr>
        <w:t>小</w:t>
      </w:r>
      <w:proofErr w:type="gramStart"/>
      <w:r w:rsidRPr="00E8569B">
        <w:rPr>
          <w:rFonts w:ascii="宋体" w:eastAsia="宋体" w:hAnsi="宋体" w:hint="eastAsia"/>
        </w:rPr>
        <w:t>微企业</w:t>
      </w:r>
      <w:proofErr w:type="gramEnd"/>
      <w:r w:rsidRPr="00E8569B">
        <w:rPr>
          <w:rFonts w:ascii="宋体" w:eastAsia="宋体" w:hAnsi="宋体" w:hint="eastAsia"/>
        </w:rPr>
        <w:t>在促进经济增长、创造就业、推动创新、完善市场等方面具有十分重要的意义。</w:t>
      </w:r>
      <w:r w:rsidR="0072611F" w:rsidRPr="00E8569B">
        <w:rPr>
          <w:rFonts w:ascii="宋体" w:eastAsia="宋体" w:hAnsi="宋体"/>
        </w:rPr>
        <w:t>据统计，我国90%以上新增市场主体小微企业，80%以上的就业岗位、70%以上的专利创新、60%以上的GDP和50%以上的税收均来自小微企业</w:t>
      </w:r>
      <w:r w:rsidR="00E8569B">
        <w:rPr>
          <w:rFonts w:ascii="宋体" w:eastAsia="宋体" w:hAnsi="宋体" w:hint="eastAsia"/>
        </w:rPr>
        <w:t>。</w:t>
      </w:r>
      <w:r w:rsidR="00E8569B">
        <w:rPr>
          <w:rStyle w:val="af0"/>
          <w:rFonts w:ascii="宋体" w:eastAsia="宋体" w:hAnsi="宋体"/>
        </w:rPr>
        <w:footnoteReference w:id="1"/>
      </w:r>
      <w:r w:rsidRPr="00E8569B">
        <w:rPr>
          <w:rFonts w:ascii="宋体" w:eastAsia="宋体" w:hAnsi="宋体" w:hint="eastAsia"/>
        </w:rPr>
        <w:t>但是，融资难问题一直困扰着小</w:t>
      </w:r>
      <w:proofErr w:type="gramStart"/>
      <w:r w:rsidRPr="00E8569B">
        <w:rPr>
          <w:rFonts w:ascii="宋体" w:eastAsia="宋体" w:hAnsi="宋体" w:hint="eastAsia"/>
        </w:rPr>
        <w:t>微企业</w:t>
      </w:r>
      <w:proofErr w:type="gramEnd"/>
      <w:r w:rsidRPr="00E8569B">
        <w:rPr>
          <w:rFonts w:ascii="宋体" w:eastAsia="宋体" w:hAnsi="宋体" w:hint="eastAsia"/>
        </w:rPr>
        <w:t>的生存和发展</w:t>
      </w:r>
      <w:r w:rsidR="00D2726A" w:rsidRPr="00E8569B">
        <w:rPr>
          <w:rFonts w:ascii="宋体" w:eastAsia="宋体" w:hAnsi="宋体" w:hint="eastAsia"/>
        </w:rPr>
        <w:t>(林</w:t>
      </w:r>
      <w:r w:rsidR="00D2726A" w:rsidRPr="00E8569B">
        <w:rPr>
          <w:rFonts w:ascii="宋体" w:eastAsia="宋体" w:hAnsi="宋体"/>
        </w:rPr>
        <w:t>毅夫、李永军，2001；欧阳峣、李坚飞，2009；刘畅等，2017)</w:t>
      </w:r>
      <w:r w:rsidR="000D1319" w:rsidRPr="00E8569B">
        <w:rPr>
          <w:rFonts w:ascii="宋体" w:eastAsia="宋体" w:hAnsi="宋体" w:hint="eastAsia"/>
        </w:rPr>
        <w:t>。</w:t>
      </w:r>
      <w:r w:rsidR="000D1319" w:rsidRPr="00E8569B">
        <w:rPr>
          <w:rFonts w:ascii="宋体" w:eastAsia="宋体" w:hAnsi="宋体"/>
        </w:rPr>
        <w:t>与成熟的、规模较大的企业相比，小</w:t>
      </w:r>
      <w:proofErr w:type="gramStart"/>
      <w:r w:rsidR="000D1319" w:rsidRPr="00E8569B">
        <w:rPr>
          <w:rFonts w:ascii="宋体" w:eastAsia="宋体" w:hAnsi="宋体"/>
        </w:rPr>
        <w:t>微企业</w:t>
      </w:r>
      <w:proofErr w:type="gramEnd"/>
      <w:r w:rsidR="008B7826" w:rsidRPr="00E8569B">
        <w:rPr>
          <w:rFonts w:ascii="宋体" w:eastAsia="宋体" w:hAnsi="宋体" w:hint="eastAsia"/>
        </w:rPr>
        <w:t>融资主要面临两方面的问题：一是小</w:t>
      </w:r>
      <w:proofErr w:type="gramStart"/>
      <w:r w:rsidR="008B7826" w:rsidRPr="00E8569B">
        <w:rPr>
          <w:rFonts w:ascii="宋体" w:eastAsia="宋体" w:hAnsi="宋体" w:hint="eastAsia"/>
        </w:rPr>
        <w:t>微企业</w:t>
      </w:r>
      <w:proofErr w:type="gramEnd"/>
      <w:r w:rsidR="008B7826" w:rsidRPr="00E8569B">
        <w:rPr>
          <w:rFonts w:ascii="宋体" w:eastAsia="宋体" w:hAnsi="宋体" w:hint="eastAsia"/>
        </w:rPr>
        <w:t>缺乏可抵押的资产，</w:t>
      </w:r>
      <w:r w:rsidR="008B7826" w:rsidRPr="00E8569B">
        <w:rPr>
          <w:rFonts w:ascii="宋体" w:eastAsia="宋体" w:hAnsi="宋体"/>
        </w:rPr>
        <w:t xml:space="preserve">难以向银行等金融机构展示其信用情况( Bester，1985; Chan ＆ </w:t>
      </w:r>
      <w:proofErr w:type="spellStart"/>
      <w:r w:rsidR="008B7826" w:rsidRPr="00E8569B">
        <w:rPr>
          <w:rFonts w:ascii="宋体" w:eastAsia="宋体" w:hAnsi="宋体"/>
        </w:rPr>
        <w:t>Kanatas</w:t>
      </w:r>
      <w:proofErr w:type="spellEnd"/>
      <w:r w:rsidR="008B7826" w:rsidRPr="00E8569B">
        <w:rPr>
          <w:rFonts w:ascii="宋体" w:eastAsia="宋体" w:hAnsi="宋体"/>
        </w:rPr>
        <w:t>，1985)</w:t>
      </w:r>
      <w:r w:rsidR="008B7826" w:rsidRPr="00E8569B">
        <w:rPr>
          <w:rFonts w:ascii="宋体" w:eastAsia="宋体" w:hAnsi="宋体" w:hint="eastAsia"/>
        </w:rPr>
        <w:t>；二是小</w:t>
      </w:r>
      <w:proofErr w:type="gramStart"/>
      <w:r w:rsidR="008B7826" w:rsidRPr="00E8569B">
        <w:rPr>
          <w:rFonts w:ascii="宋体" w:eastAsia="宋体" w:hAnsi="宋体" w:hint="eastAsia"/>
        </w:rPr>
        <w:t>微企业</w:t>
      </w:r>
      <w:proofErr w:type="gramEnd"/>
      <w:r w:rsidR="008B7826" w:rsidRPr="00E8569B">
        <w:rPr>
          <w:rFonts w:ascii="宋体" w:eastAsia="宋体" w:hAnsi="宋体" w:hint="eastAsia"/>
        </w:rPr>
        <w:t>与银行间的信息不对称程度较高，其</w:t>
      </w:r>
      <w:r w:rsidR="008B7826" w:rsidRPr="00E8569B">
        <w:rPr>
          <w:rFonts w:ascii="宋体" w:eastAsia="宋体" w:hAnsi="宋体"/>
        </w:rPr>
        <w:t>公开披露的财务信息有限，</w:t>
      </w:r>
      <w:r w:rsidR="008B7826" w:rsidRPr="00E8569B">
        <w:rPr>
          <w:rFonts w:ascii="宋体" w:eastAsia="宋体" w:hAnsi="宋体" w:hint="eastAsia"/>
        </w:rPr>
        <w:t>缺乏易于传递的“硬信息”，</w:t>
      </w:r>
      <w:r w:rsidR="000D1319" w:rsidRPr="00E8569B">
        <w:rPr>
          <w:rFonts w:ascii="宋体" w:eastAsia="宋体" w:hAnsi="宋体"/>
        </w:rPr>
        <w:t>银行难以准确评价</w:t>
      </w:r>
      <w:r w:rsidR="003E4EB9" w:rsidRPr="00E8569B">
        <w:rPr>
          <w:rFonts w:ascii="宋体" w:eastAsia="宋体" w:hAnsi="宋体" w:hint="eastAsia"/>
        </w:rPr>
        <w:t>其</w:t>
      </w:r>
      <w:r w:rsidR="000D1319" w:rsidRPr="00E8569B">
        <w:rPr>
          <w:rFonts w:ascii="宋体" w:eastAsia="宋体" w:hAnsi="宋体"/>
        </w:rPr>
        <w:t>信用、前景以及资金使用效益</w:t>
      </w:r>
      <w:r w:rsidR="00E57729" w:rsidRPr="00E8569B">
        <w:rPr>
          <w:rFonts w:ascii="宋体" w:eastAsia="宋体" w:hAnsi="宋体" w:hint="eastAsia"/>
        </w:rPr>
        <w:t>，</w:t>
      </w:r>
      <w:r w:rsidR="00E57729" w:rsidRPr="00E8569B">
        <w:rPr>
          <w:rFonts w:ascii="宋体" w:eastAsia="宋体" w:hAnsi="宋体"/>
        </w:rPr>
        <w:t>存在</w:t>
      </w:r>
      <w:r w:rsidR="00E57729" w:rsidRPr="00E8569B">
        <w:rPr>
          <w:rFonts w:ascii="宋体" w:eastAsia="宋体" w:hAnsi="宋体" w:hint="eastAsia"/>
        </w:rPr>
        <w:t>严重的</w:t>
      </w:r>
      <w:r w:rsidR="00E57729" w:rsidRPr="00E8569B">
        <w:rPr>
          <w:rFonts w:ascii="宋体" w:eastAsia="宋体" w:hAnsi="宋体"/>
        </w:rPr>
        <w:t>逆向选择和道德风险问题</w:t>
      </w:r>
      <w:r w:rsidR="00E57729" w:rsidRPr="00E8569B">
        <w:rPr>
          <w:rFonts w:ascii="宋体" w:eastAsia="宋体" w:hAnsi="宋体" w:hint="eastAsia"/>
        </w:rPr>
        <w:t>（林</w:t>
      </w:r>
      <w:r w:rsidR="00E57729" w:rsidRPr="00E8569B">
        <w:rPr>
          <w:rFonts w:ascii="宋体" w:eastAsia="宋体" w:hAnsi="宋体"/>
        </w:rPr>
        <w:t>毅夫、</w:t>
      </w:r>
      <w:r w:rsidR="00E57729" w:rsidRPr="00E8569B">
        <w:rPr>
          <w:rFonts w:ascii="宋体" w:eastAsia="宋体" w:hAnsi="宋体" w:hint="eastAsia"/>
        </w:rPr>
        <w:t>孙希芳，2</w:t>
      </w:r>
      <w:r w:rsidR="00E57729" w:rsidRPr="00E8569B">
        <w:rPr>
          <w:rFonts w:ascii="宋体" w:eastAsia="宋体" w:hAnsi="宋体"/>
        </w:rPr>
        <w:t>005</w:t>
      </w:r>
      <w:r w:rsidR="00E57729" w:rsidRPr="00E8569B">
        <w:rPr>
          <w:rFonts w:ascii="宋体" w:eastAsia="宋体" w:hAnsi="宋体" w:hint="eastAsia"/>
        </w:rPr>
        <w:t>；</w:t>
      </w:r>
      <w:r w:rsidR="00E57729" w:rsidRPr="00E8569B">
        <w:rPr>
          <w:rFonts w:ascii="宋体" w:eastAsia="宋体" w:hAnsi="宋体"/>
        </w:rPr>
        <w:t>Stiglitz＆Weiss，1981</w:t>
      </w:r>
      <w:r w:rsidR="00E57729" w:rsidRPr="00E8569B">
        <w:rPr>
          <w:rFonts w:ascii="宋体" w:eastAsia="宋体" w:hAnsi="宋体" w:hint="eastAsia"/>
        </w:rPr>
        <w:t>）</w:t>
      </w:r>
      <w:r w:rsidR="00206C09" w:rsidRPr="00E8569B">
        <w:rPr>
          <w:rFonts w:ascii="宋体" w:eastAsia="宋体" w:hAnsi="宋体" w:hint="eastAsia"/>
        </w:rPr>
        <w:t>。</w:t>
      </w:r>
    </w:p>
    <w:p w14:paraId="50E8AE62" w14:textId="7C329963" w:rsidR="00696BD7" w:rsidRPr="00E8569B" w:rsidRDefault="00696BD7" w:rsidP="00183AC1">
      <w:pPr>
        <w:ind w:firstLine="420"/>
        <w:rPr>
          <w:rFonts w:ascii="宋体" w:eastAsia="宋体" w:hAnsi="宋体" w:hint="eastAsia"/>
        </w:rPr>
      </w:pPr>
      <w:r>
        <w:rPr>
          <w:rFonts w:ascii="宋体" w:eastAsia="宋体" w:hAnsi="宋体" w:hint="eastAsia"/>
        </w:rPr>
        <w:t>【问题一是通过质押解决，核心是完善知识产权保护体系；如何引出数字普惠金融？</w:t>
      </w:r>
      <w:r w:rsidR="00183AC1">
        <w:rPr>
          <w:rFonts w:ascii="宋体" w:eastAsia="宋体" w:hAnsi="宋体" w:hint="eastAsia"/>
        </w:rPr>
        <w:t>为此，发展数字普惠金融对</w:t>
      </w:r>
      <w:r w:rsidR="00183AC1" w:rsidRPr="00183AC1">
        <w:rPr>
          <w:rFonts w:ascii="宋体" w:eastAsia="宋体" w:hAnsi="宋体"/>
        </w:rPr>
        <w:t>扩大弱势群体正规信贷可得性</w:t>
      </w:r>
      <w:r w:rsidR="00183AC1">
        <w:rPr>
          <w:rFonts w:ascii="宋体" w:eastAsia="宋体" w:hAnsi="宋体" w:hint="eastAsia"/>
        </w:rPr>
        <w:t>至关重要</w:t>
      </w:r>
      <w:r>
        <w:rPr>
          <w:rFonts w:ascii="宋体" w:eastAsia="宋体" w:hAnsi="宋体" w:hint="eastAsia"/>
        </w:rPr>
        <w:t>】</w:t>
      </w:r>
    </w:p>
    <w:p w14:paraId="1B5B45AE" w14:textId="77777777" w:rsidR="00183AC1" w:rsidRDefault="00FA6FAE" w:rsidP="00E8569B">
      <w:pPr>
        <w:ind w:firstLine="420"/>
        <w:rPr>
          <w:rFonts w:ascii="宋体" w:eastAsia="宋体" w:hAnsi="宋体"/>
        </w:rPr>
      </w:pPr>
      <w:r w:rsidRPr="00183AC1">
        <w:rPr>
          <w:rFonts w:ascii="宋体" w:eastAsia="宋体" w:hAnsi="宋体" w:hint="eastAsia"/>
          <w:highlight w:val="yellow"/>
        </w:rPr>
        <w:t>近年来，国家提出多项</w:t>
      </w:r>
      <w:r w:rsidR="00174B8E" w:rsidRPr="00183AC1">
        <w:rPr>
          <w:rFonts w:ascii="宋体" w:eastAsia="宋体" w:hAnsi="宋体" w:hint="eastAsia"/>
          <w:highlight w:val="yellow"/>
        </w:rPr>
        <w:t>数字</w:t>
      </w:r>
      <w:r w:rsidRPr="00183AC1">
        <w:rPr>
          <w:rFonts w:ascii="宋体" w:eastAsia="宋体" w:hAnsi="宋体" w:hint="eastAsia"/>
          <w:highlight w:val="yellow"/>
        </w:rPr>
        <w:t>普惠金融政策，大力扶持小</w:t>
      </w:r>
      <w:proofErr w:type="gramStart"/>
      <w:r w:rsidRPr="00183AC1">
        <w:rPr>
          <w:rFonts w:ascii="宋体" w:eastAsia="宋体" w:hAnsi="宋体" w:hint="eastAsia"/>
          <w:highlight w:val="yellow"/>
        </w:rPr>
        <w:t>微企业</w:t>
      </w:r>
      <w:proofErr w:type="gramEnd"/>
      <w:r w:rsidRPr="00183AC1">
        <w:rPr>
          <w:rFonts w:ascii="宋体" w:eastAsia="宋体" w:hAnsi="宋体" w:hint="eastAsia"/>
          <w:highlight w:val="yellow"/>
        </w:rPr>
        <w:t>的发展。</w:t>
      </w:r>
    </w:p>
    <w:p w14:paraId="5CA5DD9F" w14:textId="62340E34" w:rsidR="00793576" w:rsidRDefault="00174B8E" w:rsidP="00793576">
      <w:pPr>
        <w:ind w:firstLine="420"/>
        <w:rPr>
          <w:rFonts w:ascii="宋体" w:eastAsia="宋体" w:hAnsi="宋体"/>
        </w:rPr>
      </w:pPr>
      <w:r w:rsidRPr="00E8569B">
        <w:rPr>
          <w:rFonts w:ascii="宋体" w:eastAsia="宋体" w:hAnsi="宋体" w:hint="eastAsia"/>
        </w:rPr>
        <w:t>银行等金融机构是提供普惠型信贷的上游“水源地”</w:t>
      </w:r>
      <w:r w:rsidR="00E8569B" w:rsidRPr="00E8569B">
        <w:rPr>
          <w:rFonts w:ascii="宋体" w:eastAsia="宋体" w:hAnsi="宋体" w:hint="eastAsia"/>
        </w:rPr>
        <w:t>，</w:t>
      </w:r>
      <w:r w:rsidRPr="00E8569B">
        <w:rPr>
          <w:rFonts w:ascii="宋体" w:eastAsia="宋体" w:hAnsi="宋体" w:hint="eastAsia"/>
        </w:rPr>
        <w:t>2</w:t>
      </w:r>
      <w:r w:rsidRPr="00E8569B">
        <w:rPr>
          <w:rFonts w:ascii="宋体" w:eastAsia="宋体" w:hAnsi="宋体"/>
        </w:rPr>
        <w:t>022</w:t>
      </w:r>
      <w:r w:rsidRPr="00E8569B">
        <w:rPr>
          <w:rFonts w:ascii="宋体" w:eastAsia="宋体" w:hAnsi="宋体" w:hint="eastAsia"/>
        </w:rPr>
        <w:t>年</w:t>
      </w:r>
      <w:r w:rsidRPr="00E8569B">
        <w:rPr>
          <w:rFonts w:ascii="宋体" w:eastAsia="宋体" w:hAnsi="宋体"/>
        </w:rPr>
        <w:t>新发放企业贷款超过一半投向民营企业</w:t>
      </w:r>
      <w:r w:rsidRPr="00E8569B">
        <w:rPr>
          <w:rFonts w:ascii="宋体" w:eastAsia="宋体" w:hAnsi="宋体" w:hint="eastAsia"/>
        </w:rPr>
        <w:t>，人民币普惠金融领域贷款余额32.14</w:t>
      </w:r>
      <w:proofErr w:type="gramStart"/>
      <w:r w:rsidRPr="00E8569B">
        <w:rPr>
          <w:rFonts w:ascii="宋体" w:eastAsia="宋体" w:hAnsi="宋体" w:hint="eastAsia"/>
        </w:rPr>
        <w:t>万亿</w:t>
      </w:r>
      <w:proofErr w:type="gramEnd"/>
      <w:r w:rsidRPr="00E8569B">
        <w:rPr>
          <w:rFonts w:ascii="宋体" w:eastAsia="宋体" w:hAnsi="宋体" w:hint="eastAsia"/>
        </w:rPr>
        <w:t>元，</w:t>
      </w:r>
      <w:r w:rsidRPr="00E8569B">
        <w:rPr>
          <w:rFonts w:ascii="宋体" w:eastAsia="宋体" w:hAnsi="宋体"/>
        </w:rPr>
        <w:t>普惠型小</w:t>
      </w:r>
      <w:proofErr w:type="gramStart"/>
      <w:r w:rsidRPr="00E8569B">
        <w:rPr>
          <w:rFonts w:ascii="宋体" w:eastAsia="宋体" w:hAnsi="宋体"/>
        </w:rPr>
        <w:t>微企业</w:t>
      </w:r>
      <w:proofErr w:type="gramEnd"/>
      <w:r w:rsidRPr="00E8569B">
        <w:rPr>
          <w:rFonts w:ascii="宋体" w:eastAsia="宋体" w:hAnsi="宋体"/>
        </w:rPr>
        <w:t>贷款增长23.6%</w:t>
      </w:r>
      <w:r w:rsidRPr="00E8569B">
        <w:rPr>
          <w:rFonts w:ascii="宋体" w:eastAsia="宋体" w:hAnsi="宋体" w:hint="eastAsia"/>
        </w:rPr>
        <w:t>。</w:t>
      </w:r>
      <w:r w:rsidRPr="00E8569B">
        <w:rPr>
          <w:rStyle w:val="af0"/>
          <w:rFonts w:ascii="宋体" w:eastAsia="宋体" w:hAnsi="宋体"/>
        </w:rPr>
        <w:footnoteReference w:id="2"/>
      </w:r>
      <w:r w:rsidR="00E8569B" w:rsidRPr="00E8569B">
        <w:rPr>
          <w:rFonts w:ascii="宋体" w:eastAsia="宋体" w:hAnsi="宋体" w:hint="eastAsia"/>
        </w:rPr>
        <w:t>数字普惠金融克服了传统金融下金融抑制、信贷歧视、资源错配等问题，在实际执行层面较好地解决了融资过程中信息不对称的问题（黄益平和邱晗，</w:t>
      </w:r>
      <w:r w:rsidR="00E8569B" w:rsidRPr="00E8569B">
        <w:rPr>
          <w:rFonts w:ascii="宋体" w:eastAsia="宋体" w:hAnsi="宋体"/>
        </w:rPr>
        <w:t>2021</w:t>
      </w:r>
      <w:r w:rsidR="00E8569B" w:rsidRPr="00E8569B">
        <w:rPr>
          <w:rFonts w:ascii="宋体" w:eastAsia="宋体" w:hAnsi="宋体" w:hint="eastAsia"/>
        </w:rPr>
        <w:t>；钟凯等，</w:t>
      </w:r>
      <w:r w:rsidR="00E8569B" w:rsidRPr="00E8569B">
        <w:rPr>
          <w:rFonts w:ascii="宋体" w:eastAsia="宋体" w:hAnsi="宋体"/>
        </w:rPr>
        <w:t>2022</w:t>
      </w:r>
      <w:r w:rsidR="00E8569B" w:rsidRPr="00E8569B">
        <w:rPr>
          <w:rFonts w:ascii="宋体" w:eastAsia="宋体" w:hAnsi="宋体" w:hint="eastAsia"/>
        </w:rPr>
        <w:t>）。相关</w:t>
      </w:r>
      <w:r w:rsidRPr="00E8569B">
        <w:rPr>
          <w:rFonts w:ascii="宋体" w:eastAsia="宋体" w:hAnsi="宋体" w:hint="eastAsia"/>
        </w:rPr>
        <w:t>研究主要认为数字普惠金融的发展促使银行业自行</w:t>
      </w:r>
      <w:r w:rsidR="00E8569B" w:rsidRPr="00E8569B">
        <w:rPr>
          <w:rFonts w:ascii="宋体" w:eastAsia="宋体" w:hAnsi="宋体" w:hint="eastAsia"/>
        </w:rPr>
        <w:t>或合作</w:t>
      </w:r>
      <w:r w:rsidRPr="00E8569B">
        <w:rPr>
          <w:rFonts w:ascii="宋体" w:eastAsia="宋体" w:hAnsi="宋体" w:hint="eastAsia"/>
        </w:rPr>
        <w:t>研发金融科技，利用大数据、</w:t>
      </w:r>
      <w:proofErr w:type="gramStart"/>
      <w:r w:rsidRPr="00E8569B">
        <w:rPr>
          <w:rFonts w:ascii="宋体" w:eastAsia="宋体" w:hAnsi="宋体" w:hint="eastAsia"/>
        </w:rPr>
        <w:t>云计算</w:t>
      </w:r>
      <w:proofErr w:type="gramEnd"/>
      <w:r w:rsidRPr="00E8569B">
        <w:rPr>
          <w:rFonts w:ascii="宋体" w:eastAsia="宋体" w:hAnsi="宋体" w:hint="eastAsia"/>
        </w:rPr>
        <w:t>等互联网技术挖掘小</w:t>
      </w:r>
      <w:proofErr w:type="gramStart"/>
      <w:r w:rsidRPr="00E8569B">
        <w:rPr>
          <w:rFonts w:ascii="宋体" w:eastAsia="宋体" w:hAnsi="宋体" w:hint="eastAsia"/>
        </w:rPr>
        <w:t>微企业</w:t>
      </w:r>
      <w:proofErr w:type="gramEnd"/>
      <w:r w:rsidRPr="00E8569B">
        <w:rPr>
          <w:rFonts w:ascii="宋体" w:eastAsia="宋体" w:hAnsi="宋体" w:hint="eastAsia"/>
        </w:rPr>
        <w:t>的潜在信息以缓解</w:t>
      </w:r>
      <w:r w:rsidR="00E8569B" w:rsidRPr="00E8569B">
        <w:rPr>
          <w:rFonts w:ascii="宋体" w:eastAsia="宋体" w:hAnsi="宋体" w:hint="eastAsia"/>
        </w:rPr>
        <w:t>其</w:t>
      </w:r>
      <w:r w:rsidRPr="00E8569B">
        <w:rPr>
          <w:rFonts w:ascii="宋体" w:eastAsia="宋体" w:hAnsi="宋体" w:hint="eastAsia"/>
        </w:rPr>
        <w:t>信贷约束（</w:t>
      </w:r>
      <w:r w:rsidRPr="00E8569B">
        <w:rPr>
          <w:rFonts w:ascii="宋体" w:eastAsia="宋体" w:hAnsi="宋体"/>
        </w:rPr>
        <w:t>Mills</w:t>
      </w:r>
      <w:r w:rsidRPr="00E8569B">
        <w:rPr>
          <w:rFonts w:ascii="宋体" w:eastAsia="宋体" w:hAnsi="宋体" w:hint="eastAsia"/>
        </w:rPr>
        <w:t>，</w:t>
      </w:r>
      <w:r w:rsidRPr="00E8569B">
        <w:rPr>
          <w:rFonts w:ascii="宋体" w:eastAsia="宋体" w:hAnsi="宋体"/>
        </w:rPr>
        <w:t>2018</w:t>
      </w:r>
      <w:r w:rsidRPr="00E8569B">
        <w:rPr>
          <w:rFonts w:ascii="宋体" w:eastAsia="宋体" w:hAnsi="宋体" w:hint="eastAsia"/>
        </w:rPr>
        <w:t>；黄益平和黄卓，</w:t>
      </w:r>
      <w:r w:rsidRPr="00E8569B">
        <w:rPr>
          <w:rFonts w:ascii="宋体" w:eastAsia="宋体" w:hAnsi="宋体"/>
        </w:rPr>
        <w:t>2018</w:t>
      </w:r>
      <w:r w:rsidRPr="00E8569B">
        <w:rPr>
          <w:rFonts w:ascii="宋体" w:eastAsia="宋体" w:hAnsi="宋体" w:hint="eastAsia"/>
        </w:rPr>
        <w:t>）。</w:t>
      </w:r>
    </w:p>
    <w:p w14:paraId="4F90FD4C" w14:textId="47F35237" w:rsidR="000333B6" w:rsidRPr="00E8569B" w:rsidRDefault="00E8569B" w:rsidP="00793576">
      <w:pPr>
        <w:ind w:firstLine="420"/>
        <w:rPr>
          <w:rFonts w:ascii="宋体" w:eastAsia="宋体" w:hAnsi="宋体"/>
        </w:rPr>
      </w:pPr>
      <w:r w:rsidRPr="00E8569B">
        <w:rPr>
          <w:rFonts w:ascii="宋体" w:eastAsia="宋体" w:hAnsi="宋体" w:hint="eastAsia"/>
        </w:rPr>
        <w:t>那么，</w:t>
      </w:r>
      <w:r w:rsidR="000333B6" w:rsidRPr="00E8569B">
        <w:rPr>
          <w:rFonts w:ascii="宋体" w:eastAsia="宋体" w:hAnsi="宋体" w:hint="eastAsia"/>
        </w:rPr>
        <w:t>数字普惠金融能否帮助银行识别优质企业，进而真正有效缓解小</w:t>
      </w:r>
      <w:proofErr w:type="gramStart"/>
      <w:r w:rsidR="000333B6" w:rsidRPr="00E8569B">
        <w:rPr>
          <w:rFonts w:ascii="宋体" w:eastAsia="宋体" w:hAnsi="宋体" w:hint="eastAsia"/>
        </w:rPr>
        <w:t>微企业</w:t>
      </w:r>
      <w:proofErr w:type="gramEnd"/>
      <w:r w:rsidR="000333B6" w:rsidRPr="00E8569B">
        <w:rPr>
          <w:rFonts w:ascii="宋体" w:eastAsia="宋体" w:hAnsi="宋体" w:hint="eastAsia"/>
        </w:rPr>
        <w:t>融资难的问题？这是一个亟待实证的问题。具体的，数字普惠金融发展是否能够提高小</w:t>
      </w:r>
      <w:proofErr w:type="gramStart"/>
      <w:r w:rsidR="000333B6" w:rsidRPr="00E8569B">
        <w:rPr>
          <w:rFonts w:ascii="宋体" w:eastAsia="宋体" w:hAnsi="宋体" w:hint="eastAsia"/>
        </w:rPr>
        <w:t>微企业</w:t>
      </w:r>
      <w:proofErr w:type="gramEnd"/>
      <w:r w:rsidR="000333B6" w:rsidRPr="00E8569B">
        <w:rPr>
          <w:rFonts w:ascii="宋体" w:eastAsia="宋体" w:hAnsi="宋体" w:hint="eastAsia"/>
        </w:rPr>
        <w:t>的信贷可得性？数字普惠金融缓解小</w:t>
      </w:r>
      <w:proofErr w:type="gramStart"/>
      <w:r w:rsidR="000333B6" w:rsidRPr="00E8569B">
        <w:rPr>
          <w:rFonts w:ascii="宋体" w:eastAsia="宋体" w:hAnsi="宋体" w:hint="eastAsia"/>
        </w:rPr>
        <w:t>微企业</w:t>
      </w:r>
      <w:proofErr w:type="gramEnd"/>
      <w:r w:rsidR="000333B6" w:rsidRPr="00E8569B">
        <w:rPr>
          <w:rFonts w:ascii="宋体" w:eastAsia="宋体" w:hAnsi="宋体" w:hint="eastAsia"/>
        </w:rPr>
        <w:t>信贷约束的作用路径是什么？在普惠金融政策的社会推力和数字金融的技术助力下，银行的信贷配给结构会发生怎样的变化？进一步的，随着金融科技的进步，银行面对小</w:t>
      </w:r>
      <w:proofErr w:type="gramStart"/>
      <w:r w:rsidR="000333B6" w:rsidRPr="00E8569B">
        <w:rPr>
          <w:rFonts w:ascii="宋体" w:eastAsia="宋体" w:hAnsi="宋体" w:hint="eastAsia"/>
        </w:rPr>
        <w:t>微企业</w:t>
      </w:r>
      <w:proofErr w:type="gramEnd"/>
      <w:r w:rsidR="000333B6" w:rsidRPr="00E8569B">
        <w:rPr>
          <w:rFonts w:ascii="宋体" w:eastAsia="宋体" w:hAnsi="宋体" w:hint="eastAsia"/>
        </w:rPr>
        <w:t>诸多的新特征，是如何进行识别的？资金是择优式地流向创新的企业，数字化程度较高的企业，还是普惠式地覆盖到各行各业？现有文献还没有对这些问题给出明确的答案。事实上，在数字普惠金融的视角下，关于信息不对称如何抑制正规金融给小</w:t>
      </w:r>
      <w:proofErr w:type="gramStart"/>
      <w:r w:rsidR="000333B6" w:rsidRPr="00E8569B">
        <w:rPr>
          <w:rFonts w:ascii="宋体" w:eastAsia="宋体" w:hAnsi="宋体" w:hint="eastAsia"/>
        </w:rPr>
        <w:t>微企业</w:t>
      </w:r>
      <w:proofErr w:type="gramEnd"/>
      <w:r w:rsidR="000333B6" w:rsidRPr="00E8569B">
        <w:rPr>
          <w:rFonts w:ascii="宋体" w:eastAsia="宋体" w:hAnsi="宋体" w:hint="eastAsia"/>
        </w:rPr>
        <w:t>信贷配给的实证研究较少。</w:t>
      </w:r>
      <w:r w:rsidR="00FA6FAE" w:rsidRPr="00E8569B">
        <w:rPr>
          <w:rFonts w:ascii="宋体" w:eastAsia="宋体" w:hAnsi="宋体" w:hint="eastAsia"/>
        </w:rPr>
        <w:t>相关研究主要是以理论性和规范性分析为主</w:t>
      </w:r>
      <w:r w:rsidR="00FA6FAE" w:rsidRPr="00E8569B">
        <w:rPr>
          <w:rFonts w:ascii="宋体" w:eastAsia="宋体" w:hAnsi="宋体"/>
        </w:rPr>
        <w:t>(</w:t>
      </w:r>
      <w:proofErr w:type="spellStart"/>
      <w:r w:rsidR="00FA6FAE" w:rsidRPr="00E8569B">
        <w:rPr>
          <w:rFonts w:ascii="宋体" w:eastAsia="宋体" w:hAnsi="宋体"/>
        </w:rPr>
        <w:t>Dupas</w:t>
      </w:r>
      <w:proofErr w:type="spellEnd"/>
      <w:r w:rsidR="00FA6FAE" w:rsidRPr="00E8569B">
        <w:rPr>
          <w:rFonts w:ascii="宋体" w:eastAsia="宋体" w:hAnsi="宋体"/>
        </w:rPr>
        <w:t xml:space="preserve"> and Robinson，2013; </w:t>
      </w:r>
      <w:proofErr w:type="gramStart"/>
      <w:r w:rsidR="00FA6FAE" w:rsidRPr="00E8569B">
        <w:rPr>
          <w:rFonts w:ascii="宋体" w:eastAsia="宋体" w:hAnsi="宋体"/>
        </w:rPr>
        <w:t>盛天翔</w:t>
      </w:r>
      <w:proofErr w:type="gramEnd"/>
      <w:r w:rsidR="00FA6FAE" w:rsidRPr="00E8569B">
        <w:rPr>
          <w:rFonts w:ascii="宋体" w:eastAsia="宋体" w:hAnsi="宋体"/>
        </w:rPr>
        <w:t>和范从来，2020)，实证研究主要采用创业版、中小版企业的公开数据进行分析（</w:t>
      </w:r>
      <w:proofErr w:type="gramStart"/>
      <w:r w:rsidR="00FA6FAE" w:rsidRPr="00E8569B">
        <w:rPr>
          <w:rFonts w:ascii="宋体" w:eastAsia="宋体" w:hAnsi="宋体"/>
        </w:rPr>
        <w:t>黄锐等</w:t>
      </w:r>
      <w:proofErr w:type="gramEnd"/>
      <w:r w:rsidR="00FA6FAE" w:rsidRPr="00E8569B">
        <w:rPr>
          <w:rFonts w:ascii="宋体" w:eastAsia="宋体" w:hAnsi="宋体"/>
        </w:rPr>
        <w:t>，2021；聂秀华等，2021；滕磊，2020；喻平等，2020）。然而，已经上市的企业规模较大、融资渠道多元，其直接融资成本往往低于间接融资成本，难以代表真实的小</w:t>
      </w:r>
      <w:proofErr w:type="gramStart"/>
      <w:r w:rsidR="00FA6FAE" w:rsidRPr="00E8569B">
        <w:rPr>
          <w:rFonts w:ascii="宋体" w:eastAsia="宋体" w:hAnsi="宋体"/>
        </w:rPr>
        <w:t>微企业</w:t>
      </w:r>
      <w:proofErr w:type="gramEnd"/>
      <w:r w:rsidR="00FA6FAE" w:rsidRPr="00E8569B">
        <w:rPr>
          <w:rFonts w:ascii="宋体" w:eastAsia="宋体" w:hAnsi="宋体"/>
        </w:rPr>
        <w:t>融资情况。因此，数字普惠金融在正规金融渠道的微观影响机制还有待更多的数据验证。</w:t>
      </w:r>
    </w:p>
    <w:p w14:paraId="231A5B55" w14:textId="77777777" w:rsidR="00FA6FAE" w:rsidRPr="00E8569B" w:rsidRDefault="00FA6FAE" w:rsidP="00FA6FAE">
      <w:pPr>
        <w:ind w:firstLine="420"/>
        <w:rPr>
          <w:rFonts w:ascii="宋体" w:eastAsia="宋体" w:hAnsi="宋体"/>
        </w:rPr>
      </w:pPr>
      <w:r w:rsidRPr="00E8569B">
        <w:rPr>
          <w:rFonts w:ascii="宋体" w:eastAsia="宋体" w:hAnsi="宋体" w:hint="eastAsia"/>
        </w:rPr>
        <w:t>考虑到数字普惠金融缓解小</w:t>
      </w:r>
      <w:proofErr w:type="gramStart"/>
      <w:r w:rsidRPr="00E8569B">
        <w:rPr>
          <w:rFonts w:ascii="宋体" w:eastAsia="宋体" w:hAnsi="宋体" w:hint="eastAsia"/>
        </w:rPr>
        <w:t>微企业</w:t>
      </w:r>
      <w:proofErr w:type="gramEnd"/>
      <w:r w:rsidRPr="00E8569B">
        <w:rPr>
          <w:rFonts w:ascii="宋体" w:eastAsia="宋体" w:hAnsi="宋体" w:hint="eastAsia"/>
        </w:rPr>
        <w:t>信贷约束的核心机制在于降低银企间信息不对称引发的信贷配给问题（</w:t>
      </w:r>
      <w:r w:rsidRPr="00E8569B">
        <w:rPr>
          <w:rFonts w:ascii="宋体" w:eastAsia="宋体" w:hAnsi="宋体"/>
        </w:rPr>
        <w:t>Jaffee and Russell，1976），本文利用2015年中国小</w:t>
      </w:r>
      <w:proofErr w:type="gramStart"/>
      <w:r w:rsidRPr="00E8569B">
        <w:rPr>
          <w:rFonts w:ascii="宋体" w:eastAsia="宋体" w:hAnsi="宋体"/>
        </w:rPr>
        <w:t>微企业</w:t>
      </w:r>
      <w:proofErr w:type="gramEnd"/>
      <w:r w:rsidRPr="00E8569B">
        <w:rPr>
          <w:rFonts w:ascii="宋体" w:eastAsia="宋体" w:hAnsi="宋体"/>
        </w:rPr>
        <w:t>调研数据库及北京大学发布的数字普惠金融指数，定量分析了非对称信息理论下，数字普惠金融对小</w:t>
      </w:r>
      <w:proofErr w:type="gramStart"/>
      <w:r w:rsidRPr="00E8569B">
        <w:rPr>
          <w:rFonts w:ascii="宋体" w:eastAsia="宋体" w:hAnsi="宋体"/>
        </w:rPr>
        <w:t>微企业</w:t>
      </w:r>
      <w:proofErr w:type="gramEnd"/>
      <w:r w:rsidRPr="00E8569B">
        <w:rPr>
          <w:rFonts w:ascii="宋体" w:eastAsia="宋体" w:hAnsi="宋体"/>
        </w:rPr>
        <w:t>信贷约束的影响机制。</w:t>
      </w:r>
      <w:r w:rsidRPr="00E8569B">
        <w:rPr>
          <w:rFonts w:ascii="宋体" w:eastAsia="宋体" w:hAnsi="宋体" w:hint="eastAsia"/>
        </w:rPr>
        <w:t>从银行审批贷款的视角，定量分析各个省市数字普惠金融政策实施力度的差异，并从信息不对称</w:t>
      </w:r>
      <w:r w:rsidRPr="00E8569B">
        <w:rPr>
          <w:rFonts w:ascii="宋体" w:eastAsia="宋体" w:hAnsi="宋体" w:hint="eastAsia"/>
        </w:rPr>
        <w:lastRenderedPageBreak/>
        <w:t>的角度进行了机制检验，丰富了影响机制的研究内容。</w:t>
      </w:r>
    </w:p>
    <w:p w14:paraId="009EE0F7" w14:textId="30D81E1D" w:rsidR="008B7826" w:rsidRPr="00E8569B" w:rsidRDefault="00FA6FAE" w:rsidP="00FA6FAE">
      <w:pPr>
        <w:ind w:firstLine="420"/>
        <w:rPr>
          <w:rFonts w:ascii="宋体" w:eastAsia="宋体" w:hAnsi="宋体"/>
        </w:rPr>
      </w:pPr>
      <w:r w:rsidRPr="00E8569B">
        <w:rPr>
          <w:rFonts w:ascii="宋体" w:eastAsia="宋体" w:hAnsi="宋体" w:hint="eastAsia"/>
        </w:rPr>
        <w:t>与已有文献相比，本文的贡献主要体现在以下三个方面：（</w:t>
      </w:r>
      <w:r w:rsidRPr="00E8569B">
        <w:rPr>
          <w:rFonts w:ascii="宋体" w:eastAsia="宋体" w:hAnsi="宋体"/>
        </w:rPr>
        <w:t>1）在研究视角上，本文丰富并扩展了小</w:t>
      </w:r>
      <w:proofErr w:type="gramStart"/>
      <w:r w:rsidRPr="00E8569B">
        <w:rPr>
          <w:rFonts w:ascii="宋体" w:eastAsia="宋体" w:hAnsi="宋体"/>
        </w:rPr>
        <w:t>微企业</w:t>
      </w:r>
      <w:proofErr w:type="gramEnd"/>
      <w:r w:rsidRPr="00E8569B">
        <w:rPr>
          <w:rFonts w:ascii="宋体" w:eastAsia="宋体" w:hAnsi="宋体"/>
        </w:rPr>
        <w:t>信贷约束的相关理论，从小</w:t>
      </w:r>
      <w:proofErr w:type="gramStart"/>
      <w:r w:rsidRPr="00E8569B">
        <w:rPr>
          <w:rFonts w:ascii="宋体" w:eastAsia="宋体" w:hAnsi="宋体"/>
        </w:rPr>
        <w:t>微企业</w:t>
      </w:r>
      <w:proofErr w:type="gramEnd"/>
      <w:r w:rsidRPr="00E8569B">
        <w:rPr>
          <w:rFonts w:ascii="宋体" w:eastAsia="宋体" w:hAnsi="宋体"/>
        </w:rPr>
        <w:t>的特征出发，挖掘数字普惠金融缓解小</w:t>
      </w:r>
      <w:proofErr w:type="gramStart"/>
      <w:r w:rsidRPr="00E8569B">
        <w:rPr>
          <w:rFonts w:ascii="宋体" w:eastAsia="宋体" w:hAnsi="宋体"/>
        </w:rPr>
        <w:t>微企业</w:t>
      </w:r>
      <w:proofErr w:type="gramEnd"/>
      <w:r w:rsidRPr="00E8569B">
        <w:rPr>
          <w:rFonts w:ascii="宋体" w:eastAsia="宋体" w:hAnsi="宋体"/>
        </w:rPr>
        <w:t>融资约束的作用机制。此外，本文还提出了更好的反映信贷约束的衡量指标，不再笼统地讨论广义的融资约束，将信贷约束从融资约束中剥离出来，着力讨论在数字普惠金融背景下，正规金融赋能小</w:t>
      </w:r>
      <w:proofErr w:type="gramStart"/>
      <w:r w:rsidRPr="00E8569B">
        <w:rPr>
          <w:rFonts w:ascii="宋体" w:eastAsia="宋体" w:hAnsi="宋体"/>
        </w:rPr>
        <w:t>微企业</w:t>
      </w:r>
      <w:proofErr w:type="gramEnd"/>
      <w:r w:rsidRPr="00E8569B">
        <w:rPr>
          <w:rFonts w:ascii="宋体" w:eastAsia="宋体" w:hAnsi="宋体"/>
        </w:rPr>
        <w:t>融资。</w:t>
      </w:r>
      <w:r w:rsidRPr="00E8569B">
        <w:rPr>
          <w:rFonts w:ascii="宋体" w:eastAsia="宋体" w:hAnsi="宋体" w:hint="eastAsia"/>
        </w:rPr>
        <w:t>（</w:t>
      </w:r>
      <w:r w:rsidRPr="00E8569B">
        <w:rPr>
          <w:rFonts w:ascii="宋体" w:eastAsia="宋体" w:hAnsi="宋体"/>
        </w:rPr>
        <w:t>2）在研究对象上，不同于以往的文献以新三板</w:t>
      </w:r>
      <w:proofErr w:type="gramStart"/>
      <w:r w:rsidRPr="00E8569B">
        <w:rPr>
          <w:rFonts w:ascii="宋体" w:eastAsia="宋体" w:hAnsi="宋体"/>
        </w:rPr>
        <w:t>和科创版</w:t>
      </w:r>
      <w:proofErr w:type="gramEnd"/>
      <w:r w:rsidRPr="00E8569B">
        <w:rPr>
          <w:rFonts w:ascii="宋体" w:eastAsia="宋体" w:hAnsi="宋体"/>
        </w:rPr>
        <w:t>的小</w:t>
      </w:r>
      <w:proofErr w:type="gramStart"/>
      <w:r w:rsidRPr="00E8569B">
        <w:rPr>
          <w:rFonts w:ascii="宋体" w:eastAsia="宋体" w:hAnsi="宋体"/>
        </w:rPr>
        <w:t>微企业</w:t>
      </w:r>
      <w:proofErr w:type="gramEnd"/>
      <w:r w:rsidRPr="00E8569B">
        <w:rPr>
          <w:rFonts w:ascii="宋体" w:eastAsia="宋体" w:hAnsi="宋体"/>
        </w:rPr>
        <w:t>为研究对象，本文选用西南财经大学的中国小</w:t>
      </w:r>
      <w:proofErr w:type="gramStart"/>
      <w:r w:rsidRPr="00E8569B">
        <w:rPr>
          <w:rFonts w:ascii="宋体" w:eastAsia="宋体" w:hAnsi="宋体"/>
        </w:rPr>
        <w:t>微企业</w:t>
      </w:r>
      <w:proofErr w:type="gramEnd"/>
      <w:r w:rsidRPr="00E8569B">
        <w:rPr>
          <w:rFonts w:ascii="宋体" w:eastAsia="宋体" w:hAnsi="宋体"/>
        </w:rPr>
        <w:t>调查数据库克服了样本偏差问题，能够刻画更加真实的小</w:t>
      </w:r>
      <w:proofErr w:type="gramStart"/>
      <w:r w:rsidRPr="00E8569B">
        <w:rPr>
          <w:rFonts w:ascii="宋体" w:eastAsia="宋体" w:hAnsi="宋体"/>
        </w:rPr>
        <w:t>微企业</w:t>
      </w:r>
      <w:proofErr w:type="gramEnd"/>
      <w:r w:rsidRPr="00E8569B">
        <w:rPr>
          <w:rFonts w:ascii="宋体" w:eastAsia="宋体" w:hAnsi="宋体"/>
        </w:rPr>
        <w:t>融资情况，有效反映了其在债权融资中所面临的困境。</w:t>
      </w:r>
      <w:r w:rsidRPr="00E8569B">
        <w:rPr>
          <w:rFonts w:ascii="宋体" w:eastAsia="宋体" w:hAnsi="宋体" w:hint="eastAsia"/>
        </w:rPr>
        <w:t>（</w:t>
      </w:r>
      <w:r w:rsidRPr="00E8569B">
        <w:rPr>
          <w:rFonts w:ascii="宋体" w:eastAsia="宋体" w:hAnsi="宋体"/>
        </w:rPr>
        <w:t>3）在现实意义上，银行是数字普惠金融的生力军，本文探讨了数字普惠金融通过促进银行对小</w:t>
      </w:r>
      <w:proofErr w:type="gramStart"/>
      <w:r w:rsidRPr="00E8569B">
        <w:rPr>
          <w:rFonts w:ascii="宋体" w:eastAsia="宋体" w:hAnsi="宋体"/>
        </w:rPr>
        <w:t>微企业</w:t>
      </w:r>
      <w:proofErr w:type="gramEnd"/>
      <w:r w:rsidRPr="00E8569B">
        <w:rPr>
          <w:rFonts w:ascii="宋体" w:eastAsia="宋体" w:hAnsi="宋体"/>
        </w:rPr>
        <w:t>发放贷款，进而缓解融资约束的底层机制。这些发现说明了银行“以信</w:t>
      </w:r>
      <w:proofErr w:type="gramStart"/>
      <w:r w:rsidRPr="00E8569B">
        <w:rPr>
          <w:rFonts w:ascii="宋体" w:eastAsia="宋体" w:hAnsi="宋体"/>
        </w:rPr>
        <w:t>换贷</w:t>
      </w:r>
      <w:proofErr w:type="gramEnd"/>
      <w:r w:rsidRPr="00E8569B">
        <w:rPr>
          <w:rFonts w:ascii="宋体" w:eastAsia="宋体" w:hAnsi="宋体"/>
        </w:rPr>
        <w:t>，以贷扶微”思路的可行性，提供了支持数字普惠金融能降低信息不对称的证据，填补了普惠贷款审批逻辑的研究空白，为解决小</w:t>
      </w:r>
      <w:proofErr w:type="gramStart"/>
      <w:r w:rsidRPr="00E8569B">
        <w:rPr>
          <w:rFonts w:ascii="宋体" w:eastAsia="宋体" w:hAnsi="宋体"/>
        </w:rPr>
        <w:t>微企业</w:t>
      </w:r>
      <w:proofErr w:type="gramEnd"/>
      <w:r w:rsidRPr="00E8569B">
        <w:rPr>
          <w:rFonts w:ascii="宋体" w:eastAsia="宋体" w:hAnsi="宋体"/>
        </w:rPr>
        <w:t>融资难问题的政策实践提供了事实依据和完善方向。</w:t>
      </w:r>
    </w:p>
    <w:p w14:paraId="6545536B" w14:textId="77777777" w:rsidR="008B7826" w:rsidRPr="00E8569B" w:rsidRDefault="008B7826" w:rsidP="008B7826">
      <w:pPr>
        <w:ind w:firstLine="420"/>
        <w:rPr>
          <w:rFonts w:ascii="宋体" w:eastAsia="宋体" w:hAnsi="宋体"/>
        </w:rPr>
      </w:pPr>
      <w:r w:rsidRPr="00E8569B">
        <w:rPr>
          <w:rFonts w:ascii="宋体" w:eastAsia="宋体" w:hAnsi="宋体" w:hint="eastAsia"/>
        </w:rPr>
        <w:t>本文内容安排如下:第二部分为理论分析和研究假设;第三部分是研究设计;第四部分为实证结果和分析;第五部分为稳健性检验;最后是研究结论</w:t>
      </w:r>
      <w:r w:rsidRPr="00E8569B">
        <w:rPr>
          <w:rFonts w:ascii="宋体" w:eastAsia="宋体" w:hAnsi="宋体"/>
        </w:rPr>
        <w:t>。</w:t>
      </w:r>
    </w:p>
    <w:p w14:paraId="69C90253" w14:textId="2F2679EA" w:rsidR="00EB5674" w:rsidRPr="00E8569B" w:rsidRDefault="00EB5674">
      <w:pPr>
        <w:rPr>
          <w:rFonts w:ascii="宋体" w:eastAsia="宋体" w:hAnsi="宋体"/>
        </w:rPr>
      </w:pPr>
    </w:p>
    <w:sectPr w:rsidR="00EB5674" w:rsidRPr="00E85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7060" w14:textId="77777777" w:rsidR="0082023E" w:rsidRDefault="0082023E" w:rsidP="00A80BB6">
      <w:r>
        <w:separator/>
      </w:r>
    </w:p>
  </w:endnote>
  <w:endnote w:type="continuationSeparator" w:id="0">
    <w:p w14:paraId="6176E567" w14:textId="77777777" w:rsidR="0082023E" w:rsidRDefault="0082023E" w:rsidP="00A8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AE311" w14:textId="77777777" w:rsidR="0082023E" w:rsidRDefault="0082023E" w:rsidP="00A80BB6">
      <w:r>
        <w:separator/>
      </w:r>
    </w:p>
  </w:footnote>
  <w:footnote w:type="continuationSeparator" w:id="0">
    <w:p w14:paraId="441E1AE8" w14:textId="77777777" w:rsidR="0082023E" w:rsidRDefault="0082023E" w:rsidP="00A80BB6">
      <w:r>
        <w:continuationSeparator/>
      </w:r>
    </w:p>
  </w:footnote>
  <w:footnote w:id="1">
    <w:p w14:paraId="5F090000" w14:textId="2A74623F" w:rsidR="00E8569B" w:rsidRPr="00E8569B" w:rsidRDefault="00E8569B">
      <w:pPr>
        <w:pStyle w:val="ae"/>
      </w:pPr>
      <w:r>
        <w:rPr>
          <w:rStyle w:val="af0"/>
        </w:rPr>
        <w:footnoteRef/>
      </w:r>
      <w:r>
        <w:t xml:space="preserve"> </w:t>
      </w:r>
      <w:hyperlink r:id="rId1" w:history="1">
        <w:r w:rsidRPr="00E8569B">
          <w:rPr>
            <w:rStyle w:val="ac"/>
          </w:rPr>
          <w:t>解决小微企业融资难还需“几家抬” _ 解读 _中国政府网 (www.gov.cn)</w:t>
        </w:r>
      </w:hyperlink>
    </w:p>
  </w:footnote>
  <w:footnote w:id="2">
    <w:p w14:paraId="508CF54F" w14:textId="256E7BF7" w:rsidR="00174B8E" w:rsidRDefault="00174B8E">
      <w:pPr>
        <w:pStyle w:val="ae"/>
      </w:pPr>
      <w:r>
        <w:rPr>
          <w:rStyle w:val="af0"/>
        </w:rPr>
        <w:footnoteRef/>
      </w:r>
      <w:r>
        <w:t xml:space="preserve"> </w:t>
      </w:r>
      <w:hyperlink r:id="rId2" w:history="1">
        <w:r w:rsidRPr="00174B8E">
          <w:rPr>
            <w:rStyle w:val="ac"/>
          </w:rPr>
          <w:t>银保监会：2022年普惠型小</w:t>
        </w:r>
        <w:proofErr w:type="gramStart"/>
        <w:r w:rsidRPr="00174B8E">
          <w:rPr>
            <w:rStyle w:val="ac"/>
          </w:rPr>
          <w:t>微企业</w:t>
        </w:r>
        <w:proofErr w:type="gramEnd"/>
        <w:r w:rsidRPr="00174B8E">
          <w:rPr>
            <w:rStyle w:val="ac"/>
          </w:rPr>
          <w:t>贷款增长23.6%|信贷投放节奏|中国银行保险监督管理委员会_网易订阅 (163.com)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EB"/>
    <w:rsid w:val="00014027"/>
    <w:rsid w:val="000333B6"/>
    <w:rsid w:val="000C5484"/>
    <w:rsid w:val="000D1319"/>
    <w:rsid w:val="00134BE8"/>
    <w:rsid w:val="00174B8E"/>
    <w:rsid w:val="00183AC1"/>
    <w:rsid w:val="001C614B"/>
    <w:rsid w:val="001E60D6"/>
    <w:rsid w:val="002019B4"/>
    <w:rsid w:val="00206C09"/>
    <w:rsid w:val="0024124A"/>
    <w:rsid w:val="002917CB"/>
    <w:rsid w:val="002A4AAD"/>
    <w:rsid w:val="003228BC"/>
    <w:rsid w:val="0033521D"/>
    <w:rsid w:val="00396EBA"/>
    <w:rsid w:val="003A6483"/>
    <w:rsid w:val="003E4EB9"/>
    <w:rsid w:val="0042433F"/>
    <w:rsid w:val="00480D78"/>
    <w:rsid w:val="004C3E1A"/>
    <w:rsid w:val="0054559E"/>
    <w:rsid w:val="005600AC"/>
    <w:rsid w:val="005D0801"/>
    <w:rsid w:val="00650C99"/>
    <w:rsid w:val="006954B0"/>
    <w:rsid w:val="00696BD7"/>
    <w:rsid w:val="006C6D6D"/>
    <w:rsid w:val="006D2DFF"/>
    <w:rsid w:val="006F1BA5"/>
    <w:rsid w:val="0072611F"/>
    <w:rsid w:val="00744632"/>
    <w:rsid w:val="007501EB"/>
    <w:rsid w:val="00774C24"/>
    <w:rsid w:val="00793576"/>
    <w:rsid w:val="0082023E"/>
    <w:rsid w:val="0086333B"/>
    <w:rsid w:val="008A2AC8"/>
    <w:rsid w:val="008B7826"/>
    <w:rsid w:val="008C3B7F"/>
    <w:rsid w:val="00952674"/>
    <w:rsid w:val="0096707E"/>
    <w:rsid w:val="00A22044"/>
    <w:rsid w:val="00A2539A"/>
    <w:rsid w:val="00A636EC"/>
    <w:rsid w:val="00A80BB6"/>
    <w:rsid w:val="00AE6AA0"/>
    <w:rsid w:val="00BF5E69"/>
    <w:rsid w:val="00BF6FF4"/>
    <w:rsid w:val="00C66C22"/>
    <w:rsid w:val="00CD007C"/>
    <w:rsid w:val="00D13BBD"/>
    <w:rsid w:val="00D2726A"/>
    <w:rsid w:val="00D94439"/>
    <w:rsid w:val="00E55F26"/>
    <w:rsid w:val="00E57729"/>
    <w:rsid w:val="00E64FCA"/>
    <w:rsid w:val="00E8569B"/>
    <w:rsid w:val="00EB5674"/>
    <w:rsid w:val="00EF4985"/>
    <w:rsid w:val="00F1280C"/>
    <w:rsid w:val="00FA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91E7"/>
  <w15:chartTrackingRefBased/>
  <w15:docId w15:val="{9CA8E953-4A42-4730-BBD5-50AAC169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C2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44632"/>
    <w:pPr>
      <w:spacing w:before="240" w:after="60"/>
      <w:jc w:val="center"/>
      <w:outlineLvl w:val="0"/>
    </w:pPr>
    <w:rPr>
      <w:rFonts w:asciiTheme="minorEastAsia" w:eastAsiaTheme="majorEastAsia" w:hAnsiTheme="minorEastAsia" w:cstheme="majorBidi"/>
      <w:b/>
      <w:bCs/>
      <w:sz w:val="32"/>
      <w:szCs w:val="32"/>
    </w:rPr>
  </w:style>
  <w:style w:type="character" w:customStyle="1" w:styleId="a4">
    <w:name w:val="标题 字符"/>
    <w:basedOn w:val="a0"/>
    <w:link w:val="a3"/>
    <w:rsid w:val="00744632"/>
    <w:rPr>
      <w:rFonts w:asciiTheme="minorEastAsia" w:eastAsiaTheme="majorEastAsia" w:hAnsiTheme="minorEastAsia" w:cstheme="majorBidi"/>
      <w:b/>
      <w:bCs/>
      <w:sz w:val="32"/>
      <w:szCs w:val="32"/>
    </w:rPr>
  </w:style>
  <w:style w:type="paragraph" w:styleId="a5">
    <w:name w:val="Quote"/>
    <w:basedOn w:val="a"/>
    <w:next w:val="a"/>
    <w:link w:val="a6"/>
    <w:uiPriority w:val="29"/>
    <w:qFormat/>
    <w:rsid w:val="006D2DFF"/>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6D2DFF"/>
    <w:rPr>
      <w:i/>
      <w:iCs/>
      <w:color w:val="404040" w:themeColor="text1" w:themeTint="BF"/>
      <w:sz w:val="24"/>
      <w:szCs w:val="24"/>
    </w:rPr>
  </w:style>
  <w:style w:type="paragraph" w:styleId="a7">
    <w:name w:val="Bibliography"/>
    <w:basedOn w:val="a"/>
    <w:next w:val="a"/>
    <w:uiPriority w:val="37"/>
    <w:semiHidden/>
    <w:unhideWhenUsed/>
    <w:rsid w:val="00D2726A"/>
  </w:style>
  <w:style w:type="paragraph" w:styleId="a8">
    <w:name w:val="endnote text"/>
    <w:basedOn w:val="a"/>
    <w:link w:val="a9"/>
    <w:uiPriority w:val="99"/>
    <w:semiHidden/>
    <w:unhideWhenUsed/>
    <w:rsid w:val="00A80BB6"/>
    <w:pPr>
      <w:snapToGrid w:val="0"/>
      <w:jc w:val="left"/>
    </w:pPr>
  </w:style>
  <w:style w:type="character" w:customStyle="1" w:styleId="a9">
    <w:name w:val="尾注文本 字符"/>
    <w:basedOn w:val="a0"/>
    <w:link w:val="a8"/>
    <w:uiPriority w:val="99"/>
    <w:semiHidden/>
    <w:rsid w:val="00A80BB6"/>
    <w:rPr>
      <w:sz w:val="24"/>
      <w:szCs w:val="24"/>
    </w:rPr>
  </w:style>
  <w:style w:type="character" w:styleId="aa">
    <w:name w:val="endnote reference"/>
    <w:basedOn w:val="a0"/>
    <w:uiPriority w:val="99"/>
    <w:semiHidden/>
    <w:unhideWhenUsed/>
    <w:rsid w:val="00A80BB6"/>
    <w:rPr>
      <w:vertAlign w:val="superscript"/>
    </w:rPr>
  </w:style>
  <w:style w:type="paragraph" w:styleId="ab">
    <w:name w:val="Normal (Web)"/>
    <w:basedOn w:val="a"/>
    <w:uiPriority w:val="99"/>
    <w:semiHidden/>
    <w:unhideWhenUsed/>
    <w:rsid w:val="00A80BB6"/>
    <w:rPr>
      <w:rFonts w:ascii="Times New Roman" w:hAnsi="Times New Roman" w:cs="Times New Roman"/>
    </w:rPr>
  </w:style>
  <w:style w:type="character" w:styleId="ac">
    <w:name w:val="Hyperlink"/>
    <w:basedOn w:val="a0"/>
    <w:uiPriority w:val="99"/>
    <w:unhideWhenUsed/>
    <w:rsid w:val="00A80BB6"/>
    <w:rPr>
      <w:color w:val="0563C1" w:themeColor="hyperlink"/>
      <w:u w:val="single"/>
    </w:rPr>
  </w:style>
  <w:style w:type="character" w:styleId="ad">
    <w:name w:val="Unresolved Mention"/>
    <w:basedOn w:val="a0"/>
    <w:uiPriority w:val="99"/>
    <w:semiHidden/>
    <w:unhideWhenUsed/>
    <w:rsid w:val="00A80BB6"/>
    <w:rPr>
      <w:color w:val="605E5C"/>
      <w:shd w:val="clear" w:color="auto" w:fill="E1DFDD"/>
    </w:rPr>
  </w:style>
  <w:style w:type="paragraph" w:styleId="ae">
    <w:name w:val="footnote text"/>
    <w:basedOn w:val="a"/>
    <w:link w:val="af"/>
    <w:uiPriority w:val="99"/>
    <w:semiHidden/>
    <w:unhideWhenUsed/>
    <w:rsid w:val="00174B8E"/>
    <w:pPr>
      <w:snapToGrid w:val="0"/>
      <w:jc w:val="left"/>
    </w:pPr>
    <w:rPr>
      <w:sz w:val="18"/>
      <w:szCs w:val="18"/>
    </w:rPr>
  </w:style>
  <w:style w:type="character" w:customStyle="1" w:styleId="af">
    <w:name w:val="脚注文本 字符"/>
    <w:basedOn w:val="a0"/>
    <w:link w:val="ae"/>
    <w:uiPriority w:val="99"/>
    <w:semiHidden/>
    <w:rsid w:val="00174B8E"/>
    <w:rPr>
      <w:sz w:val="18"/>
      <w:szCs w:val="18"/>
    </w:rPr>
  </w:style>
  <w:style w:type="character" w:styleId="af0">
    <w:name w:val="footnote reference"/>
    <w:basedOn w:val="a0"/>
    <w:uiPriority w:val="99"/>
    <w:semiHidden/>
    <w:unhideWhenUsed/>
    <w:rsid w:val="00174B8E"/>
    <w:rPr>
      <w:vertAlign w:val="superscript"/>
    </w:rPr>
  </w:style>
  <w:style w:type="character" w:styleId="af1">
    <w:name w:val="FollowedHyperlink"/>
    <w:basedOn w:val="a0"/>
    <w:uiPriority w:val="99"/>
    <w:semiHidden/>
    <w:unhideWhenUsed/>
    <w:rsid w:val="00E85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9632">
      <w:bodyDiv w:val="1"/>
      <w:marLeft w:val="0"/>
      <w:marRight w:val="0"/>
      <w:marTop w:val="0"/>
      <w:marBottom w:val="0"/>
      <w:divBdr>
        <w:top w:val="none" w:sz="0" w:space="0" w:color="auto"/>
        <w:left w:val="none" w:sz="0" w:space="0" w:color="auto"/>
        <w:bottom w:val="none" w:sz="0" w:space="0" w:color="auto"/>
        <w:right w:val="none" w:sz="0" w:space="0" w:color="auto"/>
      </w:divBdr>
    </w:div>
    <w:div w:id="550926000">
      <w:bodyDiv w:val="1"/>
      <w:marLeft w:val="0"/>
      <w:marRight w:val="0"/>
      <w:marTop w:val="0"/>
      <w:marBottom w:val="0"/>
      <w:divBdr>
        <w:top w:val="none" w:sz="0" w:space="0" w:color="auto"/>
        <w:left w:val="none" w:sz="0" w:space="0" w:color="auto"/>
        <w:bottom w:val="none" w:sz="0" w:space="0" w:color="auto"/>
        <w:right w:val="none" w:sz="0" w:space="0" w:color="auto"/>
      </w:divBdr>
    </w:div>
    <w:div w:id="822353906">
      <w:bodyDiv w:val="1"/>
      <w:marLeft w:val="0"/>
      <w:marRight w:val="0"/>
      <w:marTop w:val="0"/>
      <w:marBottom w:val="0"/>
      <w:divBdr>
        <w:top w:val="none" w:sz="0" w:space="0" w:color="auto"/>
        <w:left w:val="none" w:sz="0" w:space="0" w:color="auto"/>
        <w:bottom w:val="none" w:sz="0" w:space="0" w:color="auto"/>
        <w:right w:val="none" w:sz="0" w:space="0" w:color="auto"/>
      </w:divBdr>
    </w:div>
    <w:div w:id="1029064036">
      <w:bodyDiv w:val="1"/>
      <w:marLeft w:val="0"/>
      <w:marRight w:val="0"/>
      <w:marTop w:val="0"/>
      <w:marBottom w:val="0"/>
      <w:divBdr>
        <w:top w:val="none" w:sz="0" w:space="0" w:color="auto"/>
        <w:left w:val="none" w:sz="0" w:space="0" w:color="auto"/>
        <w:bottom w:val="none" w:sz="0" w:space="0" w:color="auto"/>
        <w:right w:val="none" w:sz="0" w:space="0" w:color="auto"/>
      </w:divBdr>
    </w:div>
    <w:div w:id="1032725329">
      <w:bodyDiv w:val="1"/>
      <w:marLeft w:val="0"/>
      <w:marRight w:val="0"/>
      <w:marTop w:val="0"/>
      <w:marBottom w:val="0"/>
      <w:divBdr>
        <w:top w:val="none" w:sz="0" w:space="0" w:color="auto"/>
        <w:left w:val="none" w:sz="0" w:space="0" w:color="auto"/>
        <w:bottom w:val="none" w:sz="0" w:space="0" w:color="auto"/>
        <w:right w:val="none" w:sz="0" w:space="0" w:color="auto"/>
      </w:divBdr>
    </w:div>
    <w:div w:id="17612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163.com/dy/article/HSM8F56D0514R9KQ.html" TargetMode="External"/><Relationship Id="rId1" Type="http://schemas.openxmlformats.org/officeDocument/2006/relationships/hyperlink" Target="http://www.gov.cn/zhengce/2018-06/19/content_52995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75C1-A2F0-4925-B590-D7735FD3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茜瑛</dc:creator>
  <cp:keywords/>
  <dc:description/>
  <cp:lastModifiedBy>黄 茜瑛</cp:lastModifiedBy>
  <cp:revision>12</cp:revision>
  <dcterms:created xsi:type="dcterms:W3CDTF">2023-02-02T05:06:00Z</dcterms:created>
  <dcterms:modified xsi:type="dcterms:W3CDTF">2023-02-05T08:56:00Z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id="POQcm9DL"/&gt;&lt;style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