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银行间普惠金融业务对比：</w:t>
      </w:r>
    </w:p>
    <w:p>
      <w:pPr>
        <w:keepNext w:val="0"/>
        <w:keepLines w:val="0"/>
        <w:widowControl/>
        <w:numPr>
          <w:ilvl w:val="0"/>
          <w:numId w:val="0"/>
        </w:numPr>
        <w:suppressLineNumbers w:val="0"/>
        <w:ind w:firstLine="420" w:firstLineChars="0"/>
        <w:jc w:val="left"/>
        <w:rPr>
          <w:rFonts w:hint="default"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w:t>
      </w:r>
      <w:r>
        <w:rPr>
          <w:rFonts w:ascii="Arial" w:hAnsi="Arial" w:eastAsia="宋体" w:cs="Arial"/>
          <w:i w:val="0"/>
          <w:caps w:val="0"/>
          <w:color w:val="333333"/>
          <w:spacing w:val="8"/>
          <w:sz w:val="24"/>
          <w:szCs w:val="24"/>
          <w:shd w:val="clear" w:fill="FFFFFF"/>
          <w:lang w:val="en-US" w:eastAsia="zh-CN"/>
        </w:rPr>
        <w:t>健全具有高度适应性、</w:t>
      </w:r>
      <w:r>
        <w:rPr>
          <w:rFonts w:hint="default" w:ascii="Arial" w:hAnsi="Arial" w:eastAsia="宋体" w:cs="Arial"/>
          <w:i w:val="0"/>
          <w:caps w:val="0"/>
          <w:color w:val="333333"/>
          <w:spacing w:val="8"/>
          <w:sz w:val="24"/>
          <w:szCs w:val="24"/>
          <w:shd w:val="clear" w:fill="FFFFFF"/>
          <w:lang w:val="en-US" w:eastAsia="zh-CN"/>
        </w:rPr>
        <w:t>竞争力、普惠性的现代金融体系，构建金融有效支持实体经济的体制机制</w:t>
      </w:r>
      <w:r>
        <w:rPr>
          <w:rFonts w:hint="eastAsia" w:ascii="Arial" w:hAnsi="Arial" w:eastAsia="宋体" w:cs="Arial"/>
          <w:i w:val="0"/>
          <w:caps w:val="0"/>
          <w:color w:val="333333"/>
          <w:spacing w:val="8"/>
          <w:sz w:val="24"/>
          <w:szCs w:val="24"/>
          <w:shd w:val="clear" w:fill="FFFFFF"/>
          <w:lang w:val="en-US" w:eastAsia="zh-CN"/>
        </w:rPr>
        <w:t>”是我国于于十四五规划中明确提出的政策方向，普惠金融体系的建立则要求银行建立适应中小企业的适应性贷款技术，加大信贷支持力度，破除银企间的信息不对称（钱龙，2015）。目前，许多银行推出了不同的普惠金融产品、服务。</w:t>
      </w:r>
    </w:p>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为了比较不同银行的普惠金融产品、服务的异同，根据禀赋的差别将银行分为三类（张一林等，2021）：</w:t>
      </w:r>
    </w:p>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地区性中小银行：常年深耕本地市场，</w:t>
      </w:r>
      <w:r>
        <w:rPr>
          <w:rFonts w:ascii="Arial" w:hAnsi="Arial" w:eastAsia="宋体" w:cs="Arial"/>
          <w:i w:val="0"/>
          <w:caps w:val="0"/>
          <w:color w:val="333333"/>
          <w:spacing w:val="8"/>
          <w:sz w:val="24"/>
          <w:szCs w:val="24"/>
          <w:shd w:val="clear" w:fill="FFFFFF"/>
          <w:lang w:val="en-US" w:eastAsia="zh-CN"/>
        </w:rPr>
        <w:t>善于用线下人工方式甄别软信息</w:t>
      </w:r>
      <w:r>
        <w:rPr>
          <w:rFonts w:hint="eastAsia" w:ascii="Arial" w:hAnsi="Arial" w:eastAsia="宋体" w:cs="Arial"/>
          <w:i w:val="0"/>
          <w:caps w:val="0"/>
          <w:color w:val="333333"/>
          <w:spacing w:val="8"/>
          <w:sz w:val="24"/>
          <w:szCs w:val="24"/>
          <w:shd w:val="clear" w:fill="FFFFFF"/>
          <w:lang w:val="en-US" w:eastAsia="zh-CN"/>
        </w:rPr>
        <w:t>（企业家能力、企业信誉等）</w:t>
      </w:r>
      <w:r>
        <w:rPr>
          <w:rFonts w:ascii="Arial" w:hAnsi="Arial" w:eastAsia="宋体" w:cs="Arial"/>
          <w:i w:val="0"/>
          <w:caps w:val="0"/>
          <w:color w:val="333333"/>
          <w:spacing w:val="8"/>
          <w:sz w:val="24"/>
          <w:szCs w:val="24"/>
          <w:shd w:val="clear" w:fill="FFFFFF"/>
          <w:lang w:val="en-US" w:eastAsia="zh-CN"/>
        </w:rPr>
        <w:t>并进行风险控制</w:t>
      </w:r>
      <w:r>
        <w:rPr>
          <w:rFonts w:hint="eastAsia" w:ascii="Arial" w:hAnsi="Arial" w:eastAsia="宋体" w:cs="Arial"/>
          <w:i w:val="0"/>
          <w:caps w:val="0"/>
          <w:color w:val="333333"/>
          <w:spacing w:val="8"/>
          <w:sz w:val="24"/>
          <w:szCs w:val="24"/>
          <w:shd w:val="clear" w:fill="FFFFFF"/>
          <w:lang w:val="en-US" w:eastAsia="zh-CN"/>
        </w:rPr>
        <w:t>，由于</w:t>
      </w:r>
      <w:r>
        <w:rPr>
          <w:rFonts w:ascii="Arial" w:hAnsi="Arial" w:eastAsia="宋体" w:cs="Arial"/>
          <w:i w:val="0"/>
          <w:caps w:val="0"/>
          <w:color w:val="333333"/>
          <w:spacing w:val="8"/>
          <w:sz w:val="24"/>
          <w:szCs w:val="24"/>
          <w:shd w:val="clear" w:fill="FFFFFF"/>
          <w:lang w:val="en-US" w:eastAsia="zh-CN"/>
        </w:rPr>
        <w:t>数据获取能力薄弱、</w:t>
      </w:r>
      <w:r>
        <w:rPr>
          <w:rFonts w:hint="default" w:ascii="Arial" w:hAnsi="Arial" w:eastAsia="宋体" w:cs="Arial"/>
          <w:i w:val="0"/>
          <w:caps w:val="0"/>
          <w:color w:val="333333"/>
          <w:spacing w:val="8"/>
          <w:sz w:val="24"/>
          <w:szCs w:val="24"/>
          <w:shd w:val="clear" w:fill="FFFFFF"/>
          <w:lang w:val="en-US" w:eastAsia="zh-CN"/>
        </w:rPr>
        <w:t>规模经济不足而更适合秉持自身在传统贷款技术方面的比较优势，为数字足迹匮乏的传统中小企业发放贷款</w:t>
      </w:r>
      <w:r>
        <w:rPr>
          <w:rFonts w:hint="eastAsia" w:ascii="Arial" w:hAnsi="Arial" w:eastAsia="宋体" w:cs="Arial"/>
          <w:i w:val="0"/>
          <w:caps w:val="0"/>
          <w:color w:val="333333"/>
          <w:spacing w:val="8"/>
          <w:sz w:val="24"/>
          <w:szCs w:val="24"/>
          <w:shd w:val="clear" w:fill="FFFFFF"/>
          <w:lang w:val="en-US" w:eastAsia="zh-CN"/>
        </w:rPr>
        <w:t>。</w:t>
      </w:r>
    </w:p>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互联网银行：</w:t>
      </w:r>
      <w:r>
        <w:rPr>
          <w:rFonts w:ascii="Arial" w:hAnsi="Arial" w:eastAsia="宋体" w:cs="Arial"/>
          <w:i w:val="0"/>
          <w:caps w:val="0"/>
          <w:color w:val="333333"/>
          <w:spacing w:val="8"/>
          <w:sz w:val="24"/>
          <w:szCs w:val="24"/>
          <w:shd w:val="clear" w:fill="FFFFFF"/>
          <w:lang w:val="en-US" w:eastAsia="zh-CN"/>
        </w:rPr>
        <w:t>由互联网科技企业支持建立、</w:t>
      </w:r>
      <w:r>
        <w:rPr>
          <w:rFonts w:hint="default" w:ascii="Arial" w:hAnsi="Arial" w:eastAsia="宋体" w:cs="Arial"/>
          <w:i w:val="0"/>
          <w:caps w:val="0"/>
          <w:color w:val="333333"/>
          <w:spacing w:val="8"/>
          <w:sz w:val="24"/>
          <w:szCs w:val="24"/>
          <w:shd w:val="clear" w:fill="FFFFFF"/>
          <w:lang w:val="en-US" w:eastAsia="zh-CN"/>
        </w:rPr>
        <w:t>具有独特数据优势（这些数据难以在这家银行以外的其他银行复制和传递）</w:t>
      </w:r>
      <w:r>
        <w:rPr>
          <w:rFonts w:hint="eastAsia" w:ascii="Arial" w:hAnsi="Arial" w:eastAsia="宋体" w:cs="Arial"/>
          <w:i w:val="0"/>
          <w:caps w:val="0"/>
          <w:color w:val="333333"/>
          <w:spacing w:val="8"/>
          <w:sz w:val="24"/>
          <w:szCs w:val="24"/>
          <w:shd w:val="clear" w:fill="FFFFFF"/>
          <w:lang w:val="en-US" w:eastAsia="zh-CN"/>
        </w:rPr>
        <w:t>，凭借对企业较强的数字信息获取能力，向拥有丰富数字足迹的发放贷款。</w:t>
      </w:r>
    </w:p>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大银行：</w:t>
      </w:r>
      <w:r>
        <w:rPr>
          <w:rFonts w:ascii="Arial" w:hAnsi="Arial" w:eastAsia="宋体" w:cs="Arial"/>
          <w:i w:val="0"/>
          <w:caps w:val="0"/>
          <w:color w:val="333333"/>
          <w:spacing w:val="8"/>
          <w:sz w:val="24"/>
          <w:szCs w:val="24"/>
          <w:shd w:val="clear" w:fill="FFFFFF"/>
          <w:lang w:val="en-US" w:eastAsia="zh-CN"/>
        </w:rPr>
        <w:t>科层结构复杂、</w:t>
      </w:r>
      <w:r>
        <w:rPr>
          <w:rFonts w:hint="default" w:ascii="Arial" w:hAnsi="Arial" w:eastAsia="宋体" w:cs="Arial"/>
          <w:i w:val="0"/>
          <w:caps w:val="0"/>
          <w:color w:val="333333"/>
          <w:spacing w:val="8"/>
          <w:sz w:val="24"/>
          <w:szCs w:val="24"/>
          <w:shd w:val="clear" w:fill="FFFFFF"/>
          <w:lang w:val="en-US" w:eastAsia="zh-CN"/>
        </w:rPr>
        <w:t>决策链条长，难以有效处理具有难以验证、不易传递等特性的软信息，更偏好为拥有充足硬信息的大企业发放贷款</w:t>
      </w:r>
      <w:r>
        <w:rPr>
          <w:rFonts w:hint="eastAsia" w:ascii="Arial" w:hAnsi="Arial" w:eastAsia="宋体" w:cs="Arial"/>
          <w:i w:val="0"/>
          <w:caps w:val="0"/>
          <w:color w:val="333333"/>
          <w:spacing w:val="8"/>
          <w:sz w:val="24"/>
          <w:szCs w:val="24"/>
          <w:shd w:val="clear" w:fill="FFFFFF"/>
          <w:lang w:val="en-US" w:eastAsia="zh-CN"/>
        </w:rPr>
        <w:t>；同时，大银行</w:t>
      </w:r>
      <w:r>
        <w:rPr>
          <w:rFonts w:ascii="Arial" w:hAnsi="Arial" w:eastAsia="宋体" w:cs="Arial"/>
          <w:i w:val="0"/>
          <w:caps w:val="0"/>
          <w:color w:val="333333"/>
          <w:spacing w:val="8"/>
          <w:sz w:val="24"/>
          <w:szCs w:val="24"/>
          <w:shd w:val="clear" w:fill="FFFFFF"/>
          <w:lang w:val="en-US" w:eastAsia="zh-CN"/>
        </w:rPr>
        <w:t>在成本分摊、</w:t>
      </w:r>
      <w:r>
        <w:rPr>
          <w:rFonts w:hint="default" w:ascii="Arial" w:hAnsi="Arial" w:eastAsia="宋体" w:cs="Arial"/>
          <w:i w:val="0"/>
          <w:caps w:val="0"/>
          <w:color w:val="333333"/>
          <w:spacing w:val="8"/>
          <w:sz w:val="24"/>
          <w:szCs w:val="24"/>
          <w:shd w:val="clear" w:fill="FFFFFF"/>
          <w:lang w:val="en-US" w:eastAsia="zh-CN"/>
        </w:rPr>
        <w:t>规模经济上占据显著优势</w:t>
      </w:r>
      <w:r>
        <w:rPr>
          <w:rFonts w:hint="eastAsia" w:ascii="Arial" w:hAnsi="Arial" w:eastAsia="宋体" w:cs="Arial"/>
          <w:i w:val="0"/>
          <w:caps w:val="0"/>
          <w:color w:val="333333"/>
          <w:spacing w:val="8"/>
          <w:sz w:val="24"/>
          <w:szCs w:val="24"/>
          <w:shd w:val="clear" w:fill="FFFFFF"/>
          <w:lang w:val="en-US" w:eastAsia="zh-CN"/>
        </w:rPr>
        <w:t>，</w:t>
      </w:r>
      <w:r>
        <w:rPr>
          <w:rFonts w:ascii="Arial" w:hAnsi="Arial" w:eastAsia="宋体" w:cs="Arial"/>
          <w:i w:val="0"/>
          <w:caps w:val="0"/>
          <w:color w:val="333333"/>
          <w:spacing w:val="8"/>
          <w:sz w:val="24"/>
          <w:szCs w:val="24"/>
          <w:shd w:val="clear" w:fill="FFFFFF"/>
          <w:lang w:val="en-US" w:eastAsia="zh-CN"/>
        </w:rPr>
        <w:t>有动力和条件大力研发人工智能技术，</w:t>
      </w:r>
      <w:r>
        <w:rPr>
          <w:rFonts w:hint="default" w:ascii="Arial" w:hAnsi="Arial" w:eastAsia="宋体" w:cs="Arial"/>
          <w:i w:val="0"/>
          <w:caps w:val="0"/>
          <w:color w:val="333333"/>
          <w:spacing w:val="8"/>
          <w:sz w:val="24"/>
          <w:szCs w:val="24"/>
          <w:shd w:val="clear" w:fill="FFFFFF"/>
          <w:lang w:val="en-US" w:eastAsia="zh-CN"/>
        </w:rPr>
        <w:t>然后基于人工智能技术向具有丰富数字足迹的中小企业发放贷款</w:t>
      </w:r>
      <w:r>
        <w:rPr>
          <w:rFonts w:hint="eastAsia" w:ascii="Arial" w:hAnsi="Arial" w:eastAsia="宋体" w:cs="Arial"/>
          <w:i w:val="0"/>
          <w:caps w:val="0"/>
          <w:color w:val="333333"/>
          <w:spacing w:val="8"/>
          <w:sz w:val="24"/>
          <w:szCs w:val="24"/>
          <w:shd w:val="clear" w:fill="FFFFFF"/>
          <w:lang w:val="en-US" w:eastAsia="zh-CN"/>
        </w:rPr>
        <w:t>。</w:t>
      </w:r>
    </w:p>
    <w:tbl>
      <w:tblPr>
        <w:tblStyle w:val="6"/>
        <w:tblW w:w="9085" w:type="dxa"/>
        <w:tblInd w:w="133" w:type="dxa"/>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Layout w:type="autofit"/>
        <w:tblCellMar>
          <w:top w:w="0" w:type="dxa"/>
          <w:left w:w="0" w:type="dxa"/>
          <w:bottom w:w="0" w:type="dxa"/>
          <w:right w:w="0" w:type="dxa"/>
        </w:tblCellMar>
      </w:tblPr>
      <w:tblGrid>
        <w:gridCol w:w="2271"/>
        <w:gridCol w:w="2272"/>
        <w:gridCol w:w="2270"/>
        <w:gridCol w:w="2272"/>
      </w:tblGrid>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77" w:hRule="atLeast"/>
        </w:trPr>
        <w:tc>
          <w:tcPr>
            <w:tcW w:w="2271" w:type="dxa"/>
            <w:tcBorders>
              <w:left w:val="nil"/>
              <w:bottom w:val="single" w:color="auto" w:sz="4" w:space="0"/>
              <w:right w:val="nil"/>
            </w:tcBorders>
          </w:tcPr>
          <w:p>
            <w:pPr>
              <w:pStyle w:val="9"/>
              <w:spacing w:before="0"/>
              <w:ind w:left="0"/>
              <w:jc w:val="left"/>
              <w:rPr>
                <w:rFonts w:ascii="Times New Roman"/>
                <w:sz w:val="18"/>
              </w:rPr>
            </w:pPr>
          </w:p>
        </w:tc>
        <w:tc>
          <w:tcPr>
            <w:tcW w:w="2272" w:type="dxa"/>
            <w:tcBorders>
              <w:left w:val="nil"/>
              <w:bottom w:val="single" w:color="auto" w:sz="4" w:space="0"/>
              <w:right w:val="nil"/>
            </w:tcBorders>
          </w:tcPr>
          <w:p>
            <w:pPr>
              <w:pStyle w:val="9"/>
              <w:spacing w:before="22"/>
              <w:ind w:left="312"/>
              <w:jc w:val="left"/>
              <w:rPr>
                <w:sz w:val="16"/>
              </w:rPr>
            </w:pPr>
            <w:r>
              <w:rPr>
                <w:color w:val="231F20"/>
                <w:w w:val="105"/>
                <w:sz w:val="16"/>
              </w:rPr>
              <w:t>传统软信息甄别能力</w:t>
            </w:r>
          </w:p>
        </w:tc>
        <w:tc>
          <w:tcPr>
            <w:tcW w:w="2270" w:type="dxa"/>
            <w:tcBorders>
              <w:left w:val="nil"/>
              <w:bottom w:val="single" w:color="auto" w:sz="4" w:space="0"/>
              <w:right w:val="nil"/>
            </w:tcBorders>
          </w:tcPr>
          <w:p>
            <w:pPr>
              <w:pStyle w:val="9"/>
              <w:spacing w:before="22"/>
              <w:ind w:left="579"/>
              <w:jc w:val="left"/>
              <w:rPr>
                <w:sz w:val="16"/>
              </w:rPr>
            </w:pPr>
            <w:r>
              <w:rPr>
                <w:color w:val="231F20"/>
                <w:w w:val="105"/>
                <w:sz w:val="16"/>
              </w:rPr>
              <w:t>数据获取能力</w:t>
            </w:r>
          </w:p>
        </w:tc>
        <w:tc>
          <w:tcPr>
            <w:tcW w:w="2272" w:type="dxa"/>
            <w:tcBorders>
              <w:left w:val="nil"/>
              <w:bottom w:val="single" w:color="auto" w:sz="4" w:space="0"/>
              <w:right w:val="nil"/>
            </w:tcBorders>
          </w:tcPr>
          <w:p>
            <w:pPr>
              <w:pStyle w:val="9"/>
              <w:spacing w:before="22"/>
              <w:ind w:left="485" w:right="473"/>
              <w:rPr>
                <w:sz w:val="16"/>
              </w:rPr>
            </w:pPr>
            <w:r>
              <w:rPr>
                <w:color w:val="231F20"/>
                <w:w w:val="105"/>
                <w:sz w:val="16"/>
              </w:rPr>
              <w:t>银行规模</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392" w:hRule="atLeast"/>
        </w:trPr>
        <w:tc>
          <w:tcPr>
            <w:tcW w:w="2271" w:type="dxa"/>
            <w:tcBorders>
              <w:top w:val="single" w:color="auto" w:sz="4" w:space="0"/>
              <w:left w:val="nil"/>
              <w:bottom w:val="nil"/>
              <w:right w:val="nil"/>
            </w:tcBorders>
          </w:tcPr>
          <w:p>
            <w:pPr>
              <w:pStyle w:val="9"/>
              <w:ind w:left="495" w:right="473"/>
              <w:rPr>
                <w:sz w:val="16"/>
              </w:rPr>
            </w:pPr>
            <w:r>
              <w:rPr>
                <w:color w:val="231F20"/>
                <w:w w:val="105"/>
                <w:sz w:val="16"/>
              </w:rPr>
              <w:t>地区性中小银行</w:t>
            </w:r>
          </w:p>
        </w:tc>
        <w:tc>
          <w:tcPr>
            <w:tcW w:w="2272" w:type="dxa"/>
            <w:tcBorders>
              <w:top w:val="single" w:color="auto" w:sz="4" w:space="0"/>
              <w:left w:val="nil"/>
              <w:bottom w:val="nil"/>
              <w:right w:val="nil"/>
            </w:tcBorders>
          </w:tcPr>
          <w:p>
            <w:pPr>
              <w:pStyle w:val="9"/>
              <w:ind w:left="495" w:right="473"/>
              <w:rPr>
                <w:color w:val="231F20"/>
                <w:w w:val="105"/>
                <w:sz w:val="16"/>
              </w:rPr>
            </w:pPr>
            <w:r>
              <w:rPr>
                <w:color w:val="231F20"/>
                <w:w w:val="105"/>
                <w:sz w:val="16"/>
              </w:rPr>
              <w:t>强</w:t>
            </w:r>
          </w:p>
        </w:tc>
        <w:tc>
          <w:tcPr>
            <w:tcW w:w="2270" w:type="dxa"/>
            <w:tcBorders>
              <w:top w:val="single" w:color="auto" w:sz="4" w:space="0"/>
              <w:left w:val="nil"/>
              <w:bottom w:val="nil"/>
              <w:right w:val="nil"/>
            </w:tcBorders>
          </w:tcPr>
          <w:p>
            <w:pPr>
              <w:pStyle w:val="9"/>
              <w:ind w:left="495" w:right="473"/>
              <w:rPr>
                <w:color w:val="231F20"/>
                <w:w w:val="105"/>
                <w:sz w:val="16"/>
              </w:rPr>
            </w:pPr>
            <w:r>
              <w:rPr>
                <w:color w:val="231F20"/>
                <w:w w:val="105"/>
                <w:sz w:val="16"/>
              </w:rPr>
              <w:t>弱</w:t>
            </w:r>
          </w:p>
        </w:tc>
        <w:tc>
          <w:tcPr>
            <w:tcW w:w="2272" w:type="dxa"/>
            <w:tcBorders>
              <w:top w:val="single" w:color="auto" w:sz="4" w:space="0"/>
              <w:left w:val="nil"/>
              <w:bottom w:val="nil"/>
              <w:right w:val="nil"/>
            </w:tcBorders>
          </w:tcPr>
          <w:p>
            <w:pPr>
              <w:pStyle w:val="9"/>
              <w:ind w:left="495" w:right="473"/>
              <w:rPr>
                <w:color w:val="231F20"/>
                <w:w w:val="105"/>
                <w:sz w:val="16"/>
              </w:rPr>
            </w:pPr>
            <w:r>
              <w:rPr>
                <w:color w:val="231F20"/>
                <w:w w:val="105"/>
                <w:sz w:val="16"/>
              </w:rPr>
              <w:t>小</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410" w:hRule="atLeast"/>
        </w:trPr>
        <w:tc>
          <w:tcPr>
            <w:tcW w:w="2271" w:type="dxa"/>
            <w:tcBorders>
              <w:top w:val="nil"/>
              <w:left w:val="nil"/>
              <w:bottom w:val="nil"/>
              <w:right w:val="nil"/>
            </w:tcBorders>
          </w:tcPr>
          <w:p>
            <w:pPr>
              <w:pStyle w:val="9"/>
              <w:spacing w:before="88"/>
              <w:ind w:left="495" w:right="473"/>
              <w:rPr>
                <w:color w:val="231F20"/>
                <w:w w:val="105"/>
                <w:sz w:val="16"/>
              </w:rPr>
            </w:pPr>
            <w:r>
              <w:rPr>
                <w:color w:val="231F20"/>
                <w:w w:val="105"/>
                <w:sz w:val="16"/>
              </w:rPr>
              <w:t>互联网中小银行</w:t>
            </w:r>
          </w:p>
        </w:tc>
        <w:tc>
          <w:tcPr>
            <w:tcW w:w="2272" w:type="dxa"/>
            <w:tcBorders>
              <w:top w:val="nil"/>
              <w:left w:val="nil"/>
              <w:bottom w:val="nil"/>
              <w:right w:val="nil"/>
            </w:tcBorders>
          </w:tcPr>
          <w:p>
            <w:pPr>
              <w:pStyle w:val="9"/>
              <w:ind w:left="495" w:right="473"/>
              <w:rPr>
                <w:color w:val="231F20"/>
                <w:w w:val="105"/>
                <w:sz w:val="16"/>
              </w:rPr>
            </w:pPr>
            <w:r>
              <w:rPr>
                <w:color w:val="231F20"/>
                <w:w w:val="105"/>
                <w:sz w:val="16"/>
              </w:rPr>
              <w:t>弱</w:t>
            </w:r>
          </w:p>
        </w:tc>
        <w:tc>
          <w:tcPr>
            <w:tcW w:w="2270" w:type="dxa"/>
            <w:tcBorders>
              <w:top w:val="nil"/>
              <w:left w:val="nil"/>
              <w:bottom w:val="nil"/>
              <w:right w:val="nil"/>
            </w:tcBorders>
          </w:tcPr>
          <w:p>
            <w:pPr>
              <w:pStyle w:val="9"/>
              <w:ind w:left="495" w:right="473"/>
              <w:rPr>
                <w:color w:val="231F20"/>
                <w:w w:val="105"/>
                <w:sz w:val="16"/>
              </w:rPr>
            </w:pPr>
            <w:r>
              <w:rPr>
                <w:color w:val="231F20"/>
                <w:w w:val="105"/>
                <w:sz w:val="16"/>
              </w:rPr>
              <w:t>强</w:t>
            </w:r>
          </w:p>
        </w:tc>
        <w:tc>
          <w:tcPr>
            <w:tcW w:w="2272" w:type="dxa"/>
            <w:tcBorders>
              <w:top w:val="nil"/>
              <w:left w:val="nil"/>
              <w:bottom w:val="nil"/>
              <w:right w:val="nil"/>
            </w:tcBorders>
          </w:tcPr>
          <w:p>
            <w:pPr>
              <w:pStyle w:val="9"/>
              <w:ind w:left="495" w:right="473"/>
              <w:rPr>
                <w:color w:val="231F20"/>
                <w:w w:val="105"/>
                <w:sz w:val="16"/>
              </w:rPr>
            </w:pPr>
            <w:r>
              <w:rPr>
                <w:color w:val="231F20"/>
                <w:w w:val="105"/>
                <w:sz w:val="16"/>
              </w:rPr>
              <w:t>小</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410" w:hRule="atLeast"/>
        </w:trPr>
        <w:tc>
          <w:tcPr>
            <w:tcW w:w="2271" w:type="dxa"/>
            <w:tcBorders>
              <w:top w:val="nil"/>
              <w:left w:val="nil"/>
              <w:right w:val="nil"/>
            </w:tcBorders>
          </w:tcPr>
          <w:p>
            <w:pPr>
              <w:pStyle w:val="9"/>
              <w:spacing w:before="1"/>
              <w:ind w:left="12"/>
              <w:rPr>
                <w:color w:val="231F20"/>
                <w:w w:val="105"/>
                <w:sz w:val="16"/>
              </w:rPr>
            </w:pPr>
            <w:r>
              <w:rPr>
                <w:color w:val="231F20"/>
                <w:w w:val="105"/>
                <w:sz w:val="16"/>
              </w:rPr>
              <w:t>大银行</w:t>
            </w:r>
          </w:p>
        </w:tc>
        <w:tc>
          <w:tcPr>
            <w:tcW w:w="2272" w:type="dxa"/>
            <w:tcBorders>
              <w:top w:val="nil"/>
              <w:left w:val="nil"/>
              <w:right w:val="nil"/>
            </w:tcBorders>
          </w:tcPr>
          <w:p>
            <w:pPr>
              <w:pStyle w:val="9"/>
              <w:ind w:left="495" w:right="473"/>
              <w:rPr>
                <w:color w:val="231F20"/>
                <w:w w:val="105"/>
                <w:sz w:val="16"/>
              </w:rPr>
            </w:pPr>
            <w:r>
              <w:rPr>
                <w:color w:val="231F20"/>
                <w:w w:val="105"/>
                <w:sz w:val="16"/>
              </w:rPr>
              <w:t>弱</w:t>
            </w:r>
          </w:p>
        </w:tc>
        <w:tc>
          <w:tcPr>
            <w:tcW w:w="2270" w:type="dxa"/>
            <w:tcBorders>
              <w:top w:val="nil"/>
              <w:left w:val="nil"/>
              <w:right w:val="nil"/>
            </w:tcBorders>
          </w:tcPr>
          <w:p>
            <w:pPr>
              <w:pStyle w:val="9"/>
              <w:ind w:left="495" w:right="473"/>
              <w:rPr>
                <w:color w:val="231F20"/>
                <w:w w:val="105"/>
                <w:sz w:val="16"/>
              </w:rPr>
            </w:pPr>
            <w:r>
              <w:rPr>
                <w:color w:val="231F20"/>
                <w:w w:val="105"/>
                <w:sz w:val="16"/>
              </w:rPr>
              <w:t>弱</w:t>
            </w:r>
          </w:p>
        </w:tc>
        <w:tc>
          <w:tcPr>
            <w:tcW w:w="2272" w:type="dxa"/>
            <w:tcBorders>
              <w:top w:val="nil"/>
              <w:left w:val="nil"/>
              <w:right w:val="nil"/>
            </w:tcBorders>
          </w:tcPr>
          <w:p>
            <w:pPr>
              <w:pStyle w:val="9"/>
              <w:ind w:left="495" w:right="473"/>
              <w:rPr>
                <w:color w:val="231F20"/>
                <w:w w:val="105"/>
                <w:sz w:val="16"/>
              </w:rPr>
            </w:pPr>
            <w:r>
              <w:rPr>
                <w:color w:val="231F20"/>
                <w:w w:val="105"/>
                <w:sz w:val="16"/>
              </w:rPr>
              <w:t>大</w:t>
            </w:r>
          </w:p>
        </w:tc>
      </w:tr>
    </w:tbl>
    <w:p>
      <w:pPr>
        <w:keepNext w:val="0"/>
        <w:keepLines w:val="0"/>
        <w:widowControl/>
        <w:numPr>
          <w:ilvl w:val="0"/>
          <w:numId w:val="0"/>
        </w:numPr>
        <w:suppressLineNumbers w:val="0"/>
        <w:ind w:firstLine="420" w:firstLineChars="0"/>
        <w:jc w:val="left"/>
        <w:rPr>
          <w:rFonts w:hint="eastAsia" w:ascii="Arial" w:hAnsi="Arial" w:eastAsia="宋体" w:cs="Arial"/>
          <w:i w:val="0"/>
          <w:caps w:val="0"/>
          <w:color w:val="333333"/>
          <w:spacing w:val="8"/>
          <w:sz w:val="24"/>
          <w:szCs w:val="24"/>
          <w:shd w:val="clear" w:fill="FFFFFF"/>
          <w:lang w:val="en-US" w:eastAsia="zh-CN"/>
        </w:rPr>
      </w:pPr>
    </w:p>
    <w:p>
      <w:pPr>
        <w:keepNext w:val="0"/>
        <w:keepLines w:val="0"/>
        <w:widowControl/>
        <w:numPr>
          <w:ilvl w:val="0"/>
          <w:numId w:val="0"/>
        </w:numPr>
        <w:suppressLineNumbers w:val="0"/>
        <w:ind w:firstLine="420" w:firstLineChars="0"/>
        <w:jc w:val="left"/>
        <w:rPr>
          <w:rFonts w:hint="default"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本节剩余内容主要通过对中经瑞研2021年四季刊与2022年3月刊对当前市面上的普惠金融业务进行分析。</w:t>
      </w:r>
    </w:p>
    <w:p>
      <w:pPr>
        <w:pStyle w:val="3"/>
        <w:bidi w:val="0"/>
        <w:rPr>
          <w:rFonts w:hint="eastAsia"/>
          <w:lang w:val="en-US" w:eastAsia="zh-CN"/>
        </w:rPr>
      </w:pPr>
      <w:r>
        <w:rPr>
          <w:rFonts w:hint="eastAsia"/>
          <w:lang w:val="en-US" w:eastAsia="zh-CN"/>
        </w:rPr>
        <w:t>大银行：</w:t>
      </w:r>
    </w:p>
    <w:p>
      <w:pPr>
        <w:pStyle w:val="4"/>
        <w:bidi w:val="0"/>
        <w:rPr>
          <w:rFonts w:hint="eastAsia"/>
          <w:lang w:val="en-US" w:eastAsia="zh-CN"/>
        </w:rPr>
      </w:pPr>
      <w:r>
        <w:rPr>
          <w:rFonts w:hint="eastAsia"/>
          <w:lang w:val="en-US" w:eastAsia="zh-CN"/>
        </w:rPr>
        <w:t>信贷模式：</w:t>
      </w:r>
    </w:p>
    <w:p>
      <w:pPr>
        <w:pStyle w:val="5"/>
        <w:bidi w:val="0"/>
        <w:rPr>
          <w:rFonts w:hint="default"/>
          <w:lang w:val="en-US" w:eastAsia="zh-CN"/>
        </w:rPr>
      </w:pPr>
      <w:r>
        <w:rPr>
          <w:rFonts w:hint="eastAsia"/>
          <w:lang w:val="en-US" w:eastAsia="zh-CN"/>
        </w:rPr>
        <w:t>（1）线上信贷</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平衡收益和成本，大型银行开始探索更轻型的线上获客模式，主要通过线上场景布局实现海量获客，结合数字化手段实现自动审批和风控，一定程度解决了获客成本高的问题。目前，六大行纷纷设立了线上小微信贷品牌，创建了丰富的信贷产品和场景体系，实现海量获客。</w:t>
      </w:r>
    </w:p>
    <w:p>
      <w:pPr>
        <w:keepNext w:val="0"/>
        <w:keepLines w:val="0"/>
        <w:widowControl/>
        <w:suppressLineNumbers w:val="0"/>
        <w:jc w:val="both"/>
      </w:pPr>
      <w:r>
        <w:drawing>
          <wp:inline distT="0" distB="0" distL="114300" distR="114300">
            <wp:extent cx="4819650" cy="3371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19650" cy="337185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大型银行主要通过自建平台和与对接第三方平台的方式，触达小微企业的重要经营数据，形成结算、电商交易、财务管理等丰富企业场景。</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1.自建平台：通常自建线上电商平台，留存企业销售、物流等数据，作为小微企业的授信依据。</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2.合作平台：与政府类机构和金融科技公司合作，渗透进纳税、交易、企业数字化管理（如 ERP、办公、财务管理）等场景，批量获取客户和数据。</w:t>
      </w:r>
    </w:p>
    <w:p>
      <w:pPr>
        <w:keepNext w:val="0"/>
        <w:keepLines w:val="0"/>
        <w:widowControl/>
        <w:numPr>
          <w:ilvl w:val="0"/>
          <w:numId w:val="0"/>
        </w:numPr>
        <w:suppressLineNumbers w:val="0"/>
        <w:ind w:firstLine="420" w:firstLineChars="0"/>
        <w:jc w:val="center"/>
      </w:pPr>
      <w:r>
        <w:drawing>
          <wp:inline distT="0" distB="0" distL="114300" distR="114300">
            <wp:extent cx="5271770" cy="222631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222631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center"/>
      </w:pPr>
    </w:p>
    <w:p>
      <w:pPr>
        <w:pStyle w:val="5"/>
        <w:numPr>
          <w:ilvl w:val="0"/>
          <w:numId w:val="1"/>
        </w:numPr>
        <w:bidi w:val="0"/>
        <w:rPr>
          <w:rFonts w:hint="eastAsia"/>
          <w:lang w:val="en-US" w:eastAsia="zh-CN"/>
        </w:rPr>
      </w:pPr>
      <w:r>
        <w:rPr>
          <w:rFonts w:hint="eastAsia"/>
          <w:lang w:val="en-US" w:eastAsia="zh-CN"/>
        </w:rPr>
        <w:t>供应链信贷</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在供应链模式下，银行主要围绕核心企业，通过封闭资金流或控制货权等方式，由1到N为供应链上下游小微企业提供融资服务，因此企业间交易凭证通常作为银行的放款依据。主要包括：</w:t>
      </w: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应收账款融资服务于核心企业的上游供应商，银行以应收账款作为还款来源，该模式对物流的把控要求较低，运用最为广泛；</w:t>
      </w:r>
    </w:p>
    <w:p>
      <w:pPr>
        <w:keepNext w:val="0"/>
        <w:keepLines w:val="0"/>
        <w:widowControl/>
        <w:numPr>
          <w:ilvl w:val="0"/>
          <w:numId w:val="2"/>
        </w:numPr>
        <w:suppressLineNumbers w:val="0"/>
        <w:ind w:left="0" w:leftChars="0"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库存融资服务于具备货物质押条件的上下游企业，银行控制质押货物，通常引入第三方物流对货物实行监管；</w:t>
      </w:r>
    </w:p>
    <w:p>
      <w:pPr>
        <w:keepNext w:val="0"/>
        <w:keepLines w:val="0"/>
        <w:widowControl/>
        <w:numPr>
          <w:ilvl w:val="0"/>
          <w:numId w:val="2"/>
        </w:numPr>
        <w:suppressLineNumbers w:val="0"/>
        <w:ind w:left="0" w:leftChars="0"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预付账款融资服务于核心企业的下游采购、分销商，银行代下游企业（买方）向核心企业（卖方）支付货款，担保基础为买方对卖方的提货权；</w:t>
      </w:r>
    </w:p>
    <w:p>
      <w:pPr>
        <w:keepNext w:val="0"/>
        <w:keepLines w:val="0"/>
        <w:widowControl/>
        <w:numPr>
          <w:ilvl w:val="0"/>
          <w:numId w:val="2"/>
        </w:numPr>
        <w:suppressLineNumbers w:val="0"/>
        <w:ind w:left="0" w:leftChars="0"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信用融资没有确定的抵质押物，以各方长期业务往来所积累的信任为基础。</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供应链模式在获客和风控上分别有以下特点：</w:t>
      </w:r>
    </w:p>
    <w:p>
      <w:pPr>
        <w:keepNext w:val="0"/>
        <w:keepLines w:val="0"/>
        <w:widowControl/>
        <w:numPr>
          <w:ilvl w:val="0"/>
          <w:numId w:val="3"/>
        </w:numPr>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批量获客</w:t>
      </w:r>
      <w:r>
        <w:rPr>
          <w:rFonts w:hint="eastAsia" w:ascii="宋体" w:hAnsi="宋体" w:eastAsia="宋体" w:cs="宋体"/>
          <w:color w:val="000000"/>
          <w:kern w:val="0"/>
          <w:sz w:val="24"/>
          <w:szCs w:val="24"/>
          <w:lang w:val="en-US" w:eastAsia="zh-CN" w:bidi="ar"/>
        </w:rPr>
        <w:t>。银行可以围绕核心企业批量触达上下游小微企业</w:t>
      </w:r>
    </w:p>
    <w:p>
      <w:pPr>
        <w:keepNext w:val="0"/>
        <w:keepLines w:val="0"/>
        <w:widowControl/>
        <w:numPr>
          <w:ilvl w:val="0"/>
          <w:numId w:val="3"/>
        </w:numPr>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真实触达</w:t>
      </w:r>
      <w:r>
        <w:rPr>
          <w:rFonts w:hint="eastAsia" w:ascii="宋体" w:hAnsi="宋体" w:eastAsia="宋体" w:cs="宋体"/>
          <w:color w:val="000000"/>
          <w:kern w:val="0"/>
          <w:sz w:val="24"/>
          <w:szCs w:val="24"/>
          <w:lang w:val="en-US" w:eastAsia="zh-CN" w:bidi="ar"/>
        </w:rPr>
        <w:t>。运用大数据、物联网、区块链等科技赋能企业的数字化转型，线上通过供应链平台输出小微企业服务工具，留存企业信息流和商流，线下通过终端设备和物联网技术跟踪物流，使得企业经营情况整体可控，从而真实触达企业经营情况，一定程度解决了传统供应链金融的风险监测、风险识别等问题。</w:t>
      </w:r>
    </w:p>
    <w:p>
      <w:pPr>
        <w:keepNext w:val="0"/>
        <w:keepLines w:val="0"/>
        <w:widowControl/>
        <w:numPr>
          <w:ilvl w:val="0"/>
          <w:numId w:val="0"/>
        </w:numPr>
        <w:suppressLineNumbers w:val="0"/>
        <w:ind w:leftChars="0"/>
        <w:jc w:val="left"/>
        <w:rPr>
          <w:rFonts w:hint="default"/>
          <w:lang w:val="en-US"/>
        </w:rPr>
      </w:pPr>
      <w:r>
        <w:rPr>
          <w:rFonts w:hint="eastAsia" w:ascii="宋体" w:hAnsi="宋体" w:eastAsia="宋体" w:cs="宋体"/>
          <w:color w:val="000000"/>
          <w:kern w:val="0"/>
          <w:sz w:val="24"/>
          <w:szCs w:val="24"/>
          <w:lang w:val="en-US" w:eastAsia="zh-CN" w:bidi="ar"/>
        </w:rPr>
        <w:t>但是，供应链风控以银行场景和生态体系内的数据为核心，而场景和生态建设需要大量前期投入和准备，存在一定进入壁垒，需要银行具有较大规模。</w:t>
      </w:r>
    </w:p>
    <w:p>
      <w:pPr>
        <w:keepNext w:val="0"/>
        <w:keepLines w:val="0"/>
        <w:widowControl/>
        <w:suppressLineNumbers w:val="0"/>
        <w:ind w:left="0" w:leftChars="0" w:firstLine="0" w:firstLineChars="0"/>
        <w:jc w:val="left"/>
      </w:pPr>
    </w:p>
    <w:p>
      <w:pPr>
        <w:pStyle w:val="4"/>
        <w:bidi w:val="0"/>
        <w:rPr>
          <w:rFonts w:hint="default"/>
          <w:lang w:val="en-US" w:eastAsia="zh-CN"/>
        </w:rPr>
      </w:pPr>
      <w:r>
        <w:rPr>
          <w:rFonts w:hint="eastAsia"/>
          <w:lang w:val="en-US" w:eastAsia="zh-CN"/>
        </w:rPr>
        <w:t>信贷产品</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大银行通过内部整合存量客户沉淀的资产、结算、流水等数据，外部对接电网公司、知识产权局、政府采购平台等政府类机构，形成了丰富的线上信贷产品体系。</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1、“一般快贷”：主要针对存量客户，以企业在银行留存的数据为主要授信依据，如金融资产、结算流水情况，主要覆盖结算、资产抵质押等场景。</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平台快贷”：借助外部信息，对接电网公司、知识产权局和政府采购平台等第三方权威平台，结合银行内部数据共同增信，涵盖用电、政务、电商等多个更贴近小微企业真实经营的场景，将触达更深层次的企业背景</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以建行的“小微快贷”为例，其于2016年率先推出并保持着同业第一的规模与良好的贷款资产质量。</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小微快贷”可以通过建设银行多个线上渠道申请，贷款申请方式由员工采集输入革新为客户线上自助，通过结构化表单填写和自动化授信模型缩短审批时长，授信流程缩短至3-5分钟。2020年末，建设银行普惠小微贷款余额1.45万亿元，业务规模保持同业第一，市占率达到9.5%，小微客户数超170万户。近年来，建设银行不断压降小微信贷不良率，2020 年末个人经营性贷款不良率仅为0.99%，线上产品“小微快贷”不良率在1%以内。</w:t>
      </w:r>
      <w:r>
        <w:drawing>
          <wp:inline distT="0" distB="0" distL="114300" distR="114300">
            <wp:extent cx="5269230" cy="328993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328993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rPr>
          <w:rFonts w:hint="default"/>
          <w:lang w:val="en-US" w:eastAsia="zh-CN"/>
        </w:rPr>
      </w:pPr>
    </w:p>
    <w:p>
      <w:pPr>
        <w:keepNext w:val="0"/>
        <w:keepLines w:val="0"/>
        <w:widowControl/>
        <w:numPr>
          <w:ilvl w:val="0"/>
          <w:numId w:val="0"/>
        </w:numPr>
        <w:suppressLineNumbers w:val="0"/>
        <w:ind w:firstLine="420" w:firstLineChars="0"/>
        <w:jc w:val="left"/>
        <w:rPr>
          <w:rFonts w:ascii="Arial" w:hAnsi="Arial" w:eastAsia="宋体" w:cs="Arial"/>
          <w:i w:val="0"/>
          <w:caps w:val="0"/>
          <w:color w:val="333333"/>
          <w:spacing w:val="8"/>
          <w:sz w:val="24"/>
          <w:szCs w:val="24"/>
          <w:shd w:val="clear" w:fill="FFFFFF"/>
        </w:rPr>
      </w:pPr>
    </w:p>
    <w:p>
      <w:pPr>
        <w:pStyle w:val="3"/>
        <w:bidi w:val="0"/>
        <w:rPr>
          <w:rFonts w:hint="eastAsia" w:ascii="Arial" w:hAnsi="Arial" w:eastAsia="宋体" w:cs="Arial"/>
          <w:i w:val="0"/>
          <w:caps w:val="0"/>
          <w:color w:val="333333"/>
          <w:spacing w:val="8"/>
          <w:sz w:val="24"/>
          <w:szCs w:val="24"/>
          <w:shd w:val="clear" w:fill="FFFFFF"/>
          <w:lang w:val="en-US" w:eastAsia="zh-CN"/>
        </w:rPr>
      </w:pPr>
      <w:r>
        <w:rPr>
          <w:rFonts w:hint="eastAsia"/>
          <w:lang w:val="en-US" w:eastAsia="zh-CN"/>
        </w:rPr>
        <w:t>地区性中小银行：</w:t>
      </w:r>
    </w:p>
    <w:p>
      <w:pPr>
        <w:pStyle w:val="4"/>
        <w:bidi w:val="0"/>
        <w:rPr>
          <w:rFonts w:hint="default"/>
          <w:lang w:val="en-US" w:eastAsia="zh-CN"/>
        </w:rPr>
      </w:pPr>
      <w:r>
        <w:rPr>
          <w:rFonts w:hint="eastAsia"/>
          <w:lang w:val="en-US" w:eastAsia="zh-CN"/>
        </w:rPr>
        <w:t>信贷模式</w:t>
      </w:r>
    </w:p>
    <w:p>
      <w:pPr>
        <w:keepNext w:val="0"/>
        <w:keepLines w:val="0"/>
        <w:widowControl/>
        <w:suppressLineNumbers w:val="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此类银行小微信贷模式最传统的为IPC模式：即以</w:t>
      </w:r>
      <w:r>
        <w:rPr>
          <w:rFonts w:hint="eastAsia" w:ascii="宋体" w:hAnsi="宋体" w:eastAsia="宋体" w:cs="宋体"/>
          <w:color w:val="000000"/>
          <w:kern w:val="0"/>
          <w:sz w:val="24"/>
          <w:szCs w:val="24"/>
          <w:lang w:val="en-US" w:eastAsia="zh-CN" w:bidi="ar"/>
        </w:rPr>
        <w:t>客户还款能力和还款意愿作为放贷的唯一标准，</w:t>
      </w:r>
      <w:r>
        <w:rPr>
          <w:rFonts w:hint="eastAsia" w:ascii="Arial" w:hAnsi="Arial" w:eastAsia="宋体" w:cs="Arial"/>
          <w:i w:val="0"/>
          <w:caps w:val="0"/>
          <w:color w:val="333333"/>
          <w:spacing w:val="8"/>
          <w:sz w:val="24"/>
          <w:szCs w:val="24"/>
          <w:shd w:val="clear" w:fill="FFFFFF"/>
          <w:lang w:val="en-US" w:eastAsia="zh-CN"/>
        </w:rPr>
        <w:t>围绕信贷员的线下劳动密集型业务流程。</w:t>
      </w:r>
    </w:p>
    <w:p>
      <w:pPr>
        <w:keepNext w:val="0"/>
        <w:keepLines w:val="0"/>
        <w:widowControl/>
        <w:suppressLineNumbers w:val="0"/>
        <w:jc w:val="left"/>
        <w:rPr>
          <w:rFonts w:hint="eastAsia" w:ascii="Arial" w:hAnsi="Arial" w:eastAsia="宋体" w:cs="Arial"/>
          <w:i w:val="0"/>
          <w:caps w:val="0"/>
          <w:color w:val="333333"/>
          <w:spacing w:val="8"/>
          <w:sz w:val="24"/>
          <w:szCs w:val="24"/>
          <w:shd w:val="clear" w:fill="FFFFFF"/>
          <w:lang w:val="en-US" w:eastAsia="zh-CN"/>
        </w:rPr>
      </w:pPr>
      <w:r>
        <w:rPr>
          <w:rFonts w:hint="eastAsia" w:ascii="Arial" w:hAnsi="Arial" w:eastAsia="宋体" w:cs="Arial"/>
          <w:i w:val="0"/>
          <w:caps w:val="0"/>
          <w:color w:val="333333"/>
          <w:spacing w:val="8"/>
          <w:sz w:val="24"/>
          <w:szCs w:val="24"/>
          <w:shd w:val="clear" w:fill="FFFFFF"/>
          <w:lang w:val="en-US" w:eastAsia="zh-CN"/>
        </w:rPr>
        <w:t>目前被广泛引用于实践中的是信贷工厂模式：将整个信贷流程标准化、数字化，通过前中后台流水线的方式进行，以提高审批效率。在获客方面，银行采用线下地推方式，依靠团队对当地运营商的深入了解，铺设大量网点，获取本地大量中小微企业客户。在审批方面，采用集中审批，将传统获客与审批分离，提高了风控能力。</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以台州银行、泰隆银行、常熟银行为例，100万以下贷款客户占比分别为92%/95%/95%，余额占比分别为 47%/54%/40%。在信贷工厂模式下，三家区域型银行均实现了良好的获客率与风险管控，2020年末台州/泰隆/常熟不良率分别为1.23%/0.95%/0.96%，而农商行整体不良率水平为3.88%。</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信贷工厂模式通过标准化的流水线实现了放贷效率的提升，更符合中小企业“短小频集”的需求；由专门风控团队负责集中审批，实现了风险隔离，有效降低风险成本；依托地推团队的线下触达和实地调查，银行能够大量获客并持续深入地跟踪企业的真实经营。但该模式第一依托于区域性银行扎根于本地市场所积累的客户基础，具有区域的限制；二是线下地推依赖人工，存在获客成本偏高的问题，随着中小微企业数量增加，获客、审批压力都会逐渐升高。</w:t>
      </w:r>
    </w:p>
    <w:p>
      <w:pPr>
        <w:pStyle w:val="3"/>
        <w:bidi w:val="0"/>
        <w:rPr>
          <w:rFonts w:hint="eastAsia"/>
          <w:lang w:val="en-US" w:eastAsia="zh-CN"/>
        </w:rPr>
      </w:pPr>
      <w:r>
        <w:rPr>
          <w:rFonts w:hint="eastAsia"/>
          <w:lang w:val="en-US" w:eastAsia="zh-CN"/>
        </w:rPr>
        <w:t>信贷产品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地区性银行主要面向本地客户，针对小微金融的融资需求，推出多层次、多元化的创新产品。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以平顶山银行为例，该银行创新推出针对中标政府采购的小微企业，该行推出无抵押、无担保的贷款产品，凭借</w:t>
      </w:r>
      <w:r>
        <w:rPr>
          <w:rFonts w:hint="eastAsia" w:ascii="宋体" w:hAnsi="宋体" w:eastAsia="宋体" w:cs="宋体"/>
          <w:b/>
          <w:bCs/>
          <w:color w:val="000000"/>
          <w:kern w:val="0"/>
          <w:sz w:val="24"/>
          <w:szCs w:val="24"/>
          <w:lang w:val="en-US" w:eastAsia="zh-CN" w:bidi="ar"/>
        </w:rPr>
        <w:t>中标合同</w:t>
      </w:r>
      <w:r>
        <w:rPr>
          <w:rFonts w:hint="eastAsia" w:ascii="宋体" w:hAnsi="宋体" w:eastAsia="宋体" w:cs="宋体"/>
          <w:color w:val="000000"/>
          <w:kern w:val="0"/>
          <w:sz w:val="24"/>
          <w:szCs w:val="24"/>
          <w:lang w:val="en-US" w:eastAsia="zh-CN" w:bidi="ar"/>
        </w:rPr>
        <w:t>就能贷款，额度3000元至500万元。</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该行还通过对小微客户开具的发票量进行建模，研发出小微企业法人无抵押、无担保的“</w:t>
      </w:r>
      <w:r>
        <w:rPr>
          <w:rFonts w:hint="eastAsia" w:ascii="宋体" w:hAnsi="宋体" w:eastAsia="宋体" w:cs="宋体"/>
          <w:b/>
          <w:bCs/>
          <w:color w:val="000000"/>
          <w:kern w:val="0"/>
          <w:sz w:val="24"/>
          <w:szCs w:val="24"/>
          <w:lang w:val="en-US" w:eastAsia="zh-CN" w:bidi="ar"/>
        </w:rPr>
        <w:t>发票贷</w:t>
      </w:r>
      <w:r>
        <w:rPr>
          <w:rFonts w:hint="eastAsia" w:ascii="宋体" w:hAnsi="宋体" w:eastAsia="宋体" w:cs="宋体"/>
          <w:color w:val="000000"/>
          <w:kern w:val="0"/>
          <w:sz w:val="24"/>
          <w:szCs w:val="24"/>
          <w:lang w:val="en-US" w:eastAsia="zh-CN" w:bidi="ar"/>
        </w:rPr>
        <w:t>”产品。借款人只要满足年龄在23周岁(含23周岁)至</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60周岁(含60周岁)之间，依法正常经营2年以上(含2年)，连续一年及以上稳定开具增值税发票的小微企业主，征信良好，且符合平顶山银行其他贷款要求的，</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即可线上申请最高50万元信用贷款。这一创新融资方案深受企业好评。</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除了“发票贷”，平顶山银行还推出了另外一款线上信用贷款产品——“银税易贷”。“银税易贷”是该行以信用担保方式对按时足额纳税的小微企业主发放的，用于短期生产经营周转的可循环的人民币贷款业务。借款人只要满足年龄在18周岁(含18周岁)至65周岁(含65周岁)之间，企业成立2年以上，首次报税时间大于1年，无不良纳税记录、征信良好，且符合平顶山银行其他贷款要求的，即可线上申请最高50万元信用贷款</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针对本地大型核心企业上下游企业，该行推出“应收账款质押”和“商票质 </w:t>
      </w:r>
    </w:p>
    <w:p>
      <w:pPr>
        <w:keepNext w:val="0"/>
        <w:keepLines w:val="0"/>
        <w:widowControl/>
        <w:suppressLineNumbers w:val="0"/>
        <w:ind w:left="0" w:leftChars="0" w:firstLine="0" w:firstLineChars="0"/>
        <w:jc w:val="left"/>
        <w:rPr>
          <w:rFonts w:hint="default"/>
          <w:lang w:val="en-US" w:eastAsia="zh-CN"/>
        </w:rPr>
      </w:pPr>
      <w:r>
        <w:rPr>
          <w:rFonts w:hint="eastAsia" w:ascii="宋体" w:hAnsi="宋体" w:eastAsia="宋体" w:cs="宋体"/>
          <w:color w:val="000000"/>
          <w:kern w:val="0"/>
          <w:sz w:val="24"/>
          <w:szCs w:val="24"/>
          <w:lang w:val="en-US" w:eastAsia="zh-CN" w:bidi="ar"/>
        </w:rPr>
        <w:t>押”方案，解决上下游企业应收账款回款不及时、融资难问题，属于</w:t>
      </w:r>
      <w:r>
        <w:rPr>
          <w:rFonts w:hint="eastAsia" w:ascii="宋体" w:hAnsi="宋体" w:eastAsia="宋体" w:cs="宋体"/>
          <w:b/>
          <w:bCs/>
          <w:color w:val="000000"/>
          <w:kern w:val="0"/>
          <w:sz w:val="24"/>
          <w:szCs w:val="24"/>
          <w:lang w:val="en-US" w:eastAsia="zh-CN" w:bidi="ar"/>
        </w:rPr>
        <w:t>供应链金融模式</w:t>
      </w:r>
      <w:r>
        <w:rPr>
          <w:rFonts w:hint="eastAsia" w:ascii="宋体" w:hAnsi="宋体" w:eastAsia="宋体" w:cs="宋体"/>
          <w:color w:val="000000"/>
          <w:kern w:val="0"/>
          <w:sz w:val="24"/>
          <w:szCs w:val="24"/>
          <w:lang w:val="en-US" w:eastAsia="zh-CN" w:bidi="ar"/>
        </w:rPr>
        <w:t>。</w:t>
      </w:r>
    </w:p>
    <w:p>
      <w:pPr>
        <w:pStyle w:val="3"/>
        <w:bidi w:val="0"/>
        <w:rPr>
          <w:rFonts w:hint="eastAsia"/>
          <w:lang w:val="en-US" w:eastAsia="zh-CN"/>
        </w:rPr>
      </w:pPr>
      <w:r>
        <w:rPr>
          <w:rFonts w:hint="eastAsia"/>
          <w:lang w:val="en-US" w:eastAsia="zh-CN"/>
        </w:rPr>
        <w:t>互联网银行</w:t>
      </w:r>
    </w:p>
    <w:p>
      <w:pPr>
        <w:pStyle w:val="4"/>
        <w:bidi w:val="0"/>
        <w:rPr>
          <w:rFonts w:hint="eastAsia"/>
          <w:lang w:val="en-US" w:eastAsia="zh-CN"/>
        </w:rPr>
      </w:pPr>
      <w:r>
        <w:rPr>
          <w:rFonts w:hint="eastAsia"/>
          <w:lang w:val="en-US" w:eastAsia="zh-CN"/>
        </w:rPr>
        <w:t>信贷模式</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作为线上模式的重要参与者，互联网银行以股东强大自有生态为基础，留存了大量的活跃忠诚用户和增信数据，形成其获客和风控的关键支撑。目前，9家互联网银行都将小微企业视为战略目标客群，普遍提供小微企业融资服务，以网商银行为例，从获客和风控两个方面概括互联网银行的小微模式：生态获客与大数据风控。</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1、生态获客</w:t>
      </w:r>
      <w:r>
        <w:rPr>
          <w:rFonts w:hint="eastAsia" w:ascii="宋体" w:hAnsi="宋体" w:eastAsia="宋体" w:cs="宋体"/>
          <w:color w:val="000000"/>
          <w:kern w:val="0"/>
          <w:sz w:val="24"/>
          <w:szCs w:val="24"/>
          <w:lang w:val="en-US" w:eastAsia="zh-CN" w:bidi="ar"/>
        </w:rPr>
        <w:t>。阿里巴巴作为网商银行的股东，为网商银行提供活跃的生态，阿里生态中的小微客户可以通过经营类服务（如：1688的店铺服务、支付宝的</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支付服务、菜鸟裹裹的物流服务），触达网商银行的金融服务。阿里的客户包括</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微商”和“码商”，“微商”是阿里电商生态下的使用店铺服务的线上商家，“码商”为阿里支付生态下持有用二维码交易的线下商家，均以个体经营户居多，为网商银行提供稳定的小微客群流量。网商银行2015年开业至今，仅花费6年 时间开拓了大量小微企业客户，2020 年末累计服务小微企业 3507 万户。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2、大数据风控。</w:t>
      </w:r>
      <w:r>
        <w:rPr>
          <w:rFonts w:hint="eastAsia" w:ascii="宋体" w:hAnsi="宋体" w:eastAsia="宋体" w:cs="宋体"/>
          <w:color w:val="000000"/>
          <w:kern w:val="0"/>
          <w:sz w:val="24"/>
          <w:szCs w:val="24"/>
          <w:lang w:val="en-US" w:eastAsia="zh-CN" w:bidi="ar"/>
        </w:rPr>
        <w:t xml:space="preserve">网商银行享有阿里系生态的交易、资金、物流等数据资源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禀赋，由于这些数据体量庞大、涉及多条交叉验证逻辑，因此网商银行能够建立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复杂的风控模型，以验证客户的真实交易背景，构建出为无信贷记录、无抵质押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资产的自有生态用户提供增信的能力。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线上模式的核心是用户与数据，与传统银行相比，互联网银行在普惠小微金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融上具备两个优势。</w:t>
      </w:r>
      <w:r>
        <w:rPr>
          <w:rFonts w:hint="eastAsia" w:ascii="宋体" w:hAnsi="宋体" w:eastAsia="宋体" w:cs="宋体"/>
          <w:b/>
          <w:bCs/>
          <w:color w:val="000000"/>
          <w:kern w:val="0"/>
          <w:sz w:val="24"/>
          <w:szCs w:val="24"/>
          <w:lang w:val="en-US" w:eastAsia="zh-CN" w:bidi="ar"/>
        </w:rPr>
        <w:t>1、高增长：</w:t>
      </w:r>
      <w:r>
        <w:rPr>
          <w:rFonts w:hint="eastAsia" w:ascii="宋体" w:hAnsi="宋体" w:eastAsia="宋体" w:cs="宋体"/>
          <w:color w:val="000000"/>
          <w:kern w:val="0"/>
          <w:sz w:val="24"/>
          <w:szCs w:val="24"/>
          <w:lang w:val="en-US" w:eastAsia="zh-CN" w:bidi="ar"/>
        </w:rPr>
        <w:t xml:space="preserve">在活跃生态支撑下，互联网银行能够挖掘大量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具有黏性的增量客户，推动小微贷款规模高速增长。根据2020年末普惠小微贷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款口径下的数据，新网银行/微众银行/苏宁银行增速为193%/156%/79%，小微企 </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业客户数分别为3.7万户/56.7万户/14.0万户，增速为 155%/147%/189%，余额和客户增速均高于传统银行。</w:t>
      </w:r>
      <w:r>
        <w:rPr>
          <w:rFonts w:hint="eastAsia" w:ascii="宋体" w:hAnsi="宋体" w:eastAsia="宋体" w:cs="宋体"/>
          <w:b/>
          <w:bCs/>
          <w:color w:val="000000"/>
          <w:kern w:val="0"/>
          <w:sz w:val="24"/>
          <w:szCs w:val="24"/>
          <w:lang w:val="en-US" w:eastAsia="zh-CN" w:bidi="ar"/>
        </w:rPr>
        <w:t>2、深触达：</w:t>
      </w:r>
      <w:r>
        <w:rPr>
          <w:rFonts w:hint="eastAsia" w:ascii="宋体" w:hAnsi="宋体" w:eastAsia="宋体" w:cs="宋体"/>
          <w:color w:val="000000"/>
          <w:kern w:val="0"/>
          <w:sz w:val="24"/>
          <w:szCs w:val="24"/>
          <w:lang w:val="en-US" w:eastAsia="zh-CN" w:bidi="ar"/>
        </w:rPr>
        <w:t>同样依托生态，互联网银行掌握了更多非标准金融客户的数据，通过账户行为、经营情况等数据更深入了解自有用户，实现了对小微企业的充分下沉。2020年末，新网银行/苏宁银行/微众银行的户均贷款分别为 5.6 万元/6.9 万元/14.1 万元，比农商行更为下沉。</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p>
    <w:p>
      <w:pPr>
        <w:pStyle w:val="4"/>
        <w:bidi w:val="0"/>
        <w:rPr>
          <w:rFonts w:hint="eastAsia"/>
          <w:lang w:val="en-US" w:eastAsia="zh-CN"/>
        </w:rPr>
      </w:pPr>
      <w:r>
        <w:rPr>
          <w:rFonts w:hint="eastAsia"/>
          <w:lang w:val="en-US" w:eastAsia="zh-CN"/>
        </w:rPr>
        <w:t>信贷产品</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互联网银行普惠金融产品为中小微企业提供的全线上申请流动资金贷款服务，一般纳税人企业、小规模纳税人企业、个体工商户皆可申请。</w:t>
      </w:r>
    </w:p>
    <w:p>
      <w:pPr>
        <w:keepNext w:val="0"/>
        <w:keepLines w:val="0"/>
        <w:widowControl/>
        <w:suppressLineNumbers w:val="0"/>
        <w:ind w:left="0" w:leftChars="0"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以微众银行微业贷为例，其具有线上办理、额度灵活、随用随借、门槛较低以及还款周期长等特点，服务了大量中小微企业。</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互联网银行信贷服务全部由线上完成，解除了网点的物理和时间限制，提供24小时服务，额度由1-300万不等，借助大数据实行快速审批、发放，无需抵押物以企业信用作为担保，迎合了中小微企业的融资需求。</w:t>
      </w:r>
    </w:p>
    <w:p>
      <w:pPr>
        <w:keepNext w:val="0"/>
        <w:keepLines w:val="0"/>
        <w:widowControl/>
        <w:suppressLineNumbers w:val="0"/>
        <w:ind w:left="0" w:leftChars="0"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2021年12月31日，微众银行微业贷已辐射22个省、3个自治区、4个直辖市，累计触达小微企业超270万家，累计授信客户89万家，累计发放贷款金额超1万亿元。微业贷客户中约60%是首次获得银行企业贷款的企业用户，2021年当年新增首贷户超9万户，体现了其信贷模式的较低门槛以及具有较高的用户增长活性。</w:t>
      </w:r>
    </w:p>
    <w:p>
      <w:pPr>
        <w:pStyle w:val="4"/>
        <w:bidi w:val="0"/>
        <w:rPr>
          <w:rFonts w:hint="eastAsia"/>
          <w:lang w:val="en-US" w:eastAsia="zh-CN"/>
        </w:rPr>
      </w:pPr>
      <w:r>
        <w:rPr>
          <w:rFonts w:hint="eastAsia"/>
          <w:lang w:val="en-US" w:eastAsia="zh-CN"/>
        </w:rPr>
        <w:t>信贷服务</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互联网银行依托其活跃的忠诚用户和具有高黏性的增量用户以及数据能力获取的优势将进一步扩大供应链金融的行业覆盖深度与广度，建立数字化产业金融新生态。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以微众银行为例，2021年11月18日，微众银行宣布正式启动“百业千亿计划”，将充分延展其供应链金融行业覆盖面，开启探索创新供应链金融服务模式之路。未来3年，微众银行将提升供应链金融行业覆盖率到90%覆盖上百个子行业，目标与超过1000家行业龙头企业达成合作，投放三千亿专属资金，以数字化科技持续支撑产业成长，支持实体经济蓬勃发展,其核心内涵体现在四个方面。</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重点建设五大方向，支持国家政策引导下的产业新型发展。</w:t>
      </w:r>
      <w:r>
        <w:rPr>
          <w:rFonts w:hint="eastAsia" w:ascii="宋体" w:hAnsi="宋体" w:eastAsia="宋体" w:cs="宋体"/>
          <w:color w:val="000000"/>
          <w:kern w:val="0"/>
          <w:sz w:val="24"/>
          <w:szCs w:val="24"/>
          <w:lang w:val="en-US" w:eastAsia="zh-CN" w:bidi="ar"/>
        </w:rPr>
        <w:t xml:space="preserve">三年来，微众银行供应链金融深入服务了实体制造和民生消费领域的企业客群，并积累了丰硕的服务成果。为响应国家稳链、补链、强链、控链的战略布局，支持国内实体产业科技化、绿色化转型，未来微众银行将重点布局民生消费、新基建、绿色能源、现代农业、专精特新五大方向，为五大方向所辐射的产业链的生产经营网络节点各环节企业提供综合服务，通过构建全产业链生产经营关系金融网络，大力促成科技强国、乡村振兴、“双碳”等目标早日达成。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重点布局科技输出，共建数字供应链新生态。</w:t>
      </w:r>
      <w:r>
        <w:rPr>
          <w:rFonts w:hint="eastAsia" w:ascii="宋体" w:hAnsi="宋体" w:eastAsia="宋体" w:cs="宋体"/>
          <w:color w:val="000000"/>
          <w:kern w:val="0"/>
          <w:sz w:val="24"/>
          <w:szCs w:val="24"/>
          <w:lang w:val="en-US" w:eastAsia="zh-CN" w:bidi="ar"/>
        </w:rPr>
        <w:t>微众银行供应链金融将持续扩大科技输出覆盖面，将智能数字系统广泛应用于战略合作伙伴实际生产经营各业务场景，打通从“供”到“销”的全链路一体化管理，并预计2022年100%实现对战略合作伙伴的数字系统对接，以专业的数字科技解决方案，与供应链核心企业及上下游小微企业共同建设数字化供应链“新生态”。</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千亿资金扶企成长，多个渠道为企发声。</w:t>
      </w:r>
      <w:r>
        <w:rPr>
          <w:rFonts w:hint="eastAsia" w:ascii="宋体" w:hAnsi="宋体" w:eastAsia="宋体" w:cs="宋体"/>
          <w:color w:val="000000"/>
          <w:kern w:val="0"/>
          <w:sz w:val="24"/>
          <w:szCs w:val="24"/>
          <w:lang w:val="en-US" w:eastAsia="zh-CN" w:bidi="ar"/>
        </w:rPr>
        <w:t xml:space="preserve">微众银行微业贷将与各领域头部企业达成深度战略合作，为战略合作伙伴提供专属金融权益，以千亿资金助力战略合作伙伴上下游的小微企业成长。此外，微众银行还将持续扩大“助力企业 100%公益行动”的覆盖面，以拍摄企业专属视频、开设摄影展、助力企业主上杂志封面等方式帮助小微企业发声。微众银行微业贷为深圳十五家科创型企业拍摄了广告片，并助其登上深圳宝安机场的大屏，展现了小微企业敢闯敢拼、开拓创新的形象，也让更多的人看到了科创型中小微企业的实力。2021 年 12 月，微众银行还将与被称为“中国最好的人像摄影师”的肖全联手打造国内首个以小微企业为主题的摄影展，共同见证广大小微企业的突破和成长。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深耕场景数字服务，构建商业服务新生态。</w:t>
      </w:r>
      <w:r>
        <w:rPr>
          <w:rFonts w:hint="eastAsia" w:ascii="宋体" w:hAnsi="宋体" w:eastAsia="宋体" w:cs="宋体"/>
          <w:color w:val="000000"/>
          <w:kern w:val="0"/>
          <w:sz w:val="24"/>
          <w:szCs w:val="24"/>
          <w:lang w:val="en-US" w:eastAsia="zh-CN" w:bidi="ar"/>
        </w:rPr>
        <w:t xml:space="preserve">依托金融科技实力，微众银行将持续扩大产品服务内容，以“微众企业+”全链路商业服务生态为小微企业提供综合服务。例如，微众银行为合作伙伴定制的“微众企业+卡”，以一卡满足企业家、经营法人日常支付结算、票据贴现、存贷款和会员权益等多场景需求。 </w:t>
      </w:r>
    </w:p>
    <w:p>
      <w:pPr>
        <w:keepNext w:val="0"/>
        <w:keepLines w:val="0"/>
        <w:widowControl/>
        <w:suppressLineNumbers w:val="0"/>
        <w:ind w:left="0" w:leftChars="0" w:firstLine="0" w:firstLineChars="0"/>
        <w:jc w:val="left"/>
        <w:rPr>
          <w:rFonts w:hint="eastAsia"/>
          <w:lang w:val="en-US" w:eastAsia="zh-CN"/>
        </w:rPr>
      </w:pPr>
      <w:r>
        <w:rPr>
          <w:rFonts w:hint="eastAsia" w:ascii="宋体" w:hAnsi="宋体" w:eastAsia="宋体" w:cs="宋体"/>
          <w:color w:val="000000"/>
          <w:kern w:val="0"/>
          <w:sz w:val="24"/>
          <w:szCs w:val="24"/>
          <w:lang w:val="en-US" w:eastAsia="zh-CN" w:bidi="ar"/>
        </w:rPr>
        <w:t>微众银行不仅将构建上下游企业的产业链生态，还将织密数据网络，让不同产业链形成开放融合的产业生态圈，最终促成高水平、深层次、多维度的生态竞合，更好地为产业强化发展贡献力量。除此之外，微众银行企业金融还通过打通融资、结算、贴现等高频服务应用场景，延伸企业的交易链和服务链，实现场景与服务融合，进一步构建产业金融新生态</w:t>
      </w:r>
    </w:p>
    <w:p>
      <w:pPr>
        <w:pStyle w:val="3"/>
        <w:bidi w:val="0"/>
        <w:rPr>
          <w:rFonts w:hint="default"/>
          <w:lang w:val="en-US" w:eastAsia="zh-CN"/>
        </w:rPr>
      </w:pPr>
      <w:bookmarkStart w:id="0" w:name="_GoBack"/>
      <w:bookmarkEnd w:id="0"/>
      <w:r>
        <w:rPr>
          <w:rFonts w:hint="eastAsia"/>
          <w:lang w:val="en-US" w:eastAsia="zh-CN"/>
        </w:rPr>
        <w:t>各类银行信贷模式、产品对比</w:t>
      </w:r>
    </w:p>
    <w:tbl>
      <w:tblPr>
        <w:tblStyle w:val="7"/>
        <w:tblpPr w:leftFromText="180" w:rightFromText="180" w:vertAnchor="text" w:horzAnchor="page" w:tblpX="2201" w:tblpY="22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884"/>
        <w:gridCol w:w="3338"/>
        <w:gridCol w:w="3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Borders>
              <w:top w:val="single" w:color="000000" w:sz="12" w:space="0"/>
              <w:left w:val="nil"/>
              <w:bottom w:val="single" w:color="000000" w:sz="4"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类型</w:t>
            </w:r>
          </w:p>
        </w:tc>
        <w:tc>
          <w:tcPr>
            <w:tcW w:w="0" w:type="auto"/>
            <w:tcBorders>
              <w:top w:val="single" w:color="auto" w:sz="12" w:space="0"/>
              <w:left w:val="nil"/>
              <w:bottom w:val="single" w:color="000000" w:sz="4"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信贷模式</w:t>
            </w:r>
          </w:p>
        </w:tc>
        <w:tc>
          <w:tcPr>
            <w:tcW w:w="0" w:type="auto"/>
            <w:tcBorders>
              <w:top w:val="single" w:color="auto" w:sz="12" w:space="0"/>
              <w:left w:val="nil"/>
              <w:bottom w:val="single" w:color="000000" w:sz="4"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信贷产品</w:t>
            </w:r>
          </w:p>
        </w:tc>
        <w:tc>
          <w:tcPr>
            <w:tcW w:w="0" w:type="auto"/>
            <w:tcBorders>
              <w:top w:val="single" w:color="auto" w:sz="12" w:space="0"/>
              <w:left w:val="nil"/>
              <w:bottom w:val="single" w:color="000000" w:sz="4"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0" w:type="auto"/>
            <w:tcBorders>
              <w:top w:val="single" w:color="000000" w:sz="4" w:space="0"/>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大银行</w:t>
            </w: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color w:val="000000"/>
                <w:kern w:val="0"/>
                <w:sz w:val="24"/>
                <w:szCs w:val="24"/>
                <w:vertAlign w:val="baseline"/>
                <w:lang w:val="en-US" w:eastAsia="zh-CN" w:bidi="ar"/>
              </w:rPr>
            </w:pPr>
          </w:p>
        </w:tc>
        <w:tc>
          <w:tcPr>
            <w:tcW w:w="0" w:type="auto"/>
            <w:tcBorders>
              <w:top w:val="single" w:color="000000" w:sz="4" w:space="0"/>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传统信贷</w:t>
            </w:r>
          </w:p>
        </w:tc>
        <w:tc>
          <w:tcPr>
            <w:tcW w:w="0" w:type="auto"/>
            <w:tcBorders>
              <w:top w:val="single" w:color="000000" w:sz="4" w:space="0"/>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依靠企业财务信息等进行放贷</w:t>
            </w:r>
          </w:p>
        </w:tc>
        <w:tc>
          <w:tcPr>
            <w:tcW w:w="0" w:type="auto"/>
            <w:tcBorders>
              <w:top w:val="single" w:color="000000" w:sz="4" w:space="0"/>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常用于大企业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大银行</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default"/>
                <w:lang w:val="en-US" w:eastAsia="zh-CN"/>
              </w:rPr>
            </w:pPr>
            <w:r>
              <w:rPr>
                <w:rFonts w:hint="eastAsia" w:ascii="宋体" w:hAnsi="宋体" w:eastAsia="宋体" w:cs="宋体"/>
                <w:color w:val="000000"/>
                <w:kern w:val="0"/>
                <w:sz w:val="24"/>
                <w:szCs w:val="24"/>
                <w:vertAlign w:val="baseline"/>
                <w:lang w:val="en-US" w:eastAsia="zh-CN" w:bidi="ar"/>
              </w:rPr>
              <w:t>互联网银行</w:t>
            </w:r>
          </w:p>
        </w:tc>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线上信贷</w:t>
            </w:r>
          </w:p>
        </w:tc>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多渠道发放贷款，无需提供硬信息，可选择抵押或信用，根据平台多方信息自动计算额度快速审批，随借随还按天计息</w:t>
            </w:r>
          </w:p>
        </w:tc>
        <w:tc>
          <w:tcPr>
            <w:tcW w:w="0" w:type="auto"/>
            <w:vMerge w:val="restart"/>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szCs w:val="24"/>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大银行优势来源于具有较大的规模以具有搭建线上平台、合作三方平台、搭建供应链生态的经济实力以及足够的存量客户数据沉淀；</w:t>
            </w: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互联网银行依托于活跃的互联网生态，具有高黏性的用户增长以及更多非标准金融用户的数据，凭借丰富的数据禀赋以及较低的准入门槛实现贷款的充分下沉。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大银行</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both"/>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互联网银行</w:t>
            </w:r>
          </w:p>
        </w:tc>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供应链信贷</w:t>
            </w:r>
          </w:p>
        </w:tc>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服务于核心企业供应链上下游：替企业为上游代付应收账款；替下游企业代付应付账款；为上下游提供库存融资，以货物为抵押物；无抵押以企业往来信用为基础进行融资</w:t>
            </w:r>
          </w:p>
        </w:tc>
        <w:tc>
          <w:tcPr>
            <w:tcW w:w="0" w:type="auto"/>
            <w:vMerge w:val="continue"/>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0" w:type="auto"/>
            <w:vMerge w:val="restart"/>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地区性中小银行</w:t>
            </w:r>
          </w:p>
        </w:tc>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传统IPC模式</w:t>
            </w:r>
          </w:p>
        </w:tc>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依靠信贷员进行传统的信贷服务，以客户的还款能力和意愿为放贷唯一标准。</w:t>
            </w:r>
          </w:p>
        </w:tc>
        <w:tc>
          <w:tcPr>
            <w:tcW w:w="0" w:type="auto"/>
            <w:tcBorders>
              <w:top w:val="nil"/>
              <w:left w:val="nil"/>
              <w:bottom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劳动密集型放贷方式，获客数、风险管控都有局限，不适应中小企业基数较大的情况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0" w:type="auto"/>
            <w:vMerge w:val="continue"/>
            <w:tcBorders>
              <w:top w:val="nil"/>
              <w:left w:val="nil"/>
              <w:bottom w:val="single" w:color="auto" w:sz="12"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pPr>
          </w:p>
        </w:tc>
        <w:tc>
          <w:tcPr>
            <w:tcW w:w="0" w:type="auto"/>
            <w:tcBorders>
              <w:top w:val="nil"/>
              <w:left w:val="nil"/>
              <w:bottom w:val="single" w:color="auto" w:sz="12"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线上线下结合信贷工厂</w:t>
            </w:r>
          </w:p>
        </w:tc>
        <w:tc>
          <w:tcPr>
            <w:tcW w:w="0" w:type="auto"/>
            <w:tcBorders>
              <w:top w:val="nil"/>
              <w:left w:val="nil"/>
              <w:bottom w:val="single" w:color="auto" w:sz="12"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线下铺设大量网点，聚焦当地中小微企业需求提供创新产品,如为当地政府中标企业提供无抵押贷款，由线上进行集中审批。</w:t>
            </w:r>
          </w:p>
        </w:tc>
        <w:tc>
          <w:tcPr>
            <w:tcW w:w="0" w:type="auto"/>
            <w:tcBorders>
              <w:top w:val="nil"/>
              <w:left w:val="nil"/>
              <w:bottom w:val="single" w:color="auto" w:sz="12" w:space="0"/>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较线上、供应链放贷方式对传统中小企业较友好，仍然为传统中小企业主流融资方式（钱龙，2019），但线下地推较依赖人工，不利于扩大业务范围规模</w:t>
            </w:r>
          </w:p>
        </w:tc>
      </w:tr>
    </w:tbl>
    <w:p>
      <w:pPr>
        <w:ind w:left="0" w:leftChars="0" w:firstLine="0" w:firstLineChars="0"/>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LF-32769-4-1175219246">
    <w:altName w:val="Segoe Print"/>
    <w:panose1 w:val="00000000000000000000"/>
    <w:charset w:val="00"/>
    <w:family w:val="auto"/>
    <w:pitch w:val="default"/>
    <w:sig w:usb0="00000000" w:usb1="00000000" w:usb2="00000000" w:usb3="00000000" w:csb0="00000000" w:csb1="00000000"/>
  </w:font>
  <w:font w:name="KTJ">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41AFE4"/>
    <w:multiLevelType w:val="singleLevel"/>
    <w:tmpl w:val="C641AFE4"/>
    <w:lvl w:ilvl="0" w:tentative="0">
      <w:start w:val="1"/>
      <w:numFmt w:val="decimal"/>
      <w:suff w:val="nothing"/>
      <w:lvlText w:val="%1、"/>
      <w:lvlJc w:val="left"/>
    </w:lvl>
  </w:abstractNum>
  <w:abstractNum w:abstractNumId="1">
    <w:nsid w:val="38B9192D"/>
    <w:multiLevelType w:val="singleLevel"/>
    <w:tmpl w:val="38B9192D"/>
    <w:lvl w:ilvl="0" w:tentative="0">
      <w:start w:val="1"/>
      <w:numFmt w:val="decimal"/>
      <w:suff w:val="nothing"/>
      <w:lvlText w:val="%1、"/>
      <w:lvlJc w:val="left"/>
    </w:lvl>
  </w:abstractNum>
  <w:abstractNum w:abstractNumId="2">
    <w:nsid w:val="6F3D7DEC"/>
    <w:multiLevelType w:val="singleLevel"/>
    <w:tmpl w:val="6F3D7DEC"/>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95843"/>
    <w:rsid w:val="11B77FC5"/>
    <w:rsid w:val="29684CAB"/>
    <w:rsid w:val="47030C01"/>
    <w:rsid w:val="47F70BBD"/>
    <w:rsid w:val="62D45C61"/>
    <w:rsid w:val="6C7662AD"/>
    <w:rsid w:val="71295843"/>
    <w:rsid w:val="784F1BF3"/>
    <w:rsid w:val="78EA2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360" w:firstLineChars="200"/>
      <w:jc w:val="both"/>
    </w:pPr>
    <w:rPr>
      <w:rFonts w:ascii="Calibri" w:hAnsi="Calibr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pPr>
      <w:spacing w:before="28"/>
      <w:ind w:left="16"/>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2022-04-05T13:23:00Z</dcterms:created>
  <dc:creator>KAZE</dc:creator>
  <cp:lastModifiedBy>KAZE</cp:lastModifiedBy>
  <dcterms:modified xsi:type="dcterms:W3CDTF">2022-04-06T07:46:20Z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