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4A64FB" w:rsidR="00194E40" w:rsidRDefault="0054066E" w:rsidP="00DB09AF">
      <w:pPr>
        <w:pStyle w:val="11"/>
        <w:wordWrap w:val="0"/>
      </w:pPr>
      <w:r>
        <w:fldChar w:fldCharType="begin"/>
      </w:r>
      <w:r>
        <w:instrText xml:space="preserve"> MACROBUTTON AMEditEquationSection2 </w:instrText>
      </w:r>
      <w:r w:rsidRPr="0054066E">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8D68BE">
        <w:rPr>
          <w:rFonts w:hint="eastAsia"/>
        </w:rPr>
        <w:t>数字普惠金融对小微企业信贷约束的影响</w:t>
      </w:r>
    </w:p>
    <w:p w14:paraId="0E6F911C" w14:textId="77777777" w:rsidR="00781811" w:rsidRPr="00781811" w:rsidRDefault="00781811" w:rsidP="00DB09AF">
      <w:pPr>
        <w:wordWrap w:val="0"/>
      </w:pPr>
    </w:p>
    <w:p w14:paraId="3C4B9B93" w14:textId="356AF38D" w:rsidR="00781811" w:rsidRDefault="00781811" w:rsidP="00DB09AF">
      <w:pPr>
        <w:wordWrap w:val="0"/>
        <w:jc w:val="center"/>
      </w:pPr>
      <w:r>
        <w:rPr>
          <w:rFonts w:hint="eastAsia"/>
        </w:rPr>
        <w:t>黄茜瑛</w:t>
      </w:r>
      <w:r w:rsidR="006B166C">
        <w:rPr>
          <w:rStyle w:val="a6"/>
        </w:rPr>
        <w:footnoteReference w:customMarkFollows="1" w:id="2"/>
        <w:t>*</w:t>
      </w:r>
    </w:p>
    <w:p w14:paraId="2E29DC07" w14:textId="623BCE1B" w:rsidR="00781811" w:rsidRDefault="00781811" w:rsidP="00DB09AF">
      <w:pPr>
        <w:wordWrap w:val="0"/>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DB09AF">
      <w:pPr>
        <w:wordWrap w:val="0"/>
        <w:jc w:val="center"/>
      </w:pPr>
    </w:p>
    <w:p w14:paraId="0FD9AEA6" w14:textId="6D3BAA63" w:rsidR="008D68BE" w:rsidRDefault="00781811" w:rsidP="00DB09AF">
      <w:pPr>
        <w:wordWrap w:val="0"/>
      </w:pPr>
      <w:r w:rsidRPr="00781811">
        <w:rPr>
          <w:rFonts w:hint="eastAsia"/>
          <w:b/>
          <w:bCs/>
        </w:rPr>
        <w:t>摘要：</w:t>
      </w:r>
      <w:r>
        <w:rPr>
          <w:rFonts w:hint="eastAsia"/>
        </w:rPr>
        <w:t>数字普惠金融</w:t>
      </w:r>
    </w:p>
    <w:p w14:paraId="042481A1" w14:textId="73096A79" w:rsidR="003332D9" w:rsidRPr="008D68BE" w:rsidRDefault="003332D9" w:rsidP="00DB09AF">
      <w:pPr>
        <w:wordWrap w:val="0"/>
      </w:pPr>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DB09AF">
      <w:pPr>
        <w:pStyle w:val="1"/>
        <w:wordWrap w:val="0"/>
        <w:contextualSpacing/>
      </w:pPr>
      <w:r>
        <w:rPr>
          <w:rFonts w:hint="eastAsia"/>
        </w:rPr>
        <w:t>一、引言</w:t>
      </w:r>
    </w:p>
    <w:p w14:paraId="41E7533A" w14:textId="28F2DDE8" w:rsidR="008A2CEE" w:rsidRDefault="0087081D" w:rsidP="00DB09AF">
      <w:pPr>
        <w:wordWrap w:val="0"/>
        <w:contextualSpacing/>
      </w:pPr>
      <w:r>
        <w:rPr>
          <w:rFonts w:hint="eastAsia"/>
        </w:rPr>
        <w:t>数字普惠金融</w:t>
      </w:r>
    </w:p>
    <w:p w14:paraId="1FEEF48B" w14:textId="2D28339E" w:rsidR="008A2CEE" w:rsidRDefault="008A2CEE" w:rsidP="00DB09AF">
      <w:pPr>
        <w:wordWrap w:val="0"/>
        <w:contextualSpacing/>
      </w:pPr>
      <w:r>
        <w:rPr>
          <w:rFonts w:hint="eastAsia"/>
        </w:rPr>
        <w:t>数字普惠金融</w:t>
      </w:r>
    </w:p>
    <w:p w14:paraId="52F58AF0" w14:textId="3ED61C09" w:rsidR="0087081D" w:rsidRDefault="008A2CEE" w:rsidP="00DB09AF">
      <w:pPr>
        <w:wordWrap w:val="0"/>
        <w:contextualSpacing/>
      </w:pPr>
      <w:r>
        <w:rPr>
          <w:rFonts w:hint="eastAsia"/>
        </w:rPr>
        <w:t>数字普惠金融</w:t>
      </w:r>
    </w:p>
    <w:p w14:paraId="1D8EC1C8" w14:textId="51C9A1AA" w:rsidR="0087081D" w:rsidRPr="0087081D" w:rsidRDefault="0087081D" w:rsidP="00DB09AF">
      <w:pPr>
        <w:pStyle w:val="1"/>
        <w:wordWrap w:val="0"/>
        <w:contextualSpacing/>
      </w:pPr>
      <w:r>
        <w:rPr>
          <w:rFonts w:hint="eastAsia"/>
        </w:rPr>
        <w:t>二、文献回顾与研究假设</w:t>
      </w:r>
    </w:p>
    <w:p w14:paraId="3C8CC47D" w14:textId="595BF921" w:rsidR="0087081D" w:rsidRDefault="0087081D" w:rsidP="00DB09AF">
      <w:pPr>
        <w:pStyle w:val="2"/>
        <w:wordWrap w:val="0"/>
      </w:pPr>
      <w:r>
        <w:rPr>
          <w:rFonts w:hint="eastAsia"/>
        </w:rPr>
        <w:t>（一）数字普惠金融</w:t>
      </w:r>
    </w:p>
    <w:p w14:paraId="38715A01" w14:textId="4162A0D5" w:rsidR="0087081D" w:rsidRDefault="0087081D" w:rsidP="00DB09AF">
      <w:pPr>
        <w:wordWrap w:val="0"/>
        <w:contextualSpacing/>
      </w:pPr>
      <w:r>
        <w:rPr>
          <w:rFonts w:hint="eastAsia"/>
        </w:rPr>
        <w:t>数字普惠金融</w:t>
      </w:r>
    </w:p>
    <w:p w14:paraId="7FC0D27B" w14:textId="3AD5A3A8" w:rsidR="0087081D" w:rsidRDefault="0087081D" w:rsidP="00DB09AF">
      <w:pPr>
        <w:pStyle w:val="1"/>
        <w:wordWrap w:val="0"/>
      </w:pPr>
      <w:r>
        <w:rPr>
          <w:rFonts w:hint="eastAsia"/>
        </w:rPr>
        <w:t>三、研究设计</w:t>
      </w:r>
    </w:p>
    <w:p w14:paraId="4F802239" w14:textId="77777777" w:rsidR="0087081D" w:rsidRDefault="0087081D" w:rsidP="00DB09AF">
      <w:pPr>
        <w:pStyle w:val="2"/>
        <w:wordWrap w:val="0"/>
      </w:pPr>
      <w:r>
        <w:rPr>
          <w:rFonts w:hint="eastAsia"/>
        </w:rPr>
        <w:t>（一）数据来源与样本选取</w:t>
      </w:r>
    </w:p>
    <w:p w14:paraId="2DA4E6C9" w14:textId="4442DBC2" w:rsidR="00A86166" w:rsidRPr="00A86166" w:rsidRDefault="006C21B3" w:rsidP="00DB09AF">
      <w:pPr>
        <w:wordWrap w:val="0"/>
        <w:ind w:left="0" w:firstLine="420"/>
      </w:pPr>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年开展的中国小微企业调查（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r w:rsidR="005C4BC0" w:rsidRPr="003E4AAA">
        <w:rPr>
          <w:rFonts w:hint="eastAsia"/>
        </w:rPr>
        <w:t>甘犁</w:t>
      </w:r>
      <w:r w:rsidR="00F163BC">
        <w:rPr>
          <w:rFonts w:hint="eastAsia"/>
        </w:rPr>
        <w:t>等</w:t>
      </w:r>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被解释变量（小微企业信贷约束程度）、大部分控制变量和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486284">
        <w:rPr>
          <w:rFonts w:hint="eastAsia"/>
        </w:rPr>
        <w:t>控制变量中包含的</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42234B">
        <w:rPr>
          <w:rFonts w:hint="eastAsia"/>
          <w:color w:val="000000" w:themeColor="text1"/>
        </w:rPr>
        <w:t>和</w:t>
      </w:r>
      <w:r w:rsidR="00D810D0" w:rsidRPr="00D810D0">
        <w:rPr>
          <w:rFonts w:hint="eastAsia"/>
          <w:color w:val="000000" w:themeColor="text1"/>
        </w:rPr>
        <w:t>信息社会指数</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35</w:t>
      </w:r>
      <w:r w:rsidR="00D810D0" w:rsidRPr="00D810D0">
        <w:rPr>
          <w:rFonts w:hint="eastAsia"/>
        </w:rPr>
        <w:t>次中国互联网络发展状况统计报告》</w:t>
      </w:r>
      <w:r w:rsidR="00D810D0">
        <w:rPr>
          <w:rFonts w:hint="eastAsia"/>
        </w:rPr>
        <w:t>和《</w:t>
      </w:r>
      <w:r w:rsidR="00D810D0" w:rsidRPr="00D810D0">
        <w:rPr>
          <w:rFonts w:hint="eastAsia"/>
        </w:rPr>
        <w:t>中国信息社会测评报告</w:t>
      </w:r>
      <w:r w:rsidR="00D810D0" w:rsidRPr="00D810D0">
        <w:rPr>
          <w:rFonts w:hint="eastAsia"/>
        </w:rPr>
        <w:t>2014</w:t>
      </w:r>
      <w:r w:rsidR="00D810D0">
        <w:rPr>
          <w:rFonts w:hint="eastAsia"/>
        </w:rPr>
        <w:t>》</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250FB820" w:rsidR="008015CA" w:rsidRPr="008015CA" w:rsidRDefault="008015CA" w:rsidP="00DB09AF">
      <w:pPr>
        <w:pStyle w:val="2"/>
        <w:wordWrap w:val="0"/>
        <w:contextualSpacing/>
      </w:pPr>
      <w:r>
        <w:rPr>
          <w:rFonts w:hint="eastAsia"/>
        </w:rPr>
        <w:lastRenderedPageBreak/>
        <w:t>（二）变量</w:t>
      </w:r>
      <w:r w:rsidR="00C97A46">
        <w:rPr>
          <w:rFonts w:hint="eastAsia"/>
        </w:rPr>
        <w:t>选取与说明</w:t>
      </w:r>
    </w:p>
    <w:p w14:paraId="7DAD4B9C" w14:textId="081313FD" w:rsidR="00E03A11" w:rsidRPr="00652935" w:rsidRDefault="0087081D" w:rsidP="00DB09AF">
      <w:pPr>
        <w:pStyle w:val="3"/>
        <w:wordWrap w:val="0"/>
      </w:pPr>
      <w:r>
        <w:rPr>
          <w:rFonts w:hint="eastAsia"/>
        </w:rPr>
        <w:t>1</w:t>
      </w:r>
      <w:r>
        <w:t>.</w:t>
      </w:r>
      <w:r>
        <w:rPr>
          <w:rFonts w:hint="eastAsia"/>
        </w:rPr>
        <w:t>小微企业信贷约束</w:t>
      </w:r>
    </w:p>
    <w:p w14:paraId="53D61070" w14:textId="4F1BEF04" w:rsidR="004F7C1E" w:rsidRPr="009960C9" w:rsidRDefault="00032D49" w:rsidP="00DB09AF">
      <w:pPr>
        <w:wordWrap w:val="0"/>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2AFD4802" w14:textId="68F45247" w:rsidR="00B939E2" w:rsidRPr="00E03A11" w:rsidRDefault="00B939E2" w:rsidP="00DB09AF">
      <w:pPr>
        <w:wordWrap w:val="0"/>
        <w:contextualSpacing/>
        <w:rPr>
          <w:color w:val="FF0000"/>
        </w:rPr>
      </w:pPr>
      <w:r w:rsidRPr="00E03A11">
        <w:rPr>
          <w:rFonts w:hint="eastAsia"/>
          <w:color w:val="FF0000"/>
        </w:rPr>
        <w:t>正确衡量</w:t>
      </w:r>
      <w:r w:rsidR="00871003" w:rsidRPr="00E03A11">
        <w:rPr>
          <w:rFonts w:hint="eastAsia"/>
          <w:color w:val="FF0000"/>
        </w:rPr>
        <w:t>小微企业的信贷约束是进行</w:t>
      </w:r>
      <w:r w:rsidR="00546C22" w:rsidRPr="00E03A11">
        <w:rPr>
          <w:rFonts w:hint="eastAsia"/>
          <w:color w:val="FF0000"/>
        </w:rPr>
        <w:t>后续实证检验的关键。</w:t>
      </w:r>
      <w:r w:rsidR="00737CC4" w:rsidRPr="00E03A11">
        <w:rPr>
          <w:rFonts w:hint="eastAsia"/>
          <w:color w:val="FF0000"/>
        </w:rPr>
        <w:t>首先，由于本文研究的对象为小微企业，</w:t>
      </w:r>
      <w:r w:rsidR="00566481" w:rsidRPr="00E03A11">
        <w:rPr>
          <w:rFonts w:hint="eastAsia"/>
          <w:color w:val="FF0000"/>
        </w:rPr>
        <w:t>本文无法</w:t>
      </w:r>
    </w:p>
    <w:p w14:paraId="4DF1B4A9" w14:textId="2297B8A7" w:rsidR="008B65B5" w:rsidRPr="00E03A11" w:rsidRDefault="00C85690" w:rsidP="00DB09AF">
      <w:pPr>
        <w:wordWrap w:val="0"/>
        <w:rPr>
          <w:color w:val="FF0000"/>
        </w:rPr>
      </w:pPr>
      <w:r w:rsidRPr="00E03A11">
        <w:rPr>
          <w:rFonts w:hint="eastAsia"/>
          <w:color w:val="FF0000"/>
        </w:rPr>
        <w:t>由于本文的研究核心在于</w:t>
      </w:r>
      <w:r w:rsidR="001C765D" w:rsidRPr="00E03A11">
        <w:rPr>
          <w:rFonts w:hint="eastAsia"/>
          <w:color w:val="FF0000"/>
        </w:rPr>
        <w:t>银</w:t>
      </w:r>
      <w:r w:rsidR="0077763E" w:rsidRPr="00E03A11">
        <w:rPr>
          <w:rFonts w:hint="eastAsia"/>
          <w:color w:val="FF0000"/>
        </w:rPr>
        <w:t>行和</w:t>
      </w:r>
      <w:r w:rsidR="00DD6A78" w:rsidRPr="00E03A11">
        <w:rPr>
          <w:rFonts w:hint="eastAsia"/>
          <w:color w:val="FF0000"/>
        </w:rPr>
        <w:t>小微企业</w:t>
      </w:r>
      <w:r w:rsidR="0077763E" w:rsidRPr="00E03A11">
        <w:rPr>
          <w:rFonts w:hint="eastAsia"/>
          <w:color w:val="FF0000"/>
        </w:rPr>
        <w:t>之</w:t>
      </w:r>
      <w:r w:rsidR="001C765D" w:rsidRPr="00E03A11">
        <w:rPr>
          <w:rFonts w:hint="eastAsia"/>
          <w:color w:val="FF0000"/>
        </w:rPr>
        <w:t>间的信息不对称所导致的融资约束</w:t>
      </w:r>
      <w:r w:rsidR="00035E90" w:rsidRPr="00E03A11">
        <w:rPr>
          <w:rFonts w:hint="eastAsia"/>
          <w:color w:val="FF0000"/>
        </w:rPr>
        <w:t>，</w:t>
      </w:r>
      <w:r w:rsidR="008D4D6D" w:rsidRPr="00E03A11">
        <w:rPr>
          <w:rFonts w:hint="eastAsia"/>
          <w:color w:val="FF0000"/>
        </w:rPr>
        <w:t>本文选择</w:t>
      </w:r>
      <w:r w:rsidR="00DA7129" w:rsidRPr="00E03A11">
        <w:rPr>
          <w:rFonts w:hint="eastAsia"/>
          <w:color w:val="FF0000"/>
        </w:rPr>
        <w:t>小微企业的银行贷款满足程度来衡量其信贷约束。</w:t>
      </w:r>
    </w:p>
    <w:p w14:paraId="1F3673F8" w14:textId="1D153888" w:rsidR="00557B59" w:rsidRPr="00E03A11" w:rsidRDefault="00557B59" w:rsidP="00DB09AF">
      <w:pPr>
        <w:wordWrap w:val="0"/>
        <w:rPr>
          <w:color w:val="FF0000"/>
        </w:rPr>
      </w:pPr>
      <w:r w:rsidRPr="00E03A11">
        <w:rPr>
          <w:rFonts w:hint="eastAsia"/>
          <w:color w:val="FF0000"/>
        </w:rPr>
        <w:t>根据设计的问题调查样本对银行信贷</w:t>
      </w:r>
      <w:r w:rsidRPr="00E03A11">
        <w:rPr>
          <w:rFonts w:hint="eastAsia"/>
          <w:color w:val="FF0000"/>
        </w:rPr>
        <w:t xml:space="preserve"> </w:t>
      </w:r>
      <w:r w:rsidRPr="00E03A11">
        <w:rPr>
          <w:rFonts w:hint="eastAsia"/>
          <w:color w:val="FF0000"/>
        </w:rPr>
        <w:t>产品的真实需求，判断其借贷行为，分析其信贷需求满足程度。</w:t>
      </w:r>
    </w:p>
    <w:p w14:paraId="36ADB7D2" w14:textId="4CC16C09" w:rsidR="000C4408" w:rsidRPr="0079495B" w:rsidRDefault="00E30022" w:rsidP="00DB09AF">
      <w:pPr>
        <w:wordWrap w:val="0"/>
        <w:ind w:left="0" w:firstLine="420"/>
      </w:pPr>
      <w:r>
        <w:rPr>
          <w:rFonts w:hint="eastAsia"/>
        </w:rPr>
        <w:t>将小微企业分为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银行贷款完全满足小微企业的实际需要，则不存在信贷约束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，则考察其潜在的信贷约束</w:t>
      </w:r>
      <w:r w:rsidR="000A297C">
        <w:rPr>
          <w:rFonts w:hint="eastAsia"/>
        </w:rPr>
        <w:t>：</w:t>
      </w:r>
      <w:r w:rsidR="0066118D">
        <w:rPr>
          <w:rFonts w:hint="eastAsia"/>
        </w:rPr>
        <w:t>如果</w:t>
      </w:r>
      <w:r w:rsidR="00AB6E43">
        <w:rPr>
          <w:rFonts w:hint="eastAsia"/>
        </w:rPr>
        <w:t>小微企业需要银行贷款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1F2782">
        <w:rPr>
          <w:rStyle w:val="a6"/>
        </w:rPr>
        <w:footnoteReference w:id="4"/>
      </w:r>
    </w:p>
    <w:p w14:paraId="3A9162E8" w14:textId="169C5345" w:rsidR="00BE7918" w:rsidRPr="009960C9" w:rsidRDefault="009960C9" w:rsidP="00DB09AF">
      <w:pPr>
        <w:wordWrap w:val="0"/>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DB09AF">
      <w:pPr>
        <w:pStyle w:val="3"/>
        <w:wordWrap w:val="0"/>
      </w:pPr>
      <w:r>
        <w:rPr>
          <w:rFonts w:hint="eastAsia"/>
        </w:rPr>
        <w:t>2</w:t>
      </w:r>
      <w:r>
        <w:t>.</w:t>
      </w:r>
      <w:r>
        <w:rPr>
          <w:rFonts w:hint="eastAsia"/>
        </w:rPr>
        <w:t>数字普惠金融</w:t>
      </w:r>
      <w:r w:rsidR="00BF78E8">
        <w:tab/>
      </w:r>
    </w:p>
    <w:p w14:paraId="7009E334" w14:textId="784EF186" w:rsidR="00C65EF7" w:rsidRDefault="00BF78E8" w:rsidP="00DB09AF">
      <w:pPr>
        <w:wordWrap w:val="0"/>
        <w:ind w:left="0" w:firstLine="420"/>
      </w:pPr>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数据库中未公布小微企业所在城市和区县的具体信息，本文在后续实证中选择使用省级层面的数字普惠金融指数。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68B1F3D9" w14:textId="25E264E1" w:rsidR="00C7591A" w:rsidRDefault="00C7591A" w:rsidP="00C7591A">
      <w:pPr>
        <w:pStyle w:val="3"/>
      </w:pPr>
      <w:r>
        <w:t>3</w:t>
      </w:r>
      <w:r>
        <w:t>.</w:t>
      </w:r>
      <w:r>
        <w:rPr>
          <w:rFonts w:hint="eastAsia"/>
        </w:rPr>
        <w:t>控制变量</w:t>
      </w:r>
    </w:p>
    <w:p w14:paraId="0DE4BFF9" w14:textId="77777777" w:rsidR="00C7591A" w:rsidRDefault="00C7591A" w:rsidP="00C7591A">
      <w:pPr>
        <w:ind w:left="0" w:firstLine="420"/>
      </w:pPr>
      <w:r>
        <w:rPr>
          <w:rFonts w:hint="eastAsia"/>
        </w:rPr>
        <w:t>考虑到模型可能存在的内生性问题和问卷数据的局限性，本文参考已有文献的做法（</w:t>
      </w:r>
      <w:r w:rsidRPr="00DB09AF">
        <w:rPr>
          <w:rFonts w:hint="eastAsia"/>
        </w:rPr>
        <w:t>宋全云</w:t>
      </w:r>
      <w:r>
        <w:rPr>
          <w:rFonts w:hint="eastAsia"/>
        </w:rPr>
        <w:t>等，</w:t>
      </w:r>
      <w:r>
        <w:rPr>
          <w:rFonts w:hint="eastAsia"/>
        </w:rPr>
        <w:t>2</w:t>
      </w:r>
      <w:r>
        <w:t>019</w:t>
      </w:r>
      <w:r>
        <w:rPr>
          <w:rFonts w:hint="eastAsia"/>
        </w:rPr>
        <w:t>；</w:t>
      </w:r>
      <w:r w:rsidRPr="00DB09AF">
        <w:rPr>
          <w:rFonts w:hint="eastAsia"/>
        </w:rPr>
        <w:t>雷淳</w:t>
      </w:r>
      <w:r>
        <w:rPr>
          <w:rFonts w:hint="eastAsia"/>
        </w:rPr>
        <w:t>，</w:t>
      </w:r>
      <w:r>
        <w:rPr>
          <w:rFonts w:hint="eastAsia"/>
        </w:rPr>
        <w:t>2</w:t>
      </w:r>
      <w:r>
        <w:t>021</w:t>
      </w:r>
      <w:r>
        <w:rPr>
          <w:rFonts w:hint="eastAsia"/>
        </w:rPr>
        <w:t>；</w:t>
      </w:r>
      <w:r w:rsidRPr="00DB09AF">
        <w:rPr>
          <w:rFonts w:hint="eastAsia"/>
        </w:rPr>
        <w:t>赵绍阳</w:t>
      </w:r>
      <w:r>
        <w:rPr>
          <w:rFonts w:hint="eastAsia"/>
        </w:rPr>
        <w:t>等，</w:t>
      </w:r>
      <w:r>
        <w:rPr>
          <w:rFonts w:hint="eastAsia"/>
        </w:rPr>
        <w:t>2</w:t>
      </w:r>
      <w:r>
        <w:t>022</w:t>
      </w:r>
      <w:r>
        <w:rPr>
          <w:rFonts w:hint="eastAsia"/>
        </w:rPr>
        <w:t>），在回归模型中分</w:t>
      </w:r>
      <w:r>
        <w:rPr>
          <w:rFonts w:hint="eastAsia"/>
        </w:rPr>
        <w:lastRenderedPageBreak/>
        <w:t>别控制了微观和宏观两大层面的相关变量。在微观层面，本文控制了企业规模（</w:t>
      </w:r>
      <m:oMath>
        <m:r>
          <w:rPr>
            <w:rFonts w:ascii="Cambria Math" w:hAnsi="Cambria Math"/>
          </w:rPr>
          <m:t>S</m:t>
        </m:r>
        <m:r>
          <w:rPr>
            <w:rFonts w:ascii="Cambria Math" w:hAnsi="Cambria Math" w:hint="eastAsia"/>
          </w:rPr>
          <m:t>ize</m:t>
        </m:r>
      </m:oMath>
      <w:r>
        <w:rPr>
          <w:rFonts w:hint="eastAsia"/>
        </w:rPr>
        <w:t>）</w:t>
      </w:r>
      <w:r>
        <w:rPr>
          <w:rStyle w:val="a6"/>
        </w:rPr>
        <w:footnoteReference w:id="5"/>
      </w:r>
      <w:r>
        <w:rPr>
          <w:rFonts w:hint="eastAsia"/>
        </w:rPr>
        <w:t>、企业实际经营年份（</w:t>
      </w:r>
      <m:oMath>
        <m:r>
          <w:rPr>
            <w:rFonts w:ascii="Cambria Math" w:hAnsi="Cambria Math"/>
          </w:rPr>
          <m:t>A</m:t>
        </m:r>
        <m:r>
          <w:rPr>
            <w:rFonts w:ascii="Cambria Math" w:hAnsi="Cambria Math" w:hint="eastAsia"/>
          </w:rPr>
          <m:t>ge</m:t>
        </m:r>
      </m:oMath>
      <w:r>
        <w:rPr>
          <w:rFonts w:hint="eastAsia"/>
        </w:rPr>
        <w:t>）及其平方项（</w:t>
      </w:r>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oMath>
      <w:r>
        <w:rPr>
          <w:rFonts w:hint="eastAsia"/>
        </w:rPr>
        <w:t>）</w:t>
      </w:r>
      <w:r>
        <w:rPr>
          <w:rStyle w:val="a6"/>
        </w:rPr>
        <w:footnoteReference w:id="6"/>
      </w:r>
      <w:r>
        <w:rPr>
          <w:rFonts w:hint="eastAsia"/>
        </w:rPr>
        <w:t>、企业目前资产总额（</w:t>
      </w:r>
      <m:oMath>
        <m:r>
          <w:rPr>
            <w:rFonts w:ascii="Cambria Math" w:hAnsi="Cambria Math"/>
          </w:rPr>
          <m:t>A</m:t>
        </m:r>
        <m:r>
          <w:rPr>
            <w:rFonts w:ascii="Cambria Math" w:hAnsi="Cambria Math" w:hint="eastAsia"/>
          </w:rPr>
          <m:t>sset</m:t>
        </m:r>
      </m:oMath>
      <w:r>
        <w:rPr>
          <w:rFonts w:hint="eastAsia"/>
        </w:rPr>
        <w:t>）、企业税费负担程度（</w:t>
      </w:r>
      <m:oMath>
        <m:r>
          <w:rPr>
            <w:rFonts w:ascii="Cambria Math" w:hAnsi="Cambria Math"/>
          </w:rPr>
          <m:t>T</m:t>
        </m:r>
        <m:r>
          <w:rPr>
            <w:rFonts w:ascii="Cambria Math" w:hAnsi="Cambria Math" w:hint="eastAsia"/>
          </w:rPr>
          <m:t>ax</m:t>
        </m:r>
      </m:oMath>
      <w:r>
        <w:rPr>
          <w:rFonts w:hint="eastAsia"/>
        </w:rPr>
        <w:t>）以及企业员工总人数（</w:t>
      </w:r>
      <m:oMath>
        <m:r>
          <w:rPr>
            <w:rFonts w:ascii="Cambria Math" w:hAnsi="Cambria Math"/>
          </w:rPr>
          <m:t>E</m:t>
        </m:r>
        <m:r>
          <w:rPr>
            <w:rFonts w:ascii="Cambria Math" w:hAnsi="Cambria Math" w:hint="eastAsia"/>
          </w:rPr>
          <m:t>m</m:t>
        </m:r>
        <m:r>
          <w:rPr>
            <w:rFonts w:ascii="Cambria Math" w:hAnsi="Cambria Math"/>
          </w:rPr>
          <m:t>ployees</m:t>
        </m:r>
      </m:oMath>
      <w:r>
        <w:rPr>
          <w:rFonts w:hint="eastAsia"/>
        </w:rPr>
        <w:t>）</w:t>
      </w:r>
      <w:r>
        <w:rPr>
          <w:rStyle w:val="a6"/>
        </w:rPr>
        <w:footnoteReference w:id="7"/>
      </w:r>
      <w:r>
        <w:rPr>
          <w:rFonts w:hint="eastAsia"/>
        </w:rPr>
        <w:t>；而在宏观层面，本文控制了企业所处省份第二产业</w:t>
      </w:r>
      <w:r>
        <w:rPr>
          <w:rFonts w:hint="eastAsia"/>
        </w:rPr>
        <w:t>GDP</w:t>
      </w:r>
      <w:r>
        <w:rPr>
          <w:rFonts w:hint="eastAsia"/>
        </w:rPr>
        <w:t>占比（</w:t>
      </w:r>
      <m:oMath>
        <m:r>
          <w:rPr>
            <w:rFonts w:ascii="Cambria Math" w:hAnsi="Cambria Math"/>
          </w:rPr>
          <m:t>GDP2</m:t>
        </m:r>
      </m:oMath>
      <w:r>
        <w:rPr>
          <w:rFonts w:hint="eastAsia"/>
        </w:rPr>
        <w:t>）、企业贷款年份的存款准备金率（</w:t>
      </w:r>
      <m:oMath>
        <m:r>
          <w:rPr>
            <w:rFonts w:ascii="Cambria Math" w:hAnsi="Cambria Math" w:hint="eastAsia"/>
          </w:rPr>
          <m:t>Deposit</m:t>
        </m:r>
      </m:oMath>
      <w:r>
        <w:rPr>
          <w:rFonts w:hint="eastAsia"/>
        </w:rPr>
        <w:t>）和一年期贷款基准利率（</w:t>
      </w:r>
      <m:oMath>
        <m:r>
          <w:rPr>
            <w:rFonts w:ascii="Cambria Math" w:hAnsi="Cambria Math" w:hint="eastAsia"/>
          </w:rPr>
          <m:t>Loan</m:t>
        </m:r>
      </m:oMath>
      <w:r>
        <w:rPr>
          <w:rFonts w:hint="eastAsia"/>
        </w:rPr>
        <w:t>）以控制地区经济发展水平和我国货币政策对小微企业信贷约束的影响。</w:t>
      </w:r>
    </w:p>
    <w:p w14:paraId="07948B55" w14:textId="77777777" w:rsidR="00C7591A" w:rsidRPr="00C7591A" w:rsidRDefault="00C7591A" w:rsidP="00DB09AF">
      <w:pPr>
        <w:wordWrap w:val="0"/>
        <w:ind w:left="0" w:firstLine="420"/>
        <w:rPr>
          <w:rFonts w:hint="eastAsia"/>
        </w:rPr>
      </w:pPr>
    </w:p>
    <w:p w14:paraId="742E4A57" w14:textId="60B2ACC2" w:rsidR="0004388B" w:rsidRDefault="00C7591A" w:rsidP="00DB09AF">
      <w:pPr>
        <w:pStyle w:val="3"/>
        <w:wordWrap w:val="0"/>
      </w:pPr>
      <w:r>
        <w:t>4</w:t>
      </w:r>
      <w:r w:rsidR="0004388B">
        <w:t>.</w:t>
      </w:r>
      <w:r w:rsidR="0004388B">
        <w:rPr>
          <w:rFonts w:hint="eastAsia"/>
        </w:rPr>
        <w:t>工具变量</w:t>
      </w:r>
      <w:r w:rsidR="00F063DB">
        <w:rPr>
          <w:rFonts w:hint="eastAsia"/>
        </w:rPr>
        <w:t xml:space="preserve"> </w:t>
      </w:r>
    </w:p>
    <w:p w14:paraId="6DBCE37D" w14:textId="4DD9A8E0" w:rsidR="00CD5964" w:rsidRDefault="0017719F" w:rsidP="00CD5964">
      <w:pPr>
        <w:wordWrap w:val="0"/>
        <w:ind w:left="0" w:firstLine="420"/>
      </w:pPr>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微企业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万佳彧等，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r w:rsidR="00854E61" w:rsidRPr="00854E61">
        <w:t>Bartik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该工具变量的选取具有一定的合理性，由于数字普惠金融指数编制的数据来源是总部位于杭州的蚂蚁金服集团，因此该工具变量与数字普惠金融发展密切相关（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w:t>
      </w:r>
      <w:r w:rsidR="00A574BD">
        <w:rPr>
          <w:rFonts w:hint="eastAsia"/>
        </w:rPr>
        <w:t>等其他因素</w:t>
      </w:r>
      <w:r w:rsidR="00921202" w:rsidRPr="00921202">
        <w:rPr>
          <w:rFonts w:hint="eastAsia"/>
        </w:rPr>
        <w:t>，进而影响信贷约束</w:t>
      </w:r>
      <w:r w:rsidR="008619F9">
        <w:rPr>
          <w:rStyle w:val="a6"/>
        </w:rPr>
        <w:footnoteReference w:id="8"/>
      </w:r>
      <w:r w:rsidR="00921202">
        <w:rPr>
          <w:rFonts w:hint="eastAsia"/>
        </w:rPr>
        <w:t>。</w:t>
      </w:r>
      <w:r w:rsidR="00BE7782">
        <w:rPr>
          <w:rFonts w:hint="eastAsia"/>
        </w:rPr>
        <w:t>综上所述，本文选择</w:t>
      </w:r>
      <w:r w:rsidR="00B6049C">
        <w:rPr>
          <w:rFonts w:hint="eastAsia"/>
        </w:rPr>
        <w:t>使用省级互联网普及率</w:t>
      </w:r>
      <w:r w:rsidR="00727FE4">
        <w:rPr>
          <w:rFonts w:hint="eastAsia"/>
        </w:rPr>
        <w:t>（</w:t>
      </w:r>
      <m:oMath>
        <m:r>
          <w:rPr>
            <w:rFonts w:ascii="Cambria Math" w:hAnsi="Cambria Math" w:hint="eastAsia"/>
          </w:rPr>
          <m:t>Internet</m:t>
        </m:r>
      </m:oMath>
      <w:r w:rsidR="00727FE4">
        <w:rPr>
          <w:rFonts w:hint="eastAsia"/>
        </w:rPr>
        <w:t>）</w:t>
      </w:r>
      <w:r w:rsidR="00B6049C">
        <w:rPr>
          <w:rFonts w:hint="eastAsia"/>
        </w:rPr>
        <w:t>作为工具变量</w:t>
      </w:r>
      <w:r w:rsidR="00BE7782">
        <w:rPr>
          <w:rFonts w:hint="eastAsia"/>
        </w:rPr>
        <w:t>。除此之外，</w:t>
      </w:r>
      <w:r w:rsidR="00B6049C">
        <w:rPr>
          <w:rFonts w:hint="eastAsia"/>
        </w:rPr>
        <w:t>本文还参考</w:t>
      </w:r>
      <w:r w:rsidR="0047505D">
        <w:rPr>
          <w:rFonts w:hint="eastAsia"/>
        </w:rPr>
        <w:t>其</w:t>
      </w:r>
      <w:r w:rsidR="00B6049C">
        <w:rPr>
          <w:rFonts w:hint="eastAsia"/>
        </w:rPr>
        <w:t>做法选择了信息社会指数（</w:t>
      </w:r>
      <m:oMath>
        <m:r>
          <w:rPr>
            <w:rFonts w:ascii="Cambria Math" w:hAnsi="Cambria Math" w:hint="eastAsia"/>
          </w:rPr>
          <m:t>ISI</m:t>
        </m:r>
      </m:oMath>
      <w:r w:rsidR="00B6049C">
        <w:rPr>
          <w:rFonts w:hint="eastAsia"/>
        </w:rPr>
        <w:t>）作为工具变量。该指数来源于《</w:t>
      </w:r>
      <w:r w:rsidR="00B6049C" w:rsidRPr="00B6049C">
        <w:rPr>
          <w:rFonts w:hint="eastAsia"/>
        </w:rPr>
        <w:t>中国信息社会测评报告</w:t>
      </w:r>
      <w:r w:rsidR="00B6049C" w:rsidRPr="00B6049C">
        <w:rPr>
          <w:rFonts w:hint="eastAsia"/>
        </w:rPr>
        <w:t>2014</w:t>
      </w:r>
      <w:r w:rsidR="00B6049C">
        <w:rPr>
          <w:rFonts w:hint="eastAsia"/>
        </w:rPr>
        <w:t>》，包含知识型经济指数、网络化社会指数、数字化生活指数和服务型政府指数四个维度，综合反映了我国各省份的信息发展水平（</w:t>
      </w:r>
      <w:r w:rsidR="00B6049C" w:rsidRPr="00B6049C">
        <w:rPr>
          <w:rFonts w:hint="eastAsia"/>
        </w:rPr>
        <w:t>张新红</w:t>
      </w:r>
      <w:r w:rsidR="00B6049C">
        <w:rPr>
          <w:rFonts w:hint="eastAsia"/>
        </w:rPr>
        <w:t>等，</w:t>
      </w:r>
      <w:r w:rsidR="00B6049C">
        <w:rPr>
          <w:rFonts w:hint="eastAsia"/>
        </w:rPr>
        <w:t>2</w:t>
      </w:r>
      <w:r w:rsidR="00B6049C">
        <w:t>014</w:t>
      </w:r>
      <w:r w:rsidR="00B6049C">
        <w:rPr>
          <w:rFonts w:hint="eastAsia"/>
        </w:rPr>
        <w:t>）。</w:t>
      </w:r>
    </w:p>
    <w:p w14:paraId="6FEF7271" w14:textId="5E979AF4" w:rsidR="00C7591A" w:rsidRDefault="00C7591A" w:rsidP="00C7591A">
      <w:pPr>
        <w:pStyle w:val="3"/>
      </w:pPr>
      <w:r>
        <w:lastRenderedPageBreak/>
        <w:t>5.</w:t>
      </w:r>
      <w:r>
        <w:rPr>
          <w:rFonts w:hint="eastAsia"/>
        </w:rPr>
        <w:t>样本选择问题相关变量</w:t>
      </w:r>
    </w:p>
    <w:p w14:paraId="2FA44030" w14:textId="3663BBCF" w:rsidR="00C7591A" w:rsidRDefault="00C7591A" w:rsidP="00C7591A">
      <w:pPr>
        <w:ind w:left="0" w:firstLine="420"/>
      </w:pPr>
      <w:r>
        <w:rPr>
          <w:rFonts w:hint="eastAsia"/>
        </w:rPr>
        <w:t>本文注意到被解释变量小微企业信贷约束存在较多缺失值，可能存在样本选择问题。虽然从直觉来看，小微企业所处省份的数字普惠金融发展程度与其信贷约束是否缺失并无关系，但为了谨慎起见，本文在后续使用</w:t>
      </w:r>
      <w:r>
        <w:rPr>
          <w:rFonts w:hint="eastAsia"/>
        </w:rPr>
        <w:t>Heckman</w:t>
      </w:r>
      <w:r>
        <w:rPr>
          <w:rFonts w:hint="eastAsia"/>
        </w:rPr>
        <w:t>两阶段模型处理可能被存在的样本选择问题。所使用的相关变量为：（</w:t>
      </w:r>
      <w:r>
        <w:rPr>
          <w:rFonts w:hint="eastAsia"/>
        </w:rPr>
        <w:t>1</w:t>
      </w:r>
      <w:r>
        <w:rPr>
          <w:rFonts w:hint="eastAsia"/>
        </w:rPr>
        <w:t>）根据民间借款调整所得的被解释变量信贷约束是否缺失（</w:t>
      </w:r>
      <m:oMath>
        <m:r>
          <w:rPr>
            <w:rFonts w:ascii="Cambria Math" w:hAnsi="Cambria Math"/>
          </w:rPr>
          <m:t>Missing</m:t>
        </m:r>
      </m:oMath>
      <w:r>
        <w:rPr>
          <w:rFonts w:hint="eastAsia"/>
        </w:rPr>
        <w:t>）；（</w:t>
      </w:r>
      <w:r>
        <w:rPr>
          <w:rFonts w:hint="eastAsia"/>
        </w:rPr>
        <w:t>2</w:t>
      </w:r>
      <w:r>
        <w:rPr>
          <w:rFonts w:hint="eastAsia"/>
        </w:rPr>
        <w:t>）用于计算逆米尔斯比率的变量企业基本信息未答题数量（</w:t>
      </w:r>
      <m:oMath>
        <m:r>
          <w:rPr>
            <w:rFonts w:ascii="Cambria Math" w:hAnsi="Cambria Math"/>
          </w:rPr>
          <m:t>Unanswered</m:t>
        </m:r>
      </m:oMath>
      <w:r>
        <w:rPr>
          <w:rFonts w:hint="eastAsia"/>
        </w:rPr>
        <w:t>）和企业偿还生产经营项目欠款的经济能力（</w:t>
      </w:r>
      <m:oMath>
        <m:r>
          <w:rPr>
            <w:rFonts w:ascii="Cambria Math" w:hAnsi="Cambria Math"/>
          </w:rPr>
          <m:t>Repay</m:t>
        </m:r>
      </m:oMath>
      <w:r>
        <w:rPr>
          <w:rFonts w:hint="eastAsia"/>
        </w:rPr>
        <w:t>）</w:t>
      </w:r>
      <w:r>
        <w:rPr>
          <w:rStyle w:val="a6"/>
        </w:rPr>
        <w:footnoteReference w:id="9"/>
      </w:r>
      <w:r>
        <w:rPr>
          <w:rFonts w:hint="eastAsia"/>
        </w:rPr>
        <w:t>。</w:t>
      </w:r>
    </w:p>
    <w:p w14:paraId="6D2642B6" w14:textId="01D84066" w:rsidR="00C7591A" w:rsidRDefault="00C7591A" w:rsidP="006C22EB">
      <w:pPr>
        <w:pStyle w:val="3"/>
      </w:pPr>
      <w:r>
        <w:rPr>
          <w:rFonts w:hint="eastAsia"/>
        </w:rPr>
        <w:t>6</w:t>
      </w:r>
      <w:r>
        <w:t>.</w:t>
      </w:r>
      <w:r w:rsidR="006C22EB">
        <w:rPr>
          <w:rFonts w:hint="eastAsia"/>
        </w:rPr>
        <w:t>稳健性检验、</w:t>
      </w:r>
      <w:r>
        <w:rPr>
          <w:rFonts w:hint="eastAsia"/>
        </w:rPr>
        <w:t>机制分析和进一步分析中使用的变量</w:t>
      </w:r>
    </w:p>
    <w:p w14:paraId="602B3530" w14:textId="0C00F6AC" w:rsidR="006C22EB" w:rsidRPr="006C22EB" w:rsidRDefault="006C22EB" w:rsidP="00727FE4">
      <w:pPr>
        <w:wordWrap w:val="0"/>
        <w:ind w:left="0" w:firstLine="420"/>
        <w:rPr>
          <w:rFonts w:hint="eastAsia"/>
        </w:rPr>
      </w:pPr>
      <w:r>
        <w:rPr>
          <w:rFonts w:hint="eastAsia"/>
        </w:rPr>
        <w:t>为了保证</w:t>
      </w:r>
      <w:r w:rsidR="0007106F">
        <w:rPr>
          <w:rFonts w:hint="eastAsia"/>
        </w:rPr>
        <w:t>基准回归</w:t>
      </w:r>
      <w:r>
        <w:rPr>
          <w:rFonts w:hint="eastAsia"/>
        </w:rPr>
        <w:t>结果的稳健性，本文还使用了</w:t>
      </w:r>
      <w:r w:rsidR="00727FE4">
        <w:rPr>
          <w:rFonts w:hint="eastAsia"/>
        </w:rPr>
        <w:t>小微企业的</w:t>
      </w:r>
      <w:r w:rsidR="0007106F">
        <w:rPr>
          <w:rFonts w:hint="eastAsia"/>
        </w:rPr>
        <w:t>银行贷款</w:t>
      </w:r>
      <w:r w:rsidR="00727FE4">
        <w:rPr>
          <w:rFonts w:hint="eastAsia"/>
        </w:rPr>
        <w:t>需求</w:t>
      </w:r>
      <w:r w:rsidR="0007106F">
        <w:rPr>
          <w:rFonts w:hint="eastAsia"/>
        </w:rPr>
        <w:t>量</w:t>
      </w:r>
      <w:r w:rsidR="00727FE4">
        <w:rPr>
          <w:rFonts w:hint="eastAsia"/>
        </w:rPr>
        <w:t>（</w:t>
      </w:r>
      <m:oMath>
        <m:r>
          <w:rPr>
            <w:rFonts w:ascii="Cambria Math" w:hAnsi="Cambria Math" w:hint="eastAsia"/>
          </w:rPr>
          <m:t>Demand</m:t>
        </m:r>
      </m:oMath>
      <w:r w:rsidR="00727FE4">
        <w:rPr>
          <w:rFonts w:hint="eastAsia"/>
        </w:rPr>
        <w:t>）替换信贷约束程度</w:t>
      </w:r>
      <w:r w:rsidR="0007106F">
        <w:rPr>
          <w:rFonts w:hint="eastAsia"/>
        </w:rPr>
        <w:t>（</w:t>
      </w:r>
      <m:oMath>
        <m:r>
          <w:rPr>
            <w:rFonts w:ascii="Cambria Math" w:hAnsi="Cambria Math" w:hint="eastAsia"/>
          </w:rPr>
          <m:t>Restrict</m:t>
        </m:r>
      </m:oMath>
      <w:r w:rsidR="0007106F">
        <w:rPr>
          <w:rFonts w:hint="eastAsia"/>
        </w:rPr>
        <w:t>）作为被解释变量，使用数字普惠金融指数的一级指标覆盖广度（</w:t>
      </w:r>
      <m:oMath>
        <m:r>
          <w:rPr>
            <w:rFonts w:ascii="Cambria Math" w:hAnsi="Cambria Math" w:hint="eastAsia"/>
          </w:rPr>
          <m:t>Coverage</m:t>
        </m:r>
      </m:oMath>
      <w:r w:rsidR="0007106F">
        <w:rPr>
          <w:rFonts w:hint="eastAsia"/>
        </w:rPr>
        <w:t>）、使用深度（</w:t>
      </w:r>
      <m:oMath>
        <m:r>
          <w:rPr>
            <w:rFonts w:ascii="Cambria Math" w:hAnsi="Cambria Math"/>
          </w:rPr>
          <m:t>Dept</m:t>
        </m:r>
        <m:r>
          <w:rPr>
            <w:rFonts w:ascii="Cambria Math" w:eastAsia="MS Gothic" w:hAnsi="Cambria Math" w:cs="MS Gothic"/>
          </w:rPr>
          <m:t>h</m:t>
        </m:r>
      </m:oMath>
      <w:r w:rsidR="0007106F">
        <w:rPr>
          <w:rFonts w:hint="eastAsia"/>
        </w:rPr>
        <w:t>）和二级指标信贷业务（</w:t>
      </w:r>
      <m:oMath>
        <m:r>
          <w:rPr>
            <w:rFonts w:ascii="Cambria Math" w:hAnsi="Cambria Math" w:hint="eastAsia"/>
          </w:rPr>
          <m:t>Credit</m:t>
        </m:r>
      </m:oMath>
      <w:r w:rsidR="0007106F">
        <w:rPr>
          <w:rFonts w:hint="eastAsia"/>
        </w:rPr>
        <w:t>）替换解释变量数字普惠金融指数（</w:t>
      </w:r>
      <m:oMath>
        <m:r>
          <w:rPr>
            <w:rFonts w:ascii="Cambria Math" w:hAnsi="Cambria Math" w:hint="eastAsia"/>
          </w:rPr>
          <m:t>DFI</m:t>
        </m:r>
      </m:oMath>
      <w:r w:rsidR="0007106F">
        <w:rPr>
          <w:rFonts w:hint="eastAsia"/>
        </w:rPr>
        <w:t>）</w:t>
      </w:r>
      <w:r w:rsidR="003E4251">
        <w:rPr>
          <w:rFonts w:hint="eastAsia"/>
        </w:rPr>
        <w:t>（</w:t>
      </w:r>
      <w:r w:rsidR="003E4251" w:rsidRPr="003E4251">
        <w:rPr>
          <w:rFonts w:hint="eastAsia"/>
        </w:rPr>
        <w:t>郭沛瑶</w:t>
      </w:r>
      <w:r w:rsidR="003E4251">
        <w:rPr>
          <w:rFonts w:hint="eastAsia"/>
        </w:rPr>
        <w:t>等，</w:t>
      </w:r>
      <w:r w:rsidR="003E4251">
        <w:rPr>
          <w:rFonts w:hint="eastAsia"/>
        </w:rPr>
        <w:t>2</w:t>
      </w:r>
      <w:r w:rsidR="003E4251">
        <w:t>022</w:t>
      </w:r>
      <w:r w:rsidR="003E4251">
        <w:rPr>
          <w:rFonts w:hint="eastAsia"/>
        </w:rPr>
        <w:t>）</w:t>
      </w:r>
      <w:r w:rsidR="0007106F">
        <w:rPr>
          <w:rFonts w:hint="eastAsia"/>
        </w:rPr>
        <w:t>。而在后续的机制分析中，本文选择使用企业在</w:t>
      </w:r>
      <w:r w:rsidR="0007106F">
        <w:rPr>
          <w:rFonts w:hint="eastAsia"/>
        </w:rPr>
        <w:t>2</w:t>
      </w:r>
      <w:r w:rsidR="0007106F">
        <w:t>014</w:t>
      </w:r>
      <w:r w:rsidR="0007106F">
        <w:rPr>
          <w:rFonts w:hint="eastAsia"/>
        </w:rPr>
        <w:t>年是否存在研发与创新活动（</w:t>
      </w:r>
      <m:oMath>
        <m:r>
          <w:rPr>
            <w:rFonts w:ascii="Cambria Math" w:hAnsi="Cambria Math" w:hint="eastAsia"/>
          </w:rPr>
          <m:t>i</m:t>
        </m:r>
        <m:r>
          <w:rPr>
            <w:rFonts w:ascii="Cambria Math" w:hAnsi="Cambria Math"/>
          </w:rPr>
          <m:t>s_inno</m:t>
        </m:r>
      </m:oMath>
      <w:r w:rsidR="0007106F">
        <w:rPr>
          <w:rFonts w:hint="eastAsia"/>
        </w:rPr>
        <w:t>）、创新活动是否形成产品产出（</w:t>
      </w:r>
      <m:oMath>
        <m:r>
          <w:rPr>
            <w:rFonts w:ascii="Cambria Math" w:hAnsi="Cambria Math" w:hint="eastAsia"/>
          </w:rPr>
          <m:t>is</m:t>
        </m:r>
        <m:r>
          <w:rPr>
            <w:rFonts w:ascii="Cambria Math" w:hAnsi="Cambria Math"/>
          </w:rPr>
          <m:t>_product_inno</m:t>
        </m:r>
      </m:oMath>
      <w:r w:rsidR="0007106F">
        <w:rPr>
          <w:rFonts w:hint="eastAsia"/>
        </w:rPr>
        <w:t>）和创新活动是否形成技术或工艺产出（</w:t>
      </w:r>
      <m:oMath>
        <m:r>
          <w:rPr>
            <w:rFonts w:ascii="Cambria Math" w:hAnsi="Cambria Math" w:hint="eastAsia"/>
          </w:rPr>
          <m:t>i</m:t>
        </m:r>
        <m:r>
          <w:rPr>
            <w:rFonts w:ascii="Cambria Math" w:hAnsi="Cambria Math"/>
          </w:rPr>
          <m:t>s_tech_inno</m:t>
        </m:r>
      </m:oMath>
      <w:r w:rsidR="0007106F">
        <w:rPr>
          <w:rFonts w:hint="eastAsia"/>
        </w:rPr>
        <w:t>）作为企业创新的代理指标；使用企业的主要采购渠道是否包含互联网（</w:t>
      </w:r>
      <m:oMath>
        <m:r>
          <w:rPr>
            <w:rFonts w:ascii="Cambria Math" w:hAnsi="Cambria Math" w:hint="eastAsia"/>
          </w:rPr>
          <m:t>is</m:t>
        </m:r>
        <m:r>
          <w:rPr>
            <w:rFonts w:ascii="Cambria Math" w:hAnsi="Cambria Math"/>
          </w:rPr>
          <m:t>_buy_internet</m:t>
        </m:r>
      </m:oMath>
      <w:r w:rsidR="0007106F">
        <w:rPr>
          <w:rFonts w:hint="eastAsia"/>
        </w:rPr>
        <w:t>）、互联网采购额（</w:t>
      </w:r>
      <m:oMath>
        <m:r>
          <w:rPr>
            <w:rFonts w:ascii="Cambria Math" w:hAnsi="Cambria Math" w:hint="eastAsia"/>
          </w:rPr>
          <m:t>b</m:t>
        </m:r>
        <m:r>
          <w:rPr>
            <w:rFonts w:ascii="Cambria Math" w:hAnsi="Cambria Math"/>
          </w:rPr>
          <m:t>uy_internet_amount</m:t>
        </m:r>
      </m:oMath>
      <w:r w:rsidR="0007106F">
        <w:rPr>
          <w:rFonts w:hint="eastAsia"/>
        </w:rPr>
        <w:t>）和互联网采购</w:t>
      </w:r>
      <w:r w:rsidR="0072722E">
        <w:rPr>
          <w:rFonts w:hint="eastAsia"/>
        </w:rPr>
        <w:t>额</w:t>
      </w:r>
      <w:r w:rsidR="0007106F">
        <w:rPr>
          <w:rFonts w:hint="eastAsia"/>
        </w:rPr>
        <w:t>占总采购</w:t>
      </w:r>
      <w:r w:rsidR="0072722E">
        <w:rPr>
          <w:rFonts w:hint="eastAsia"/>
        </w:rPr>
        <w:t>额</w:t>
      </w:r>
      <w:r w:rsidR="0007106F">
        <w:rPr>
          <w:rFonts w:hint="eastAsia"/>
        </w:rPr>
        <w:t>的比例（</w:t>
      </w:r>
      <m:oMath>
        <m:r>
          <w:rPr>
            <w:rFonts w:ascii="Cambria Math" w:hAnsi="Cambria Math" w:hint="eastAsia"/>
          </w:rPr>
          <m:t>b</m:t>
        </m:r>
        <m:r>
          <w:rPr>
            <w:rFonts w:ascii="Cambria Math" w:hAnsi="Cambria Math"/>
          </w:rPr>
          <m:t>uy_internet_</m:t>
        </m:r>
        <m:r>
          <w:rPr>
            <w:rFonts w:ascii="Cambria Math" w:hAnsi="Cambria Math" w:hint="eastAsia"/>
          </w:rPr>
          <m:t>rate</m:t>
        </m:r>
      </m:oMath>
      <w:r w:rsidR="0007106F">
        <w:rPr>
          <w:rFonts w:hint="eastAsia"/>
        </w:rPr>
        <w:t>）作为企业互联网足迹的代理指标。</w:t>
      </w:r>
      <w:r w:rsidR="003E4251">
        <w:rPr>
          <w:rFonts w:hint="eastAsia"/>
        </w:rPr>
        <w:t>在进一步分析中，</w:t>
      </w:r>
      <w:r w:rsidR="00931DE7">
        <w:rPr>
          <w:rFonts w:hint="eastAsia"/>
        </w:rPr>
        <w:t>本文使用小微企业的民间借款的融资约束（</w:t>
      </w:r>
      <m:oMath>
        <m:r>
          <w:rPr>
            <w:rFonts w:ascii="Cambria Math" w:hAnsi="Cambria Math" w:hint="eastAsia"/>
          </w:rPr>
          <m:t>private</m:t>
        </m:r>
        <m:r>
          <w:rPr>
            <w:rFonts w:ascii="Cambria Math" w:hAnsi="Cambria Math"/>
          </w:rPr>
          <m:t>_restrict</m:t>
        </m:r>
      </m:oMath>
      <w:r w:rsidR="00931DE7">
        <w:rPr>
          <w:rFonts w:hint="eastAsia"/>
        </w:rPr>
        <w:t>）、</w:t>
      </w:r>
      <w:r w:rsidR="00931DE7">
        <w:rPr>
          <w:rFonts w:hint="eastAsia"/>
        </w:rPr>
        <w:t>2</w:t>
      </w:r>
      <w:r w:rsidR="00931DE7">
        <w:t>014</w:t>
      </w:r>
      <w:r w:rsidR="00931DE7">
        <w:rPr>
          <w:rFonts w:hint="eastAsia"/>
        </w:rPr>
        <w:t>年的招待费（</w:t>
      </w:r>
      <m:oMath>
        <m:r>
          <w:rPr>
            <w:rFonts w:ascii="Cambria Math" w:hAnsi="Cambria Math" w:hint="eastAsia"/>
          </w:rPr>
          <m:t>t</m:t>
        </m:r>
        <m:r>
          <w:rPr>
            <w:rFonts w:ascii="Cambria Math" w:hAnsi="Cambria Math"/>
          </w:rPr>
          <m:t>reat</m:t>
        </m:r>
      </m:oMath>
      <w:r w:rsidR="00931DE7">
        <w:rPr>
          <w:rFonts w:hint="eastAsia"/>
        </w:rPr>
        <w:t>）和</w:t>
      </w:r>
      <w:r w:rsidR="0003183F">
        <w:rPr>
          <w:rFonts w:hint="eastAsia"/>
        </w:rPr>
        <w:t>企业偏好的融资渠道</w:t>
      </w:r>
      <w:r w:rsidR="00931DE7">
        <w:rPr>
          <w:rFonts w:hint="eastAsia"/>
        </w:rPr>
        <w:t>（</w:t>
      </w:r>
      <m:oMath>
        <m:r>
          <w:rPr>
            <w:rFonts w:ascii="Cambria Math" w:hAnsi="Cambria Math" w:hint="eastAsia"/>
          </w:rPr>
          <m:t>preference</m:t>
        </m:r>
      </m:oMath>
      <w:r w:rsidR="00931DE7">
        <w:rPr>
          <w:rFonts w:hint="eastAsia"/>
        </w:rPr>
        <w:t>）</w:t>
      </w:r>
      <w:r w:rsidR="0003183F">
        <w:rPr>
          <w:rFonts w:hint="eastAsia"/>
        </w:rPr>
        <w:t>从不同角度验证了关系、融资偏好在非正规金融挤出效应中的作用。</w:t>
      </w:r>
    </w:p>
    <w:p w14:paraId="743E732D" w14:textId="77777777" w:rsidR="00B03272" w:rsidRPr="0003183F" w:rsidRDefault="00B03272" w:rsidP="006C22EB">
      <w:pPr>
        <w:ind w:left="0" w:firstLine="0"/>
        <w:rPr>
          <w:rFonts w:hint="eastAsia"/>
        </w:rPr>
      </w:pPr>
    </w:p>
    <w:p w14:paraId="1AC5F8CC" w14:textId="598E35CA" w:rsidR="00145910" w:rsidRDefault="00145910" w:rsidP="00DB09AF">
      <w:pPr>
        <w:pStyle w:val="2"/>
        <w:wordWrap w:val="0"/>
      </w:pPr>
      <w:r>
        <w:rPr>
          <w:rFonts w:hint="eastAsia"/>
        </w:rPr>
        <w:t>（三）实证模型</w:t>
      </w:r>
    </w:p>
    <w:p w14:paraId="3FB272CE" w14:textId="253C018D" w:rsidR="00F314DF" w:rsidRDefault="00F314DF" w:rsidP="00DB09AF">
      <w:pPr>
        <w:wordWrap w:val="0"/>
        <w:ind w:left="0" w:firstLine="420"/>
      </w:pPr>
      <w:r>
        <w:rPr>
          <w:rFonts w:hint="eastAsia"/>
        </w:rPr>
        <w:t>为了检验数字普惠金融是否缓解</w:t>
      </w:r>
      <w:r w:rsidR="00BE6CF6">
        <w:rPr>
          <w:rFonts w:hint="eastAsia"/>
        </w:rPr>
        <w:t>了</w:t>
      </w:r>
      <w:r>
        <w:rPr>
          <w:rFonts w:hint="eastAsia"/>
        </w:rPr>
        <w:t>小微企业的信贷约束，本文构建了如下模型：</w:t>
      </w:r>
    </w:p>
    <w:p w14:paraId="0FDAE755" w14:textId="1AC33EAE" w:rsidR="00F314DF" w:rsidRPr="00F314DF" w:rsidRDefault="00E101AF" w:rsidP="00E101AF">
      <w:pPr>
        <w:pStyle w:val="AMDisplayEquation"/>
        <w:wordWrap w:val="0"/>
        <w:jc w:val="center"/>
      </w:pPr>
      <m:oMath>
        <m:r>
          <w:rPr>
            <w:rFonts w:ascii="Cambria Math" w:hAnsi="Cambria Math"/>
          </w:rPr>
          <m:t>Restric</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DF</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 xml:space="preserve"> </m:t>
            </m:r>
          </m:sup>
          <m:e>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e>
        </m:nary>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i,b,o,f</m:t>
            </m:r>
          </m:sub>
        </m:sSub>
      </m:oMath>
      <w:r w:rsidR="0054066E">
        <w:tab/>
      </w:r>
      <w:r w:rsidR="0054066E">
        <w:fldChar w:fldCharType="begin"/>
      </w:r>
      <w:r w:rsidR="0054066E">
        <w:instrText xml:space="preserve"> MACROBUTTON AMMPlaceRM \* MERGEFORMAT </w:instrText>
      </w:r>
      <w:r w:rsidR="0054066E">
        <w:fldChar w:fldCharType="begin"/>
      </w:r>
      <w:r w:rsidR="0054066E">
        <w:instrText xml:space="preserve"> SEQ AMEqn \h \* MERGEFORMAT </w:instrText>
      </w:r>
      <w:r w:rsidR="0054066E">
        <w:fldChar w:fldCharType="end"/>
      </w:r>
      <w:r w:rsidR="0054066E">
        <w:instrText>(</w:instrText>
      </w:r>
      <w:fldSimple w:instr=" SEQ AMEqn \c \* Arabic \* MERGEFORMAT ">
        <w:r w:rsidR="0054066E">
          <w:rPr>
            <w:noProof/>
          </w:rPr>
          <w:instrText>1</w:instrText>
        </w:r>
      </w:fldSimple>
      <w:r w:rsidR="0054066E">
        <w:instrText>)</w:instrText>
      </w:r>
      <w:r w:rsidR="0054066E">
        <w:fldChar w:fldCharType="end"/>
      </w:r>
    </w:p>
    <w:p w14:paraId="6124D139" w14:textId="39F0246E" w:rsidR="00F314DF" w:rsidRDefault="00F314DF" w:rsidP="00E101AF">
      <w:pPr>
        <w:wordWrap w:val="0"/>
        <w:snapToGrid w:val="0"/>
        <w:ind w:left="0" w:firstLine="420"/>
        <w:contextualSpacing/>
      </w:pPr>
      <w:r>
        <w:rPr>
          <w:rFonts w:hint="eastAsia"/>
        </w:rPr>
        <w:t>其中，</w:t>
      </w:r>
      <m:oMath>
        <m:r>
          <w:rPr>
            <w:rFonts w:ascii="Cambria Math" w:hAnsi="Cambria Math"/>
          </w:rPr>
          <m:t>Restric</m:t>
        </m:r>
        <m:r>
          <w:rPr>
            <w:rFonts w:ascii="Cambria Math" w:hAnsi="Cambria Math" w:hint="eastAsia"/>
          </w:rPr>
          <m:t>t</m:t>
        </m:r>
      </m:oMath>
      <w:r>
        <w:rPr>
          <w:rFonts w:hint="eastAsia"/>
        </w:rPr>
        <w:t>代表小微企业的信贷约束程度，</w:t>
      </w:r>
      <m:oMath>
        <m:r>
          <w:rPr>
            <w:rFonts w:ascii="Cambria Math" w:hAnsi="Cambria Math"/>
          </w:rPr>
          <m:t>DFI</m:t>
        </m:r>
      </m:oMath>
      <w:r>
        <w:rPr>
          <w:rFonts w:hint="eastAsia"/>
        </w:rPr>
        <w:t>则代表小微企业所在省份的数字普惠金融指数</w:t>
      </w:r>
      <w:r w:rsidR="008A50CE">
        <w:rPr>
          <w:rFonts w:hint="eastAsia"/>
        </w:rPr>
        <w:t>，</w:t>
      </w:r>
      <m:oMath>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oMath>
      <w:r w:rsidR="00B03272">
        <w:rPr>
          <w:rFonts w:hint="eastAsia"/>
        </w:rPr>
        <w:t>代表模型中包含的控制变量，</w:t>
      </w:r>
      <w:r w:rsidR="008A50CE">
        <w:rPr>
          <w:rFonts w:hint="eastAsia"/>
        </w:rPr>
        <w:t>下标</w:t>
      </w:r>
      <m:oMath>
        <m:r>
          <w:rPr>
            <w:rFonts w:ascii="Cambria Math" w:hAnsi="Cambria Math" w:hint="eastAsia"/>
          </w:rPr>
          <m:t>i</m:t>
        </m:r>
      </m:oMath>
      <w:r w:rsidR="008A50CE">
        <w:rPr>
          <w:rFonts w:hint="eastAsia"/>
        </w:rPr>
        <w:t>、</w:t>
      </w:r>
      <m:oMath>
        <m:r>
          <w:rPr>
            <w:rFonts w:ascii="Cambria Math" w:hAnsi="Cambria Math" w:hint="eastAsia"/>
          </w:rPr>
          <m:t>b</m:t>
        </m:r>
      </m:oMath>
      <w:r w:rsidR="008A50CE">
        <w:rPr>
          <w:rFonts w:hint="eastAsia"/>
        </w:rPr>
        <w:t>、</w:t>
      </w:r>
      <m:oMath>
        <m:r>
          <w:rPr>
            <w:rFonts w:ascii="Cambria Math" w:hAnsi="Cambria Math" w:hint="eastAsia"/>
          </w:rPr>
          <m:t>o</m:t>
        </m:r>
      </m:oMath>
      <w:r w:rsidR="008A50CE">
        <w:rPr>
          <w:rFonts w:hint="eastAsia"/>
        </w:rPr>
        <w:t>和</w:t>
      </w:r>
      <m:oMath>
        <m:r>
          <w:rPr>
            <w:rFonts w:ascii="Cambria Math" w:hAnsi="Cambria Math" w:hint="eastAsia"/>
          </w:rPr>
          <m:t>f</m:t>
        </m:r>
      </m:oMath>
      <w:r w:rsidR="008A50CE">
        <w:rPr>
          <w:rFonts w:hint="eastAsia"/>
        </w:rPr>
        <w:t>分别代表企业主营业务所属行业、开户银行类型、所有制形式和编号</w:t>
      </w:r>
      <w:r>
        <w:rPr>
          <w:rFonts w:hint="eastAsia"/>
        </w:rPr>
        <w:t>。</w:t>
      </w:r>
      <w:r w:rsidR="00114A91">
        <w:rPr>
          <w:rFonts w:hint="eastAsia"/>
        </w:rPr>
        <w:t>此外，</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00E101AF">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b</m:t>
            </m:r>
          </m:sub>
        </m:sSub>
      </m:oMath>
      <w:r w:rsidR="00E101AF">
        <w:rPr>
          <w:rFonts w:hint="eastAsia"/>
        </w:rPr>
        <w:t>和</w:t>
      </w:r>
      <m:oMath>
        <m:sSub>
          <m:sSubPr>
            <m:ctrlPr>
              <w:rPr>
                <w:rFonts w:ascii="Cambria Math" w:hAnsi="Cambria Math"/>
              </w:rPr>
            </m:ctrlPr>
          </m:sSubPr>
          <m:e>
            <m:r>
              <w:rPr>
                <w:rFonts w:ascii="Cambria Math" w:hAnsi="Cambria Math"/>
              </w:rPr>
              <m:t>ν</m:t>
            </m:r>
          </m:e>
          <m:sub>
            <m:r>
              <w:rPr>
                <w:rFonts w:ascii="Cambria Math" w:hAnsi="Cambria Math"/>
              </w:rPr>
              <m:t>o</m:t>
            </m:r>
          </m:sub>
        </m:sSub>
      </m:oMath>
      <w:r w:rsidR="0054066E">
        <w:rPr>
          <w:rFonts w:hint="eastAsia"/>
        </w:rPr>
        <w:t>分别表示</w:t>
      </w:r>
      <w:r w:rsidR="003D346D">
        <w:rPr>
          <w:rFonts w:hint="eastAsia"/>
        </w:rPr>
        <w:t>企业的主营业务所属</w:t>
      </w:r>
      <w:r w:rsidR="0054066E">
        <w:rPr>
          <w:rFonts w:hint="eastAsia"/>
        </w:rPr>
        <w:t>行业、</w:t>
      </w:r>
      <w:r w:rsidR="003D346D">
        <w:rPr>
          <w:rFonts w:hint="eastAsia"/>
        </w:rPr>
        <w:t>开户银行以及所有制形式的固定效应。</w:t>
      </w:r>
    </w:p>
    <w:p w14:paraId="4CB26514" w14:textId="77777777" w:rsidR="006C22EB" w:rsidRDefault="006C22EB" w:rsidP="00E101AF">
      <w:pPr>
        <w:wordWrap w:val="0"/>
        <w:snapToGrid w:val="0"/>
        <w:ind w:left="0" w:firstLine="420"/>
        <w:contextualSpacing/>
        <w:rPr>
          <w:rFonts w:hint="eastAsia"/>
        </w:rPr>
      </w:pPr>
    </w:p>
    <w:p w14:paraId="1A6D7962" w14:textId="77777777" w:rsidR="006C22EB" w:rsidRPr="00CD5964" w:rsidRDefault="006C22EB" w:rsidP="006C22EB">
      <w:pPr>
        <w:pStyle w:val="af0"/>
        <w:spacing w:afterLines="50" w:after="156"/>
        <w:jc w:val="center"/>
        <w:rPr>
          <w:rFonts w:eastAsia="宋体" w:hint="eastAsia"/>
          <w:szCs w:val="21"/>
        </w:rPr>
      </w:pPr>
      <w:r w:rsidRPr="00CD5964">
        <w:rPr>
          <w:rFonts w:eastAsia="宋体" w:hint="eastAsia"/>
          <w:szCs w:val="21"/>
        </w:rPr>
        <w:t>表</w:t>
      </w:r>
      <w:r w:rsidRPr="00CD5964">
        <w:rPr>
          <w:rFonts w:eastAsia="宋体"/>
          <w:szCs w:val="21"/>
        </w:rPr>
        <w:fldChar w:fldCharType="begin"/>
      </w:r>
      <w:r w:rsidRPr="00CD5964">
        <w:rPr>
          <w:rFonts w:eastAsia="宋体"/>
          <w:szCs w:val="21"/>
        </w:rPr>
        <w:instrText xml:space="preserve"> </w:instrText>
      </w:r>
      <w:r w:rsidRPr="00CD5964">
        <w:rPr>
          <w:rFonts w:eastAsia="宋体" w:hint="eastAsia"/>
          <w:szCs w:val="21"/>
        </w:rPr>
        <w:instrText xml:space="preserve">SEQ </w:instrText>
      </w:r>
      <w:r w:rsidRPr="00CD5964">
        <w:rPr>
          <w:rFonts w:eastAsia="宋体" w:hint="eastAsia"/>
          <w:szCs w:val="21"/>
        </w:rPr>
        <w:instrText>表</w:instrText>
      </w:r>
      <w:r w:rsidRPr="00CD5964">
        <w:rPr>
          <w:rFonts w:eastAsia="宋体" w:hint="eastAsia"/>
          <w:szCs w:val="21"/>
        </w:rPr>
        <w:instrText xml:space="preserve"> \* ARABIC</w:instrText>
      </w:r>
      <w:r w:rsidRPr="00CD5964">
        <w:rPr>
          <w:rFonts w:eastAsia="宋体"/>
          <w:szCs w:val="21"/>
        </w:rPr>
        <w:instrText xml:space="preserve"> </w:instrText>
      </w:r>
      <w:r w:rsidRPr="00CD5964">
        <w:rPr>
          <w:rFonts w:eastAsia="宋体"/>
          <w:szCs w:val="21"/>
        </w:rPr>
        <w:fldChar w:fldCharType="separate"/>
      </w:r>
      <w:r w:rsidRPr="00CD5964">
        <w:rPr>
          <w:rFonts w:eastAsia="宋体"/>
          <w:noProof/>
          <w:szCs w:val="21"/>
        </w:rPr>
        <w:t>1</w:t>
      </w:r>
      <w:r w:rsidRPr="00CD5964">
        <w:rPr>
          <w:rFonts w:eastAsia="宋体"/>
          <w:szCs w:val="21"/>
        </w:rPr>
        <w:fldChar w:fldCharType="end"/>
      </w:r>
      <w:r>
        <w:rPr>
          <w:rFonts w:eastAsia="宋体" w:hint="eastAsia"/>
          <w:szCs w:val="21"/>
        </w:rPr>
        <w:t>：主要变量的描述性统计</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1054"/>
        <w:gridCol w:w="1278"/>
        <w:gridCol w:w="1128"/>
        <w:gridCol w:w="1277"/>
        <w:gridCol w:w="1277"/>
      </w:tblGrid>
      <w:tr w:rsidR="006C22EB" w:rsidRPr="006C53EB" w14:paraId="21B77C32" w14:textId="77777777" w:rsidTr="00881DAE">
        <w:trPr>
          <w:jc w:val="center"/>
        </w:trPr>
        <w:tc>
          <w:tcPr>
            <w:tcW w:w="1379" w:type="pct"/>
            <w:tcBorders>
              <w:top w:val="single" w:sz="12" w:space="0" w:color="auto"/>
              <w:bottom w:val="nil"/>
            </w:tcBorders>
          </w:tcPr>
          <w:p w14:paraId="74D65959" w14:textId="77777777" w:rsidR="006C22EB" w:rsidRPr="006C53EB" w:rsidRDefault="006C22EB" w:rsidP="00881DAE">
            <w:pPr>
              <w:ind w:left="0" w:firstLine="0"/>
              <w:jc w:val="center"/>
              <w:rPr>
                <w:rFonts w:cs="Times New Roman"/>
                <w:sz w:val="21"/>
                <w:szCs w:val="21"/>
              </w:rPr>
            </w:pPr>
          </w:p>
        </w:tc>
        <w:tc>
          <w:tcPr>
            <w:tcW w:w="634" w:type="pct"/>
            <w:tcBorders>
              <w:top w:val="single" w:sz="12" w:space="0" w:color="auto"/>
              <w:bottom w:val="nil"/>
            </w:tcBorders>
          </w:tcPr>
          <w:p w14:paraId="5E2EA6BD" w14:textId="77777777" w:rsidR="006C22EB" w:rsidRPr="006C53EB" w:rsidRDefault="006C22EB"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1</w:t>
            </w:r>
            <w:r w:rsidRPr="006C53EB">
              <w:rPr>
                <w:rFonts w:cs="Times New Roman"/>
                <w:sz w:val="21"/>
                <w:szCs w:val="21"/>
              </w:rPr>
              <w:t>）</w:t>
            </w:r>
          </w:p>
        </w:tc>
        <w:tc>
          <w:tcPr>
            <w:tcW w:w="769" w:type="pct"/>
            <w:tcBorders>
              <w:top w:val="single" w:sz="12" w:space="0" w:color="auto"/>
              <w:bottom w:val="nil"/>
            </w:tcBorders>
          </w:tcPr>
          <w:p w14:paraId="3EBF80CB" w14:textId="77777777" w:rsidR="006C22EB" w:rsidRPr="006C53EB" w:rsidRDefault="006C22EB"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2</w:t>
            </w:r>
            <w:r w:rsidRPr="006C53EB">
              <w:rPr>
                <w:rFonts w:cs="Times New Roman"/>
                <w:sz w:val="21"/>
                <w:szCs w:val="21"/>
              </w:rPr>
              <w:t>）</w:t>
            </w:r>
          </w:p>
        </w:tc>
        <w:tc>
          <w:tcPr>
            <w:tcW w:w="679" w:type="pct"/>
            <w:tcBorders>
              <w:top w:val="single" w:sz="12" w:space="0" w:color="auto"/>
              <w:bottom w:val="nil"/>
            </w:tcBorders>
          </w:tcPr>
          <w:p w14:paraId="53BCC74F" w14:textId="77777777" w:rsidR="006C22EB" w:rsidRPr="006C53EB" w:rsidRDefault="006C22EB"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3</w:t>
            </w:r>
            <w:r w:rsidRPr="006C53EB">
              <w:rPr>
                <w:rFonts w:cs="Times New Roman"/>
                <w:sz w:val="21"/>
                <w:szCs w:val="21"/>
              </w:rPr>
              <w:t>）</w:t>
            </w:r>
          </w:p>
        </w:tc>
        <w:tc>
          <w:tcPr>
            <w:tcW w:w="769" w:type="pct"/>
            <w:tcBorders>
              <w:top w:val="single" w:sz="12" w:space="0" w:color="auto"/>
              <w:bottom w:val="nil"/>
            </w:tcBorders>
          </w:tcPr>
          <w:p w14:paraId="0C36FA31" w14:textId="77777777" w:rsidR="006C22EB" w:rsidRPr="006C53EB" w:rsidRDefault="006C22EB"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4</w:t>
            </w:r>
            <w:r w:rsidRPr="006C53EB">
              <w:rPr>
                <w:rFonts w:cs="Times New Roman"/>
                <w:sz w:val="21"/>
                <w:szCs w:val="21"/>
              </w:rPr>
              <w:t>）</w:t>
            </w:r>
          </w:p>
        </w:tc>
        <w:tc>
          <w:tcPr>
            <w:tcW w:w="769" w:type="pct"/>
            <w:tcBorders>
              <w:top w:val="single" w:sz="12" w:space="0" w:color="auto"/>
              <w:bottom w:val="nil"/>
            </w:tcBorders>
          </w:tcPr>
          <w:p w14:paraId="3428F122" w14:textId="77777777" w:rsidR="006C22EB" w:rsidRPr="006C53EB" w:rsidRDefault="006C22EB"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5</w:t>
            </w:r>
            <w:r w:rsidRPr="006C53EB">
              <w:rPr>
                <w:rFonts w:cs="Times New Roman"/>
                <w:sz w:val="21"/>
                <w:szCs w:val="21"/>
              </w:rPr>
              <w:t>）</w:t>
            </w:r>
          </w:p>
        </w:tc>
      </w:tr>
      <w:tr w:rsidR="006C22EB" w:rsidRPr="006C53EB" w14:paraId="63912064" w14:textId="77777777" w:rsidTr="00881DAE">
        <w:trPr>
          <w:jc w:val="center"/>
        </w:trPr>
        <w:tc>
          <w:tcPr>
            <w:tcW w:w="1379" w:type="pct"/>
            <w:tcBorders>
              <w:top w:val="nil"/>
              <w:bottom w:val="single" w:sz="4" w:space="0" w:color="auto"/>
            </w:tcBorders>
          </w:tcPr>
          <w:p w14:paraId="172451A6" w14:textId="77777777" w:rsidR="006C22EB" w:rsidRPr="006C53EB" w:rsidRDefault="006C22EB" w:rsidP="00881DAE">
            <w:pPr>
              <w:wordWrap w:val="0"/>
              <w:ind w:left="0" w:firstLine="0"/>
              <w:jc w:val="center"/>
              <w:rPr>
                <w:rFonts w:cs="Times New Roman"/>
                <w:sz w:val="21"/>
                <w:szCs w:val="21"/>
              </w:rPr>
            </w:pPr>
          </w:p>
        </w:tc>
        <w:tc>
          <w:tcPr>
            <w:tcW w:w="634" w:type="pct"/>
            <w:tcBorders>
              <w:top w:val="nil"/>
              <w:bottom w:val="single" w:sz="4" w:space="0" w:color="auto"/>
            </w:tcBorders>
          </w:tcPr>
          <w:p w14:paraId="675D0BB8" w14:textId="77777777" w:rsidR="006C22EB" w:rsidRPr="006C53EB" w:rsidRDefault="006C22EB" w:rsidP="00881DAE">
            <w:pPr>
              <w:wordWrap w:val="0"/>
              <w:ind w:left="0" w:firstLine="0"/>
              <w:jc w:val="center"/>
              <w:rPr>
                <w:rFonts w:cs="Times New Roman"/>
                <w:sz w:val="21"/>
                <w:szCs w:val="21"/>
              </w:rPr>
            </w:pPr>
            <w:r w:rsidRPr="006C53EB">
              <w:rPr>
                <w:rFonts w:cs="Times New Roman"/>
                <w:sz w:val="21"/>
                <w:szCs w:val="21"/>
              </w:rPr>
              <w:t>N</w:t>
            </w:r>
          </w:p>
        </w:tc>
        <w:tc>
          <w:tcPr>
            <w:tcW w:w="769" w:type="pct"/>
            <w:tcBorders>
              <w:top w:val="nil"/>
              <w:bottom w:val="single" w:sz="4" w:space="0" w:color="auto"/>
            </w:tcBorders>
          </w:tcPr>
          <w:p w14:paraId="77977772" w14:textId="77777777" w:rsidR="006C22EB" w:rsidRPr="006C53EB" w:rsidRDefault="006C22EB" w:rsidP="00881DAE">
            <w:pPr>
              <w:wordWrap w:val="0"/>
              <w:ind w:left="0" w:firstLine="0"/>
              <w:jc w:val="center"/>
              <w:rPr>
                <w:rFonts w:cs="Times New Roman"/>
                <w:sz w:val="21"/>
                <w:szCs w:val="21"/>
              </w:rPr>
            </w:pPr>
            <w:r w:rsidRPr="006C53EB">
              <w:rPr>
                <w:rFonts w:cs="Times New Roman"/>
                <w:sz w:val="21"/>
                <w:szCs w:val="21"/>
              </w:rPr>
              <w:t>Mean</w:t>
            </w:r>
          </w:p>
        </w:tc>
        <w:tc>
          <w:tcPr>
            <w:tcW w:w="679" w:type="pct"/>
            <w:tcBorders>
              <w:top w:val="nil"/>
              <w:bottom w:val="single" w:sz="4" w:space="0" w:color="auto"/>
            </w:tcBorders>
          </w:tcPr>
          <w:p w14:paraId="08CE35F2" w14:textId="77777777" w:rsidR="006C22EB" w:rsidRPr="006C53EB" w:rsidRDefault="006C22EB" w:rsidP="00881DAE">
            <w:pPr>
              <w:wordWrap w:val="0"/>
              <w:ind w:left="0" w:firstLine="0"/>
              <w:jc w:val="center"/>
              <w:rPr>
                <w:rFonts w:cs="Times New Roman"/>
                <w:sz w:val="21"/>
                <w:szCs w:val="21"/>
              </w:rPr>
            </w:pPr>
            <w:r w:rsidRPr="006C53EB">
              <w:rPr>
                <w:rFonts w:cs="Times New Roman"/>
                <w:sz w:val="21"/>
                <w:szCs w:val="21"/>
              </w:rPr>
              <w:t>Std</w:t>
            </w:r>
          </w:p>
        </w:tc>
        <w:tc>
          <w:tcPr>
            <w:tcW w:w="769" w:type="pct"/>
            <w:tcBorders>
              <w:top w:val="nil"/>
              <w:bottom w:val="single" w:sz="4" w:space="0" w:color="auto"/>
            </w:tcBorders>
          </w:tcPr>
          <w:p w14:paraId="69F83D2F" w14:textId="77777777" w:rsidR="006C22EB" w:rsidRPr="006C53EB" w:rsidRDefault="006C22EB" w:rsidP="00881DAE">
            <w:pPr>
              <w:wordWrap w:val="0"/>
              <w:ind w:left="0" w:firstLine="0"/>
              <w:jc w:val="center"/>
              <w:rPr>
                <w:rFonts w:cs="Times New Roman"/>
                <w:sz w:val="21"/>
                <w:szCs w:val="21"/>
              </w:rPr>
            </w:pPr>
            <w:r w:rsidRPr="006C53EB">
              <w:rPr>
                <w:rFonts w:cs="Times New Roman"/>
                <w:sz w:val="21"/>
                <w:szCs w:val="21"/>
              </w:rPr>
              <w:t>Min</w:t>
            </w:r>
          </w:p>
        </w:tc>
        <w:tc>
          <w:tcPr>
            <w:tcW w:w="769" w:type="pct"/>
            <w:tcBorders>
              <w:top w:val="nil"/>
              <w:bottom w:val="single" w:sz="4" w:space="0" w:color="auto"/>
            </w:tcBorders>
          </w:tcPr>
          <w:p w14:paraId="73501DB8" w14:textId="77777777" w:rsidR="006C22EB" w:rsidRPr="006C53EB" w:rsidRDefault="006C22EB" w:rsidP="00881DAE">
            <w:pPr>
              <w:wordWrap w:val="0"/>
              <w:ind w:left="0" w:firstLine="0"/>
              <w:jc w:val="center"/>
              <w:rPr>
                <w:rFonts w:cs="Times New Roman"/>
                <w:sz w:val="21"/>
                <w:szCs w:val="21"/>
              </w:rPr>
            </w:pPr>
            <w:r w:rsidRPr="006C53EB">
              <w:rPr>
                <w:rFonts w:cs="Times New Roman"/>
                <w:sz w:val="21"/>
                <w:szCs w:val="21"/>
              </w:rPr>
              <w:t>Max</w:t>
            </w:r>
          </w:p>
        </w:tc>
      </w:tr>
      <w:tr w:rsidR="006C22EB" w:rsidRPr="006C53EB" w14:paraId="3CDEA80A" w14:textId="77777777" w:rsidTr="00881DAE">
        <w:trPr>
          <w:jc w:val="center"/>
        </w:trPr>
        <w:tc>
          <w:tcPr>
            <w:tcW w:w="1379" w:type="pct"/>
            <w:tcBorders>
              <w:top w:val="single" w:sz="4" w:space="0" w:color="auto"/>
            </w:tcBorders>
          </w:tcPr>
          <w:p w14:paraId="5194829B" w14:textId="77777777" w:rsidR="006C22EB" w:rsidRPr="006C53EB" w:rsidRDefault="006C22EB" w:rsidP="00881DAE">
            <w:pPr>
              <w:ind w:left="0" w:firstLine="0"/>
              <w:jc w:val="center"/>
              <w:rPr>
                <w:rFonts w:cs="Times New Roman"/>
                <w:sz w:val="21"/>
                <w:szCs w:val="21"/>
              </w:rPr>
            </w:pPr>
            <m:oMathPara>
              <m:oMath>
                <m:r>
                  <w:rPr>
                    <w:rFonts w:ascii="Cambria Math" w:hAnsi="Cambria Math" w:cs="Times New Roman"/>
                    <w:sz w:val="21"/>
                    <w:szCs w:val="21"/>
                  </w:rPr>
                  <m:t>Restrict</m:t>
                </m:r>
              </m:oMath>
            </m:oMathPara>
          </w:p>
        </w:tc>
        <w:tc>
          <w:tcPr>
            <w:tcW w:w="634" w:type="pct"/>
            <w:tcBorders>
              <w:top w:val="single" w:sz="4" w:space="0" w:color="auto"/>
            </w:tcBorders>
            <w:vAlign w:val="bottom"/>
          </w:tcPr>
          <w:p w14:paraId="49634BD3"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69" w:type="pct"/>
            <w:tcBorders>
              <w:top w:val="single" w:sz="4" w:space="0" w:color="auto"/>
            </w:tcBorders>
            <w:vAlign w:val="bottom"/>
          </w:tcPr>
          <w:p w14:paraId="0160BD7D"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0.3123</w:t>
            </w:r>
          </w:p>
        </w:tc>
        <w:tc>
          <w:tcPr>
            <w:tcW w:w="679" w:type="pct"/>
            <w:tcBorders>
              <w:top w:val="single" w:sz="4" w:space="0" w:color="auto"/>
            </w:tcBorders>
            <w:vAlign w:val="bottom"/>
          </w:tcPr>
          <w:p w14:paraId="77522419" w14:textId="77777777" w:rsidR="006C22EB" w:rsidRPr="006C53EB" w:rsidRDefault="006C22EB" w:rsidP="00881DAE">
            <w:pPr>
              <w:ind w:left="0" w:firstLine="0"/>
              <w:jc w:val="center"/>
              <w:rPr>
                <w:rFonts w:cs="Times New Roman"/>
                <w:sz w:val="21"/>
                <w:szCs w:val="21"/>
              </w:rPr>
            </w:pPr>
            <w:r w:rsidRPr="006C53EB">
              <w:rPr>
                <w:rFonts w:cs="Times New Roman"/>
                <w:color w:val="000000"/>
                <w:sz w:val="21"/>
                <w:szCs w:val="21"/>
              </w:rPr>
              <w:t>0.4321</w:t>
            </w:r>
          </w:p>
        </w:tc>
        <w:tc>
          <w:tcPr>
            <w:tcW w:w="769" w:type="pct"/>
            <w:tcBorders>
              <w:top w:val="single" w:sz="4" w:space="0" w:color="auto"/>
            </w:tcBorders>
            <w:vAlign w:val="bottom"/>
          </w:tcPr>
          <w:p w14:paraId="253FBC0F"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0.0000</w:t>
            </w:r>
          </w:p>
        </w:tc>
        <w:tc>
          <w:tcPr>
            <w:tcW w:w="769" w:type="pct"/>
            <w:tcBorders>
              <w:top w:val="single" w:sz="4" w:space="0" w:color="auto"/>
            </w:tcBorders>
            <w:vAlign w:val="bottom"/>
          </w:tcPr>
          <w:p w14:paraId="191E5CE6"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1.0000</w:t>
            </w:r>
          </w:p>
        </w:tc>
      </w:tr>
      <w:tr w:rsidR="006C22EB" w:rsidRPr="006C53EB" w14:paraId="63B45E9B" w14:textId="77777777" w:rsidTr="00881DAE">
        <w:trPr>
          <w:jc w:val="center"/>
        </w:trPr>
        <w:tc>
          <w:tcPr>
            <w:tcW w:w="1379" w:type="pct"/>
          </w:tcPr>
          <w:p w14:paraId="44E16239" w14:textId="77777777" w:rsidR="006C22EB" w:rsidRPr="006C53EB" w:rsidRDefault="006C22EB" w:rsidP="00881DAE">
            <w:pPr>
              <w:wordWrap w:val="0"/>
              <w:ind w:left="0" w:firstLine="0"/>
              <w:jc w:val="center"/>
              <w:rPr>
                <w:rFonts w:cs="Times New Roman"/>
                <w:sz w:val="21"/>
                <w:szCs w:val="21"/>
              </w:rPr>
            </w:pPr>
            <m:oMathPara>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34" w:type="pct"/>
            <w:vAlign w:val="bottom"/>
          </w:tcPr>
          <w:p w14:paraId="1581EF57"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69" w:type="pct"/>
            <w:vAlign w:val="bottom"/>
          </w:tcPr>
          <w:p w14:paraId="34C78CC9"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5.2708</w:t>
            </w:r>
          </w:p>
        </w:tc>
        <w:tc>
          <w:tcPr>
            <w:tcW w:w="679" w:type="pct"/>
            <w:vAlign w:val="bottom"/>
          </w:tcPr>
          <w:p w14:paraId="6670CCFD"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0.1299</w:t>
            </w:r>
          </w:p>
        </w:tc>
        <w:tc>
          <w:tcPr>
            <w:tcW w:w="769" w:type="pct"/>
            <w:vAlign w:val="bottom"/>
          </w:tcPr>
          <w:p w14:paraId="1074FB2D"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5.0474</w:t>
            </w:r>
          </w:p>
        </w:tc>
        <w:tc>
          <w:tcPr>
            <w:tcW w:w="769" w:type="pct"/>
            <w:vAlign w:val="bottom"/>
          </w:tcPr>
          <w:p w14:paraId="72D4AB16"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5.4828</w:t>
            </w:r>
          </w:p>
        </w:tc>
      </w:tr>
      <w:tr w:rsidR="006C22EB" w:rsidRPr="006C53EB" w14:paraId="089F8B74" w14:textId="77777777" w:rsidTr="00881DAE">
        <w:trPr>
          <w:jc w:val="center"/>
        </w:trPr>
        <w:tc>
          <w:tcPr>
            <w:tcW w:w="1379" w:type="pct"/>
          </w:tcPr>
          <w:p w14:paraId="199E44A4" w14:textId="77777777" w:rsidR="006C22EB" w:rsidRPr="006C53EB" w:rsidRDefault="006C22EB" w:rsidP="00881DAE">
            <w:pPr>
              <w:wordWrap w:val="0"/>
              <w:ind w:left="0"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34" w:type="pct"/>
            <w:vAlign w:val="bottom"/>
          </w:tcPr>
          <w:p w14:paraId="67BC035E"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69" w:type="pct"/>
            <w:vAlign w:val="bottom"/>
          </w:tcPr>
          <w:p w14:paraId="32DA2B67"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14.0961</w:t>
            </w:r>
          </w:p>
        </w:tc>
        <w:tc>
          <w:tcPr>
            <w:tcW w:w="679" w:type="pct"/>
            <w:vAlign w:val="bottom"/>
          </w:tcPr>
          <w:p w14:paraId="76BFEABA"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3.2218</w:t>
            </w:r>
          </w:p>
        </w:tc>
        <w:tc>
          <w:tcPr>
            <w:tcW w:w="769" w:type="pct"/>
            <w:vAlign w:val="bottom"/>
          </w:tcPr>
          <w:p w14:paraId="3B9CD962"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0.0000</w:t>
            </w:r>
          </w:p>
        </w:tc>
        <w:tc>
          <w:tcPr>
            <w:tcW w:w="769" w:type="pct"/>
            <w:vAlign w:val="bottom"/>
          </w:tcPr>
          <w:p w14:paraId="0B4C492A"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20.0301</w:t>
            </w:r>
          </w:p>
        </w:tc>
      </w:tr>
      <w:tr w:rsidR="006C22EB" w:rsidRPr="006C53EB" w14:paraId="75FE72C6" w14:textId="77777777" w:rsidTr="00881DAE">
        <w:trPr>
          <w:jc w:val="center"/>
        </w:trPr>
        <w:tc>
          <w:tcPr>
            <w:tcW w:w="1379" w:type="pct"/>
          </w:tcPr>
          <w:p w14:paraId="6BB5A7A5" w14:textId="77777777" w:rsidR="006C22EB" w:rsidRPr="006C53EB" w:rsidRDefault="006C22EB" w:rsidP="00881DAE">
            <w:pPr>
              <w:wordWrap w:val="0"/>
              <w:ind w:left="0"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34" w:type="pct"/>
            <w:vAlign w:val="bottom"/>
          </w:tcPr>
          <w:p w14:paraId="32ED6239"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69" w:type="pct"/>
            <w:vAlign w:val="bottom"/>
          </w:tcPr>
          <w:p w14:paraId="57DDF328"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4.3889</w:t>
            </w:r>
          </w:p>
        </w:tc>
        <w:tc>
          <w:tcPr>
            <w:tcW w:w="679" w:type="pct"/>
            <w:vAlign w:val="bottom"/>
          </w:tcPr>
          <w:p w14:paraId="78C62630"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0.8018</w:t>
            </w:r>
          </w:p>
        </w:tc>
        <w:tc>
          <w:tcPr>
            <w:tcW w:w="769" w:type="pct"/>
            <w:vAlign w:val="bottom"/>
          </w:tcPr>
          <w:p w14:paraId="64B3E56A"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2.5649</w:t>
            </w:r>
          </w:p>
        </w:tc>
        <w:tc>
          <w:tcPr>
            <w:tcW w:w="769" w:type="pct"/>
            <w:vAlign w:val="bottom"/>
          </w:tcPr>
          <w:p w14:paraId="6474F596"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6.8416</w:t>
            </w:r>
          </w:p>
        </w:tc>
      </w:tr>
      <w:tr w:rsidR="006C22EB" w:rsidRPr="006C53EB" w14:paraId="4F192210" w14:textId="77777777" w:rsidTr="00881DAE">
        <w:trPr>
          <w:jc w:val="center"/>
        </w:trPr>
        <w:tc>
          <w:tcPr>
            <w:tcW w:w="1379" w:type="pct"/>
          </w:tcPr>
          <w:p w14:paraId="3D861CBA" w14:textId="77777777" w:rsidR="006C22EB" w:rsidRPr="006C53EB" w:rsidRDefault="006C22EB" w:rsidP="00881DAE">
            <w:pPr>
              <w:wordWrap w:val="0"/>
              <w:ind w:left="0"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34" w:type="pct"/>
            <w:vAlign w:val="bottom"/>
          </w:tcPr>
          <w:p w14:paraId="5D08DCB7"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69" w:type="pct"/>
            <w:vAlign w:val="bottom"/>
          </w:tcPr>
          <w:p w14:paraId="38084DD2"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8.7432</w:t>
            </w:r>
          </w:p>
        </w:tc>
        <w:tc>
          <w:tcPr>
            <w:tcW w:w="679" w:type="pct"/>
            <w:vAlign w:val="bottom"/>
          </w:tcPr>
          <w:p w14:paraId="319E3600"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1.6319</w:t>
            </w:r>
          </w:p>
        </w:tc>
        <w:tc>
          <w:tcPr>
            <w:tcW w:w="769" w:type="pct"/>
            <w:vAlign w:val="bottom"/>
          </w:tcPr>
          <w:p w14:paraId="1D8A6722"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4.9767</w:t>
            </w:r>
          </w:p>
        </w:tc>
        <w:tc>
          <w:tcPr>
            <w:tcW w:w="769" w:type="pct"/>
            <w:vAlign w:val="bottom"/>
          </w:tcPr>
          <w:p w14:paraId="61A3419E"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13.6811</w:t>
            </w:r>
          </w:p>
        </w:tc>
      </w:tr>
      <w:tr w:rsidR="006C22EB" w:rsidRPr="006C53EB" w14:paraId="7BEB4295" w14:textId="77777777" w:rsidTr="00881DAE">
        <w:trPr>
          <w:jc w:val="center"/>
        </w:trPr>
        <w:tc>
          <w:tcPr>
            <w:tcW w:w="1379" w:type="pct"/>
          </w:tcPr>
          <w:p w14:paraId="123CAD96" w14:textId="77777777" w:rsidR="006C22EB" w:rsidRPr="006C53EB" w:rsidRDefault="006C22EB" w:rsidP="00881DAE">
            <w:pPr>
              <w:wordWrap w:val="0"/>
              <w:ind w:left="0"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34" w:type="pct"/>
            <w:vAlign w:val="bottom"/>
          </w:tcPr>
          <w:p w14:paraId="3CDC0AF1"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3026</w:t>
            </w:r>
          </w:p>
        </w:tc>
        <w:tc>
          <w:tcPr>
            <w:tcW w:w="769" w:type="pct"/>
            <w:vAlign w:val="bottom"/>
          </w:tcPr>
          <w:p w14:paraId="609C82E9"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14.5241</w:t>
            </w:r>
          </w:p>
        </w:tc>
        <w:tc>
          <w:tcPr>
            <w:tcW w:w="679" w:type="pct"/>
            <w:vAlign w:val="bottom"/>
          </w:tcPr>
          <w:p w14:paraId="6F5709CC"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2.3367</w:t>
            </w:r>
          </w:p>
        </w:tc>
        <w:tc>
          <w:tcPr>
            <w:tcW w:w="769" w:type="pct"/>
            <w:vAlign w:val="bottom"/>
          </w:tcPr>
          <w:p w14:paraId="791FB930"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0.0000</w:t>
            </w:r>
          </w:p>
        </w:tc>
        <w:tc>
          <w:tcPr>
            <w:tcW w:w="769" w:type="pct"/>
            <w:vAlign w:val="bottom"/>
          </w:tcPr>
          <w:p w14:paraId="51105DCC"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21.5117</w:t>
            </w:r>
          </w:p>
        </w:tc>
      </w:tr>
      <w:tr w:rsidR="006C22EB" w:rsidRPr="006C53EB" w14:paraId="61D012D3" w14:textId="77777777" w:rsidTr="00881DAE">
        <w:trPr>
          <w:jc w:val="center"/>
        </w:trPr>
        <w:tc>
          <w:tcPr>
            <w:tcW w:w="1379" w:type="pct"/>
          </w:tcPr>
          <w:p w14:paraId="0B66486A" w14:textId="77777777" w:rsidR="006C22EB" w:rsidRPr="006C53EB" w:rsidRDefault="006C22EB" w:rsidP="00881DAE">
            <w:pPr>
              <w:wordWrap w:val="0"/>
              <w:ind w:left="0" w:firstLine="0"/>
              <w:jc w:val="center"/>
              <w:rPr>
                <w:rFonts w:cs="Times New Roman"/>
                <w:sz w:val="21"/>
                <w:szCs w:val="21"/>
              </w:rPr>
            </w:pPr>
            <m:oMathPara>
              <m:oMath>
                <m:r>
                  <w:rPr>
                    <w:rFonts w:ascii="Cambria Math" w:hAnsi="Cambria Math" w:cs="Times New Roman"/>
                    <w:sz w:val="21"/>
                    <w:szCs w:val="21"/>
                  </w:rPr>
                  <m:t>Tax</m:t>
                </m:r>
              </m:oMath>
            </m:oMathPara>
          </w:p>
        </w:tc>
        <w:tc>
          <w:tcPr>
            <w:tcW w:w="634" w:type="pct"/>
            <w:vAlign w:val="bottom"/>
          </w:tcPr>
          <w:p w14:paraId="6DF4CEC4"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3026</w:t>
            </w:r>
          </w:p>
        </w:tc>
        <w:tc>
          <w:tcPr>
            <w:tcW w:w="769" w:type="pct"/>
            <w:vAlign w:val="bottom"/>
          </w:tcPr>
          <w:p w14:paraId="63AD213F"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3.1646</w:t>
            </w:r>
          </w:p>
        </w:tc>
        <w:tc>
          <w:tcPr>
            <w:tcW w:w="679" w:type="pct"/>
            <w:vAlign w:val="bottom"/>
          </w:tcPr>
          <w:p w14:paraId="03E16B65"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1.1261</w:t>
            </w:r>
          </w:p>
        </w:tc>
        <w:tc>
          <w:tcPr>
            <w:tcW w:w="769" w:type="pct"/>
            <w:vAlign w:val="bottom"/>
          </w:tcPr>
          <w:p w14:paraId="79E1BEAE"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1.0000</w:t>
            </w:r>
          </w:p>
        </w:tc>
        <w:tc>
          <w:tcPr>
            <w:tcW w:w="769" w:type="pct"/>
            <w:vAlign w:val="bottom"/>
          </w:tcPr>
          <w:p w14:paraId="645D13DE"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5.0000</w:t>
            </w:r>
          </w:p>
        </w:tc>
      </w:tr>
      <w:tr w:rsidR="006C22EB" w:rsidRPr="006C53EB" w14:paraId="7AFA5A36" w14:textId="77777777" w:rsidTr="00881DAE">
        <w:trPr>
          <w:jc w:val="center"/>
        </w:trPr>
        <w:tc>
          <w:tcPr>
            <w:tcW w:w="1379" w:type="pct"/>
          </w:tcPr>
          <w:p w14:paraId="066F0711" w14:textId="77777777" w:rsidR="006C22EB" w:rsidRPr="006C53EB" w:rsidRDefault="006C22EB" w:rsidP="00881DAE">
            <w:pPr>
              <w:wordWrap w:val="0"/>
              <w:ind w:left="0"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34" w:type="pct"/>
            <w:vAlign w:val="bottom"/>
          </w:tcPr>
          <w:p w14:paraId="6C6EC58E"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69" w:type="pct"/>
            <w:vAlign w:val="bottom"/>
          </w:tcPr>
          <w:p w14:paraId="709DC322"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2.9883</w:t>
            </w:r>
          </w:p>
        </w:tc>
        <w:tc>
          <w:tcPr>
            <w:tcW w:w="679" w:type="pct"/>
            <w:vAlign w:val="bottom"/>
          </w:tcPr>
          <w:p w14:paraId="6F53D494"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1.4972</w:t>
            </w:r>
          </w:p>
        </w:tc>
        <w:tc>
          <w:tcPr>
            <w:tcW w:w="769" w:type="pct"/>
            <w:vAlign w:val="bottom"/>
          </w:tcPr>
          <w:p w14:paraId="7E0F1AE3"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0.0000</w:t>
            </w:r>
          </w:p>
        </w:tc>
        <w:tc>
          <w:tcPr>
            <w:tcW w:w="769" w:type="pct"/>
            <w:vAlign w:val="bottom"/>
          </w:tcPr>
          <w:p w14:paraId="248770AD"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15.0683</w:t>
            </w:r>
          </w:p>
        </w:tc>
      </w:tr>
      <w:tr w:rsidR="006C22EB" w:rsidRPr="006C53EB" w14:paraId="6F44F6A1" w14:textId="77777777" w:rsidTr="00881DAE">
        <w:trPr>
          <w:jc w:val="center"/>
        </w:trPr>
        <w:tc>
          <w:tcPr>
            <w:tcW w:w="1379" w:type="pct"/>
          </w:tcPr>
          <w:p w14:paraId="7163C0C0" w14:textId="77777777" w:rsidR="006C22EB" w:rsidRPr="006C53EB" w:rsidRDefault="006C22EB" w:rsidP="00881DAE">
            <w:pPr>
              <w:wordWrap w:val="0"/>
              <w:ind w:left="0" w:firstLine="0"/>
              <w:jc w:val="center"/>
              <w:rPr>
                <w:rFonts w:cs="Times New Roman"/>
                <w:sz w:val="21"/>
                <w:szCs w:val="21"/>
              </w:rPr>
            </w:pPr>
            <m:oMathPara>
              <m:oMath>
                <m:r>
                  <w:rPr>
                    <w:rFonts w:ascii="Cambria Math" w:hAnsi="Cambria Math" w:cs="Times New Roman"/>
                    <w:sz w:val="21"/>
                    <w:szCs w:val="21"/>
                  </w:rPr>
                  <m:t>GDP2</m:t>
                </m:r>
              </m:oMath>
            </m:oMathPara>
          </w:p>
        </w:tc>
        <w:tc>
          <w:tcPr>
            <w:tcW w:w="634" w:type="pct"/>
            <w:vAlign w:val="bottom"/>
          </w:tcPr>
          <w:p w14:paraId="1AE67EC3"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69" w:type="pct"/>
            <w:vAlign w:val="bottom"/>
          </w:tcPr>
          <w:p w14:paraId="1799BFCE"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44.6087</w:t>
            </w:r>
          </w:p>
        </w:tc>
        <w:tc>
          <w:tcPr>
            <w:tcW w:w="679" w:type="pct"/>
            <w:vAlign w:val="bottom"/>
          </w:tcPr>
          <w:p w14:paraId="006007D3"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7.5916</w:t>
            </w:r>
          </w:p>
        </w:tc>
        <w:tc>
          <w:tcPr>
            <w:tcW w:w="769" w:type="pct"/>
            <w:vAlign w:val="bottom"/>
          </w:tcPr>
          <w:p w14:paraId="7F18CFCA"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21.3063</w:t>
            </w:r>
          </w:p>
        </w:tc>
        <w:tc>
          <w:tcPr>
            <w:tcW w:w="769" w:type="pct"/>
            <w:vAlign w:val="bottom"/>
          </w:tcPr>
          <w:p w14:paraId="75E863AE"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54.1395</w:t>
            </w:r>
          </w:p>
        </w:tc>
      </w:tr>
      <w:tr w:rsidR="006C22EB" w:rsidRPr="006C53EB" w14:paraId="53216D89" w14:textId="77777777" w:rsidTr="00881DAE">
        <w:trPr>
          <w:jc w:val="center"/>
        </w:trPr>
        <w:tc>
          <w:tcPr>
            <w:tcW w:w="1379" w:type="pct"/>
          </w:tcPr>
          <w:p w14:paraId="43B67866" w14:textId="77777777" w:rsidR="006C22EB" w:rsidRPr="006C53EB" w:rsidRDefault="006C22EB" w:rsidP="00881DAE">
            <w:pPr>
              <w:wordWrap w:val="0"/>
              <w:ind w:left="0" w:firstLine="0"/>
              <w:jc w:val="center"/>
              <w:rPr>
                <w:rFonts w:cs="Times New Roman"/>
                <w:sz w:val="21"/>
                <w:szCs w:val="21"/>
              </w:rPr>
            </w:pPr>
            <m:oMathPara>
              <m:oMath>
                <m:r>
                  <w:rPr>
                    <w:rFonts w:ascii="Cambria Math" w:hAnsi="Cambria Math" w:cs="Times New Roman"/>
                    <w:sz w:val="21"/>
                    <w:szCs w:val="21"/>
                  </w:rPr>
                  <m:t>Deposit</m:t>
                </m:r>
              </m:oMath>
            </m:oMathPara>
          </w:p>
        </w:tc>
        <w:tc>
          <w:tcPr>
            <w:tcW w:w="634" w:type="pct"/>
            <w:vAlign w:val="bottom"/>
          </w:tcPr>
          <w:p w14:paraId="4A35A8E9"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69" w:type="pct"/>
            <w:vAlign w:val="bottom"/>
          </w:tcPr>
          <w:p w14:paraId="079DD3E8"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1.6357</w:t>
            </w:r>
          </w:p>
        </w:tc>
        <w:tc>
          <w:tcPr>
            <w:tcW w:w="679" w:type="pct"/>
            <w:vAlign w:val="bottom"/>
          </w:tcPr>
          <w:p w14:paraId="4CD715EA"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0.2208</w:t>
            </w:r>
          </w:p>
        </w:tc>
        <w:tc>
          <w:tcPr>
            <w:tcW w:w="769" w:type="pct"/>
            <w:vAlign w:val="bottom"/>
          </w:tcPr>
          <w:p w14:paraId="72709968"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1.6200</w:t>
            </w:r>
          </w:p>
        </w:tc>
        <w:tc>
          <w:tcPr>
            <w:tcW w:w="769" w:type="pct"/>
            <w:vAlign w:val="bottom"/>
          </w:tcPr>
          <w:p w14:paraId="64BA1E18"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9.1800</w:t>
            </w:r>
          </w:p>
        </w:tc>
      </w:tr>
      <w:tr w:rsidR="006C22EB" w:rsidRPr="006C53EB" w14:paraId="3DA5B49B" w14:textId="77777777" w:rsidTr="00881DAE">
        <w:trPr>
          <w:jc w:val="center"/>
        </w:trPr>
        <w:tc>
          <w:tcPr>
            <w:tcW w:w="1379" w:type="pct"/>
          </w:tcPr>
          <w:p w14:paraId="44741369" w14:textId="77777777" w:rsidR="006C22EB" w:rsidRPr="006C53EB" w:rsidRDefault="006C22EB" w:rsidP="00881DAE">
            <w:pPr>
              <w:wordWrap w:val="0"/>
              <w:ind w:left="0" w:firstLine="0"/>
              <w:jc w:val="center"/>
              <w:rPr>
                <w:rFonts w:cs="Times New Roman"/>
                <w:sz w:val="21"/>
                <w:szCs w:val="21"/>
              </w:rPr>
            </w:pPr>
            <m:oMathPara>
              <m:oMath>
                <m:r>
                  <w:rPr>
                    <w:rFonts w:ascii="Cambria Math" w:hAnsi="Cambria Math" w:cs="Times New Roman"/>
                    <w:sz w:val="21"/>
                    <w:szCs w:val="21"/>
                  </w:rPr>
                  <m:t>Loan</m:t>
                </m:r>
              </m:oMath>
            </m:oMathPara>
          </w:p>
        </w:tc>
        <w:tc>
          <w:tcPr>
            <w:tcW w:w="634" w:type="pct"/>
            <w:vAlign w:val="bottom"/>
          </w:tcPr>
          <w:p w14:paraId="3419798A"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69" w:type="pct"/>
            <w:vAlign w:val="bottom"/>
          </w:tcPr>
          <w:p w14:paraId="5058672B"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3.8262</w:t>
            </w:r>
          </w:p>
        </w:tc>
        <w:tc>
          <w:tcPr>
            <w:tcW w:w="679" w:type="pct"/>
            <w:vAlign w:val="bottom"/>
          </w:tcPr>
          <w:p w14:paraId="6A7AB3C3"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0.2479</w:t>
            </w:r>
          </w:p>
        </w:tc>
        <w:tc>
          <w:tcPr>
            <w:tcW w:w="769" w:type="pct"/>
            <w:vAlign w:val="bottom"/>
          </w:tcPr>
          <w:p w14:paraId="004F2333"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3.2400</w:t>
            </w:r>
          </w:p>
        </w:tc>
        <w:tc>
          <w:tcPr>
            <w:tcW w:w="769" w:type="pct"/>
            <w:vAlign w:val="bottom"/>
          </w:tcPr>
          <w:p w14:paraId="77060975"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11.0261</w:t>
            </w:r>
          </w:p>
        </w:tc>
      </w:tr>
    </w:tbl>
    <w:p w14:paraId="1A944860" w14:textId="72DC974A" w:rsidR="006C53EB" w:rsidRPr="006C22EB" w:rsidRDefault="006C22EB" w:rsidP="006C22EB">
      <w:pPr>
        <w:wordWrap w:val="0"/>
        <w:spacing w:beforeLines="50" w:before="156"/>
        <w:ind w:firstLine="0"/>
        <w:rPr>
          <w:rFonts w:cstheme="majorBidi" w:hint="eastAsia"/>
          <w:sz w:val="21"/>
          <w:szCs w:val="21"/>
        </w:rPr>
      </w:pPr>
      <w:r w:rsidRPr="00F71507">
        <w:rPr>
          <w:rFonts w:cstheme="majorBidi" w:hint="eastAsia"/>
          <w:sz w:val="21"/>
          <w:szCs w:val="21"/>
        </w:rPr>
        <w:t>数据来源：</w:t>
      </w:r>
      <w:r w:rsidRPr="00F71507">
        <w:rPr>
          <w:rFonts w:cstheme="majorBidi" w:hint="eastAsia"/>
          <w:sz w:val="21"/>
          <w:szCs w:val="21"/>
        </w:rPr>
        <w:t>CMES</w:t>
      </w:r>
      <w:r w:rsidRPr="00F71507">
        <w:rPr>
          <w:rFonts w:cstheme="majorBidi" w:hint="eastAsia"/>
          <w:sz w:val="21"/>
          <w:szCs w:val="21"/>
        </w:rPr>
        <w:t>和</w:t>
      </w:r>
      <w:r w:rsidRPr="00F71507">
        <w:rPr>
          <w:rFonts w:cstheme="majorBidi" w:hint="eastAsia"/>
          <w:sz w:val="21"/>
          <w:szCs w:val="21"/>
        </w:rPr>
        <w:t>CSMAR</w:t>
      </w:r>
      <w:r w:rsidRPr="00F71507">
        <w:rPr>
          <w:rFonts w:cstheme="majorBidi" w:hint="eastAsia"/>
          <w:sz w:val="21"/>
          <w:szCs w:val="21"/>
        </w:rPr>
        <w:t>数据库</w:t>
      </w:r>
    </w:p>
    <w:p w14:paraId="11C0A29C" w14:textId="1E02A052" w:rsidR="00CD5964" w:rsidRDefault="00145910" w:rsidP="00775BD1">
      <w:pPr>
        <w:pStyle w:val="1"/>
        <w:wordWrap w:val="0"/>
        <w:rPr>
          <w:rFonts w:hint="eastAsia"/>
        </w:rPr>
      </w:pPr>
      <w:r>
        <w:rPr>
          <w:rFonts w:hint="eastAsia"/>
        </w:rPr>
        <w:t>四、实证结果分析</w:t>
      </w:r>
    </w:p>
    <w:p w14:paraId="53835270" w14:textId="0D64B21E" w:rsidR="00B42AC1" w:rsidRDefault="00B42AC1" w:rsidP="00DB09AF">
      <w:pPr>
        <w:pStyle w:val="2"/>
        <w:wordWrap w:val="0"/>
      </w:pPr>
      <w:r>
        <w:rPr>
          <w:rFonts w:hint="eastAsia"/>
        </w:rPr>
        <w:t>（</w:t>
      </w:r>
      <w:r w:rsidR="00775BD1">
        <w:rPr>
          <w:rFonts w:hint="eastAsia"/>
        </w:rPr>
        <w:t>一</w:t>
      </w:r>
      <w:r>
        <w:rPr>
          <w:rFonts w:hint="eastAsia"/>
        </w:rPr>
        <w:t>）相关性分析</w:t>
      </w:r>
    </w:p>
    <w:p w14:paraId="446FE947" w14:textId="7DB58E4E" w:rsidR="00141868" w:rsidRDefault="00141868" w:rsidP="00DB09AF">
      <w:pPr>
        <w:pStyle w:val="2"/>
        <w:wordWrap w:val="0"/>
      </w:pPr>
      <w:r>
        <w:rPr>
          <w:rFonts w:hint="eastAsia"/>
        </w:rPr>
        <w:t>（</w:t>
      </w:r>
      <w:r w:rsidR="00775BD1">
        <w:rPr>
          <w:rFonts w:hint="eastAsia"/>
        </w:rPr>
        <w:t>二</w:t>
      </w:r>
      <w:r>
        <w:rPr>
          <w:rFonts w:hint="eastAsia"/>
        </w:rPr>
        <w:t>）基准回归</w:t>
      </w:r>
    </w:p>
    <w:p w14:paraId="6A37B79B" w14:textId="4B92D5F4" w:rsidR="003A76DC" w:rsidRDefault="003A76DC" w:rsidP="00DB09AF">
      <w:pPr>
        <w:pStyle w:val="1"/>
        <w:wordWrap w:val="0"/>
      </w:pPr>
      <w:r>
        <w:rPr>
          <w:rFonts w:hint="eastAsia"/>
        </w:rPr>
        <w:t>五</w:t>
      </w:r>
      <w:r w:rsidR="006F2948">
        <w:rPr>
          <w:rFonts w:hint="eastAsia"/>
        </w:rPr>
        <w:t>、稳健性检验</w:t>
      </w:r>
    </w:p>
    <w:p w14:paraId="7D417DDB" w14:textId="6D1C76FC" w:rsidR="006F2948" w:rsidRDefault="006F2948" w:rsidP="00DB09AF">
      <w:pPr>
        <w:pStyle w:val="1"/>
        <w:wordWrap w:val="0"/>
      </w:pPr>
      <w:r>
        <w:rPr>
          <w:rFonts w:hint="eastAsia"/>
        </w:rPr>
        <w:t>六、机制分析</w:t>
      </w:r>
    </w:p>
    <w:p w14:paraId="3C79464A" w14:textId="4E37B46B" w:rsidR="006F2948" w:rsidRPr="003A76DC" w:rsidRDefault="006F2948" w:rsidP="00DB09AF">
      <w:pPr>
        <w:pStyle w:val="1"/>
        <w:wordWrap w:val="0"/>
      </w:pPr>
      <w:r>
        <w:rPr>
          <w:rFonts w:hint="eastAsia"/>
        </w:rPr>
        <w:t>七、进一步分析</w:t>
      </w:r>
    </w:p>
    <w:p w14:paraId="5A3F623E" w14:textId="55E28665" w:rsidR="006F4BD0" w:rsidRDefault="006F2948" w:rsidP="00DB09AF">
      <w:pPr>
        <w:pStyle w:val="1"/>
        <w:wordWrap w:val="0"/>
      </w:pPr>
      <w:r>
        <w:rPr>
          <w:rFonts w:hint="eastAsia"/>
        </w:rPr>
        <w:t>八</w:t>
      </w:r>
      <w:r w:rsidR="000C17C5">
        <w:rPr>
          <w:rFonts w:hint="eastAsia"/>
        </w:rPr>
        <w:t>、结论</w:t>
      </w:r>
    </w:p>
    <w:p w14:paraId="023C94B5" w14:textId="77777777" w:rsidR="006F4BD0" w:rsidRDefault="006F4BD0" w:rsidP="00DB09AF">
      <w:pPr>
        <w:wordWrap w:val="0"/>
      </w:pPr>
    </w:p>
    <w:p w14:paraId="4B1208D2" w14:textId="77777777" w:rsidR="006F4BD0" w:rsidRDefault="006F4BD0" w:rsidP="00DB09AF">
      <w:pPr>
        <w:wordWrap w:val="0"/>
      </w:pPr>
    </w:p>
    <w:p w14:paraId="46F4DAD5" w14:textId="77777777" w:rsidR="006F4BD0" w:rsidRDefault="006F4BD0" w:rsidP="00DB09AF">
      <w:pPr>
        <w:wordWrap w:val="0"/>
      </w:pPr>
    </w:p>
    <w:p w14:paraId="426B9E22" w14:textId="77777777" w:rsidR="006F4BD0" w:rsidRDefault="006F4BD0" w:rsidP="00DB09AF">
      <w:pPr>
        <w:wordWrap w:val="0"/>
      </w:pPr>
    </w:p>
    <w:p w14:paraId="186A8D4D" w14:textId="7899D2CE" w:rsidR="006F4BD0" w:rsidRPr="00D958A8" w:rsidRDefault="006F4BD0" w:rsidP="00DB09AF">
      <w:pPr>
        <w:wordWrap w:val="0"/>
        <w:ind w:firstLine="0"/>
        <w:rPr>
          <w:b/>
          <w:bCs/>
        </w:rPr>
      </w:pPr>
      <w:r w:rsidRPr="00D958A8">
        <w:rPr>
          <w:rFonts w:hint="eastAsia"/>
          <w:b/>
          <w:bCs/>
        </w:rPr>
        <w:t>参考文献</w:t>
      </w:r>
      <w:r w:rsidR="008B1104">
        <w:rPr>
          <w:rFonts w:hint="eastAsia"/>
          <w:b/>
          <w:bCs/>
        </w:rPr>
        <w:t>：</w:t>
      </w:r>
    </w:p>
    <w:p w14:paraId="4A15F5EC" w14:textId="77777777" w:rsidR="005C4BC0" w:rsidRDefault="005C4BC0" w:rsidP="00DB09AF">
      <w:pPr>
        <w:pStyle w:val="Reference"/>
        <w:wordWrap w:val="0"/>
      </w:pPr>
    </w:p>
    <w:p w14:paraId="17098F3E" w14:textId="37015B3D" w:rsidR="008B1104" w:rsidRDefault="00BE010B" w:rsidP="00DB09AF">
      <w:pPr>
        <w:pStyle w:val="Reference"/>
        <w:wordWrap w:val="0"/>
      </w:pPr>
      <w:r w:rsidRPr="00BE010B">
        <w:rPr>
          <w:rFonts w:hint="eastAsia"/>
        </w:rPr>
        <w:t>甘犁</w:t>
      </w:r>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小微企业增值税起征点提高实施效果评估——来自中国小微企业调查（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,2019,35(11):80-88+231-232.DOI:10.19744/j.cnki.11-1235/f.2019.0149.</w:t>
      </w:r>
    </w:p>
    <w:p w14:paraId="63B95AED" w14:textId="2F9C31A7" w:rsidR="00E60F0A" w:rsidRDefault="00E60F0A" w:rsidP="00DB09AF">
      <w:pPr>
        <w:pStyle w:val="Reference"/>
        <w:wordWrap w:val="0"/>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),2020,19(04):1401-1418.DOI:10.13821/j.cnki.ceq.2020.03.12.</w:t>
      </w:r>
    </w:p>
    <w:p w14:paraId="3A03E6F9" w14:textId="36D1210A" w:rsidR="00591437" w:rsidRDefault="00591437" w:rsidP="00DB09AF">
      <w:pPr>
        <w:pStyle w:val="Reference"/>
        <w:wordWrap w:val="0"/>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金融知识与小微企业创新意识、创新活力——基于中国小微企业调查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DB09AF">
      <w:pPr>
        <w:pStyle w:val="Reference"/>
        <w:wordWrap w:val="0"/>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),2022,22(01):303-322.DOI:10.13821/j.cnki.ceq.2022.01.15</w:t>
      </w:r>
    </w:p>
    <w:p w14:paraId="6B9E88E6" w14:textId="33AD6B98" w:rsidR="00187F3D" w:rsidRDefault="00187F3D" w:rsidP="00DB09AF">
      <w:pPr>
        <w:pStyle w:val="Reference"/>
        <w:wordWrap w:val="0"/>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DB09AF">
      <w:pPr>
        <w:pStyle w:val="Reference"/>
        <w:wordWrap w:val="0"/>
      </w:pPr>
      <w:r w:rsidRPr="00DA09E2">
        <w:rPr>
          <w:rFonts w:hint="eastAsia"/>
        </w:rPr>
        <w:lastRenderedPageBreak/>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),2018,17(04):1557-1580.DOI:10.13821/j.cnki.ceq.2018.03.12.</w:t>
      </w:r>
    </w:p>
    <w:p w14:paraId="71C39E0B" w14:textId="701C2D91" w:rsidR="001C5180" w:rsidRDefault="001C5180" w:rsidP="00DB09AF">
      <w:pPr>
        <w:pStyle w:val="Reference"/>
        <w:wordWrap w:val="0"/>
      </w:pPr>
      <w:r w:rsidRPr="001C5180">
        <w:rPr>
          <w:rFonts w:hint="eastAsia"/>
        </w:rPr>
        <w:t>邱晗</w:t>
      </w:r>
      <w:r w:rsidRPr="001C5180">
        <w:rPr>
          <w:rFonts w:hint="eastAsia"/>
        </w:rPr>
        <w:t>,</w:t>
      </w:r>
      <w:r w:rsidRPr="001C5180">
        <w:rPr>
          <w:rFonts w:hint="eastAsia"/>
        </w:rPr>
        <w:t>黄益平</w:t>
      </w:r>
      <w:r w:rsidRPr="001C5180">
        <w:rPr>
          <w:rFonts w:hint="eastAsia"/>
        </w:rPr>
        <w:t>,</w:t>
      </w:r>
      <w:r w:rsidRPr="001C5180">
        <w:rPr>
          <w:rFonts w:hint="eastAsia"/>
        </w:rPr>
        <w:t>纪洋</w:t>
      </w:r>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DB09AF">
      <w:pPr>
        <w:pStyle w:val="Reference"/>
        <w:wordWrap w:val="0"/>
      </w:pPr>
      <w:r w:rsidRPr="001C5180">
        <w:rPr>
          <w:rFonts w:hint="eastAsia"/>
        </w:rPr>
        <w:t>唐松</w:t>
      </w:r>
      <w:r w:rsidRPr="001C5180">
        <w:rPr>
          <w:rFonts w:hint="eastAsia"/>
        </w:rPr>
        <w:t>,</w:t>
      </w:r>
      <w:r w:rsidRPr="001C5180">
        <w:rPr>
          <w:rFonts w:hint="eastAsia"/>
        </w:rPr>
        <w:t>伍旭川</w:t>
      </w:r>
      <w:r w:rsidRPr="001C5180">
        <w:rPr>
          <w:rFonts w:hint="eastAsia"/>
        </w:rPr>
        <w:t>,</w:t>
      </w:r>
      <w:r w:rsidRPr="001C5180">
        <w:rPr>
          <w:rFonts w:hint="eastAsia"/>
        </w:rPr>
        <w:t>祝佳</w:t>
      </w:r>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DB09AF">
      <w:pPr>
        <w:pStyle w:val="Reference"/>
        <w:wordWrap w:val="0"/>
      </w:pPr>
      <w:r w:rsidRPr="001C5180">
        <w:rPr>
          <w:rFonts w:hint="eastAsia"/>
        </w:rPr>
        <w:t>万佳彧</w:t>
      </w:r>
      <w:r w:rsidRPr="001C5180">
        <w:rPr>
          <w:rFonts w:hint="eastAsia"/>
        </w:rPr>
        <w:t>,</w:t>
      </w:r>
      <w:r w:rsidRPr="001C5180">
        <w:rPr>
          <w:rFonts w:hint="eastAsia"/>
        </w:rPr>
        <w:t>周勤</w:t>
      </w:r>
      <w:r w:rsidRPr="001C5180">
        <w:rPr>
          <w:rFonts w:hint="eastAsia"/>
        </w:rPr>
        <w:t>,</w:t>
      </w:r>
      <w:r w:rsidRPr="001C5180">
        <w:rPr>
          <w:rFonts w:hint="eastAsia"/>
        </w:rPr>
        <w:t>肖义</w:t>
      </w:r>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DB09AF">
      <w:pPr>
        <w:pStyle w:val="Reference"/>
        <w:wordWrap w:val="0"/>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DB09AF">
      <w:pPr>
        <w:pStyle w:val="Reference"/>
        <w:wordWrap w:val="0"/>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DB09AF">
      <w:pPr>
        <w:pStyle w:val="Reference"/>
        <w:wordWrap w:val="0"/>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小微企业自主创新驱动力——基于数字普惠金融视角的证据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DB09AF">
      <w:pPr>
        <w:pStyle w:val="Reference"/>
        <w:wordWrap w:val="0"/>
      </w:pPr>
      <w:r w:rsidRPr="00250388">
        <w:rPr>
          <w:rFonts w:hint="eastAsia"/>
        </w:rPr>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,2017(08):75-85.DOI:10.16475/j.cnki.1006-1029.2017.08.008.</w:t>
      </w:r>
    </w:p>
    <w:p w14:paraId="0465D561" w14:textId="553334AD" w:rsidR="00B6049C" w:rsidRDefault="00B6049C" w:rsidP="00DB09AF">
      <w:pPr>
        <w:pStyle w:val="Reference"/>
        <w:wordWrap w:val="0"/>
      </w:pPr>
      <w:r w:rsidRPr="00B6049C">
        <w:rPr>
          <w:rFonts w:hint="eastAsia"/>
        </w:rPr>
        <w:t>"</w:t>
      </w:r>
      <w:r w:rsidRPr="00B6049C">
        <w:rPr>
          <w:rFonts w:hint="eastAsia"/>
        </w:rPr>
        <w:t>中国信息社会测评研究</w:t>
      </w:r>
      <w:r w:rsidRPr="00B6049C">
        <w:rPr>
          <w:rFonts w:hint="eastAsia"/>
        </w:rPr>
        <w:t>"</w:t>
      </w:r>
      <w:r w:rsidRPr="00B6049C">
        <w:rPr>
          <w:rFonts w:hint="eastAsia"/>
        </w:rPr>
        <w:t>课题组</w:t>
      </w:r>
      <w:r w:rsidRPr="00B6049C">
        <w:rPr>
          <w:rFonts w:hint="eastAsia"/>
        </w:rPr>
        <w:t>,</w:t>
      </w:r>
      <w:r w:rsidRPr="00B6049C">
        <w:rPr>
          <w:rFonts w:hint="eastAsia"/>
        </w:rPr>
        <w:t>张新红</w:t>
      </w:r>
      <w:r w:rsidRPr="00B6049C">
        <w:rPr>
          <w:rFonts w:hint="eastAsia"/>
        </w:rPr>
        <w:t>.</w:t>
      </w:r>
      <w:r w:rsidRPr="00B6049C">
        <w:rPr>
          <w:rFonts w:hint="eastAsia"/>
        </w:rPr>
        <w:t>中国信息社会测评报告</w:t>
      </w:r>
      <w:r w:rsidRPr="00B6049C">
        <w:rPr>
          <w:rFonts w:hint="eastAsia"/>
        </w:rPr>
        <w:t>2014[J].</w:t>
      </w:r>
      <w:r w:rsidRPr="00B6049C">
        <w:rPr>
          <w:rFonts w:hint="eastAsia"/>
        </w:rPr>
        <w:t>电子政务</w:t>
      </w:r>
      <w:r w:rsidRPr="00B6049C">
        <w:rPr>
          <w:rFonts w:hint="eastAsia"/>
        </w:rPr>
        <w:t>,2014(07):67-76.DOI:10.16582/j.cnki.dzzw.2014.07.004.</w:t>
      </w:r>
    </w:p>
    <w:p w14:paraId="2878C656" w14:textId="18CB862F" w:rsidR="00DB09AF" w:rsidRDefault="00DB09AF" w:rsidP="00DB09AF">
      <w:pPr>
        <w:pStyle w:val="Reference"/>
        <w:wordWrap w:val="0"/>
      </w:pPr>
      <w:bookmarkStart w:id="0" w:name="_Ref128516464"/>
      <w:r w:rsidRPr="00DB09AF">
        <w:rPr>
          <w:rFonts w:hint="eastAsia"/>
        </w:rPr>
        <w:t>宋全云</w:t>
      </w:r>
      <w:r w:rsidRPr="00DB09AF">
        <w:rPr>
          <w:rFonts w:hint="eastAsia"/>
        </w:rPr>
        <w:t>,</w:t>
      </w:r>
      <w:r w:rsidRPr="00DB09AF">
        <w:rPr>
          <w:rFonts w:hint="eastAsia"/>
        </w:rPr>
        <w:t>李晓</w:t>
      </w:r>
      <w:r w:rsidRPr="00DB09AF">
        <w:rPr>
          <w:rFonts w:hint="eastAsia"/>
        </w:rPr>
        <w:t>,</w:t>
      </w:r>
      <w:r w:rsidRPr="00DB09AF">
        <w:rPr>
          <w:rFonts w:hint="eastAsia"/>
        </w:rPr>
        <w:t>钱龙</w:t>
      </w:r>
      <w:r w:rsidRPr="00DB09AF">
        <w:rPr>
          <w:rFonts w:hint="eastAsia"/>
        </w:rPr>
        <w:t>.</w:t>
      </w:r>
      <w:r w:rsidRPr="00DB09AF">
        <w:rPr>
          <w:rFonts w:hint="eastAsia"/>
        </w:rPr>
        <w:t>经济政策不确定性与企业贷款成本</w:t>
      </w:r>
      <w:r w:rsidRPr="00DB09AF">
        <w:rPr>
          <w:rFonts w:hint="eastAsia"/>
        </w:rPr>
        <w:t>[J].</w:t>
      </w:r>
      <w:r w:rsidRPr="00DB09AF">
        <w:rPr>
          <w:rFonts w:hint="eastAsia"/>
        </w:rPr>
        <w:t>金融研究</w:t>
      </w:r>
      <w:r w:rsidRPr="00DB09AF">
        <w:rPr>
          <w:rFonts w:hint="eastAsia"/>
        </w:rPr>
        <w:t>,2019(07):57-75.</w:t>
      </w:r>
      <w:bookmarkEnd w:id="0"/>
    </w:p>
    <w:p w14:paraId="52E782BA" w14:textId="396D30A5" w:rsidR="00DB09AF" w:rsidRDefault="00DB09AF" w:rsidP="00DB09AF">
      <w:pPr>
        <w:pStyle w:val="Reference"/>
        <w:wordWrap w:val="0"/>
      </w:pPr>
      <w:r w:rsidRPr="00DB09AF">
        <w:rPr>
          <w:rFonts w:hint="eastAsia"/>
        </w:rPr>
        <w:t>雷淳</w:t>
      </w:r>
      <w:r w:rsidRPr="00DB09AF">
        <w:rPr>
          <w:rFonts w:hint="eastAsia"/>
        </w:rPr>
        <w:t xml:space="preserve">. </w:t>
      </w:r>
      <w:r w:rsidRPr="00DB09AF">
        <w:rPr>
          <w:rFonts w:hint="eastAsia"/>
        </w:rPr>
        <w:t>我国数字金融对中小企业融资约束影响研究</w:t>
      </w:r>
      <w:r w:rsidRPr="00DB09AF">
        <w:rPr>
          <w:rFonts w:hint="eastAsia"/>
        </w:rPr>
        <w:t>[D].</w:t>
      </w:r>
      <w:r w:rsidRPr="00DB09AF">
        <w:rPr>
          <w:rFonts w:hint="eastAsia"/>
        </w:rPr>
        <w:t>四川大学</w:t>
      </w:r>
      <w:r w:rsidRPr="00DB09AF">
        <w:rPr>
          <w:rFonts w:hint="eastAsia"/>
        </w:rPr>
        <w:t>,2021.DOI:10.27342/d.cnki.gscdu.2021.000803.</w:t>
      </w:r>
    </w:p>
    <w:p w14:paraId="766EAA4D" w14:textId="04CDCD67" w:rsidR="00DB09AF" w:rsidRPr="00CD788A" w:rsidRDefault="003E4251" w:rsidP="00DB09AF">
      <w:pPr>
        <w:pStyle w:val="Reference"/>
        <w:wordWrap w:val="0"/>
      </w:pPr>
      <w:r w:rsidRPr="003E4251">
        <w:rPr>
          <w:rFonts w:hint="eastAsia"/>
        </w:rPr>
        <w:t>郭沛瑶</w:t>
      </w:r>
      <w:r w:rsidRPr="003E4251">
        <w:rPr>
          <w:rFonts w:hint="eastAsia"/>
        </w:rPr>
        <w:t>,</w:t>
      </w:r>
      <w:r w:rsidRPr="003E4251">
        <w:rPr>
          <w:rFonts w:hint="eastAsia"/>
        </w:rPr>
        <w:t>尹志超</w:t>
      </w:r>
      <w:r w:rsidRPr="003E4251">
        <w:rPr>
          <w:rFonts w:hint="eastAsia"/>
        </w:rPr>
        <w:t>.</w:t>
      </w:r>
      <w:r w:rsidRPr="003E4251">
        <w:rPr>
          <w:rFonts w:hint="eastAsia"/>
        </w:rPr>
        <w:t>小微企业自主创新驱动力——基于数字普惠金融视角的证据</w:t>
      </w:r>
      <w:r w:rsidRPr="003E4251">
        <w:rPr>
          <w:rFonts w:hint="eastAsia"/>
        </w:rPr>
        <w:t>[J].</w:t>
      </w:r>
      <w:r w:rsidRPr="003E4251">
        <w:rPr>
          <w:rFonts w:hint="eastAsia"/>
        </w:rPr>
        <w:t>经济学动态</w:t>
      </w:r>
      <w:r w:rsidRPr="003E4251">
        <w:rPr>
          <w:rFonts w:hint="eastAsia"/>
        </w:rPr>
        <w:t>,2022(02):85-104.</w:t>
      </w:r>
    </w:p>
    <w:sectPr w:rsidR="00DB09AF" w:rsidRPr="00CD7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9142A" w14:textId="77777777" w:rsidR="00004B5E" w:rsidRDefault="00004B5E" w:rsidP="002B3D37">
      <w:r>
        <w:separator/>
      </w:r>
    </w:p>
  </w:endnote>
  <w:endnote w:type="continuationSeparator" w:id="0">
    <w:p w14:paraId="77315446" w14:textId="77777777" w:rsidR="00004B5E" w:rsidRDefault="00004B5E" w:rsidP="002B3D37">
      <w:r>
        <w:continuationSeparator/>
      </w:r>
    </w:p>
  </w:endnote>
  <w:endnote w:type="continuationNotice" w:id="1">
    <w:p w14:paraId="182EE150" w14:textId="77777777" w:rsidR="00004B5E" w:rsidRDefault="00004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0928" w14:textId="77777777" w:rsidR="00004B5E" w:rsidRDefault="00004B5E" w:rsidP="002B3D37">
      <w:r>
        <w:separator/>
      </w:r>
    </w:p>
  </w:footnote>
  <w:footnote w:type="continuationSeparator" w:id="0">
    <w:p w14:paraId="0F339F5A" w14:textId="77777777" w:rsidR="00004B5E" w:rsidRDefault="00004B5E" w:rsidP="002B3D37">
      <w:r>
        <w:continuationSeparator/>
      </w:r>
    </w:p>
  </w:footnote>
  <w:footnote w:type="continuationNotice" w:id="1">
    <w:p w14:paraId="033A3551" w14:textId="77777777" w:rsidR="00004B5E" w:rsidRDefault="00004B5E"/>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335A763A" w14:textId="6FA2E9D8" w:rsidR="001F2782" w:rsidRPr="001F2782" w:rsidRDefault="001F2782" w:rsidP="001F2782">
      <w:pPr>
        <w:pStyle w:val="a4"/>
        <w:ind w:left="0" w:firstLine="0"/>
        <w:rPr>
          <w:rFonts w:hint="eastAsia"/>
        </w:rPr>
      </w:pPr>
      <w:r>
        <w:rPr>
          <w:rStyle w:val="a6"/>
        </w:rPr>
        <w:footnoteRef/>
      </w:r>
      <w:r>
        <w:rPr>
          <w:rFonts w:hint="eastAsia"/>
        </w:rPr>
        <w:t xml:space="preserve"> </w:t>
      </w:r>
      <w:r w:rsidRPr="001B3879">
        <w:rPr>
          <w:rFonts w:hint="eastAsia"/>
        </w:rPr>
        <w:t>针对那些通过</w:t>
      </w:r>
      <w:r w:rsidRPr="00095267">
        <w:rPr>
          <w:rFonts w:hint="eastAsia"/>
        </w:rPr>
        <w:t>民间借款（亲朋好友、民间金融组织</w:t>
      </w:r>
      <w:r w:rsidRPr="00095267">
        <w:rPr>
          <w:rFonts w:hint="eastAsia"/>
        </w:rPr>
        <w:t>/</w:t>
      </w:r>
      <w:r w:rsidRPr="00095267">
        <w:rPr>
          <w:rFonts w:hint="eastAsia"/>
        </w:rPr>
        <w:t>民间金融机构等非银行融资渠道）</w:t>
      </w:r>
      <w:r w:rsidRPr="001B3879">
        <w:rPr>
          <w:rFonts w:hint="eastAsia"/>
        </w:rPr>
        <w:t>获得资金而无需银行贷款的小微企业，本文认为</w:t>
      </w:r>
      <w:r w:rsidR="0001076D">
        <w:rPr>
          <w:rFonts w:hint="eastAsia"/>
        </w:rPr>
        <w:t>该类企业</w:t>
      </w:r>
      <w:r w:rsidRPr="001B3879">
        <w:rPr>
          <w:rFonts w:hint="eastAsia"/>
        </w:rPr>
        <w:t>并非没有信贷约束，而是通过其他非正规金融途径缓解了信贷约束，因此本文将这部分样本从研究中剔除。</w:t>
      </w:r>
    </w:p>
  </w:footnote>
  <w:footnote w:id="5">
    <w:p w14:paraId="1BA57BC4" w14:textId="77777777" w:rsidR="00C7591A" w:rsidRPr="00B93225" w:rsidRDefault="00C7591A" w:rsidP="00C7591A">
      <w:pPr>
        <w:pStyle w:val="a4"/>
        <w:rPr>
          <w:rFonts w:hint="eastAsia"/>
        </w:rPr>
      </w:pPr>
      <w:r>
        <w:rPr>
          <w:rStyle w:val="a6"/>
        </w:rPr>
        <w:footnoteRef/>
      </w:r>
      <w:r>
        <w:t xml:space="preserve"> </w:t>
      </w:r>
      <w:r>
        <w:rPr>
          <w:rFonts w:hint="eastAsia"/>
        </w:rPr>
        <w:t>企业在</w:t>
      </w:r>
      <w:r>
        <w:rPr>
          <w:rFonts w:hint="eastAsia"/>
        </w:rPr>
        <w:t>2</w:t>
      </w:r>
      <w:r>
        <w:t>014</w:t>
      </w:r>
      <w:r>
        <w:rPr>
          <w:rFonts w:hint="eastAsia"/>
        </w:rPr>
        <w:t>年的营业收入，经过对数处理。</w:t>
      </w:r>
    </w:p>
  </w:footnote>
  <w:footnote w:id="6">
    <w:p w14:paraId="3689CC8B" w14:textId="77777777" w:rsidR="00C7591A" w:rsidRDefault="00C7591A" w:rsidP="00C7591A">
      <w:pPr>
        <w:pStyle w:val="a4"/>
        <w:ind w:left="0" w:firstLine="0"/>
        <w:rPr>
          <w:rFonts w:hint="eastAsia"/>
        </w:rPr>
      </w:pPr>
      <w:r>
        <w:rPr>
          <w:rStyle w:val="a6"/>
        </w:rPr>
        <w:footnoteRef/>
      </w:r>
      <w:r>
        <w:t xml:space="preserve"> </w:t>
      </w:r>
      <w:r>
        <w:rPr>
          <w:rFonts w:hint="eastAsia"/>
        </w:rPr>
        <w:t>考虑到企业的生命周期理论，本文同时将企业实际经营年份的平方项纳入回归模型，同时对其进行对数化处理。</w:t>
      </w:r>
    </w:p>
  </w:footnote>
  <w:footnote w:id="7">
    <w:p w14:paraId="5F78CF21" w14:textId="77777777" w:rsidR="00C7591A" w:rsidRDefault="00C7591A" w:rsidP="00C7591A">
      <w:pPr>
        <w:pStyle w:val="a4"/>
        <w:rPr>
          <w:rFonts w:hint="eastAsia"/>
        </w:rPr>
      </w:pPr>
      <w:r>
        <w:rPr>
          <w:rStyle w:val="a6"/>
        </w:rPr>
        <w:footnoteRef/>
      </w:r>
      <w:r>
        <w:t xml:space="preserve"> </w:t>
      </w:r>
      <w:r>
        <w:rPr>
          <w:rFonts w:hint="eastAsia"/>
        </w:rPr>
        <w:t>企业员工包括普通员工和管理人员。</w:t>
      </w:r>
    </w:p>
  </w:footnote>
  <w:footnote w:id="8">
    <w:p w14:paraId="29408E48" w14:textId="49F9F0FD" w:rsidR="008619F9" w:rsidRDefault="008619F9" w:rsidP="00DF08BD">
      <w:pPr>
        <w:pStyle w:val="a4"/>
        <w:ind w:left="0" w:firstLine="0"/>
        <w:rPr>
          <w:rFonts w:hint="eastAsia"/>
        </w:rPr>
      </w:pPr>
      <w:r>
        <w:rPr>
          <w:rStyle w:val="a6"/>
        </w:rPr>
        <w:footnoteRef/>
      </w:r>
      <w:r w:rsidR="00DF08BD">
        <w:rPr>
          <w:rFonts w:hint="eastAsia"/>
        </w:rPr>
        <w:t xml:space="preserve"> </w:t>
      </w:r>
      <w:r>
        <w:rPr>
          <w:rFonts w:hint="eastAsia"/>
        </w:rPr>
        <w:t>本文的也使用工具变量的排他性检验</w:t>
      </w:r>
      <w:r>
        <w:rPr>
          <w:rFonts w:hint="eastAsia"/>
        </w:rPr>
        <w:t>进行了验证</w:t>
      </w:r>
      <w:r w:rsidR="00DF08BD">
        <w:rPr>
          <w:rFonts w:hint="eastAsia"/>
        </w:rPr>
        <w:t>：在排除数字普惠金融的模型中加入</w:t>
      </w:r>
      <w:r w:rsidR="00DF08BD">
        <w:rPr>
          <w:rFonts w:hint="eastAsia"/>
        </w:rPr>
        <w:t>企业所在省省会</w:t>
      </w:r>
      <w:r w:rsidR="00DF08BD">
        <w:rPr>
          <w:rFonts w:hint="eastAsia"/>
        </w:rPr>
        <w:t>与</w:t>
      </w:r>
      <w:r w:rsidR="00DF08BD">
        <w:rPr>
          <w:rFonts w:hint="eastAsia"/>
        </w:rPr>
        <w:t>杭州的球面距离</w:t>
      </w:r>
      <w:r w:rsidR="00DF08BD">
        <w:rPr>
          <w:rFonts w:hint="eastAsia"/>
        </w:rPr>
        <w:t>，其对应系数的</w:t>
      </w:r>
      <w:r w:rsidR="00DF08BD">
        <w:rPr>
          <w:rFonts w:hint="eastAsia"/>
        </w:rPr>
        <w:t>t</w:t>
      </w:r>
      <w:r w:rsidR="00DF08BD">
        <w:rPr>
          <w:rFonts w:hint="eastAsia"/>
        </w:rPr>
        <w:t>检验结果显著，而在控制了数字普惠金融指数后，该系数仍然显著，因此本文认为其无法通过工具变量的排他性检验。</w:t>
      </w:r>
    </w:p>
  </w:footnote>
  <w:footnote w:id="9">
    <w:p w14:paraId="188E2388" w14:textId="5CA6FAB5" w:rsidR="00C7591A" w:rsidRPr="00C7591A" w:rsidRDefault="00C7591A">
      <w:pPr>
        <w:pStyle w:val="a4"/>
        <w:rPr>
          <w:rFonts w:hint="eastAsia"/>
        </w:rPr>
      </w:pPr>
      <w:r>
        <w:rPr>
          <w:rStyle w:val="a6"/>
        </w:rPr>
        <w:footnoteRef/>
      </w:r>
      <w:r>
        <w:t xml:space="preserve"> </w:t>
      </w:r>
      <w:r>
        <w:rPr>
          <w:rFonts w:hint="eastAsia"/>
        </w:rPr>
        <w:t>包括银行贷款和民间借款。</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8C8AEEA4"/>
    <w:lvl w:ilvl="0" w:tplc="CBA2B308">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6450D"/>
    <w:multiLevelType w:val="hybridMultilevel"/>
    <w:tmpl w:val="1F30D154"/>
    <w:lvl w:ilvl="0" w:tplc="17C89EAE">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4B5E"/>
    <w:rsid w:val="00005C59"/>
    <w:rsid w:val="0001076D"/>
    <w:rsid w:val="0003183F"/>
    <w:rsid w:val="00032D49"/>
    <w:rsid w:val="00035E90"/>
    <w:rsid w:val="0004388B"/>
    <w:rsid w:val="000453A6"/>
    <w:rsid w:val="0007106F"/>
    <w:rsid w:val="00093293"/>
    <w:rsid w:val="00095267"/>
    <w:rsid w:val="000A297C"/>
    <w:rsid w:val="000C0298"/>
    <w:rsid w:val="000C17C5"/>
    <w:rsid w:val="000C3BAF"/>
    <w:rsid w:val="000C4408"/>
    <w:rsid w:val="000D6798"/>
    <w:rsid w:val="000D67DA"/>
    <w:rsid w:val="001011A4"/>
    <w:rsid w:val="0010180C"/>
    <w:rsid w:val="00114A91"/>
    <w:rsid w:val="00123EFE"/>
    <w:rsid w:val="001243CB"/>
    <w:rsid w:val="00133E47"/>
    <w:rsid w:val="00141868"/>
    <w:rsid w:val="001426B4"/>
    <w:rsid w:val="00145910"/>
    <w:rsid w:val="00145C3B"/>
    <w:rsid w:val="0015753E"/>
    <w:rsid w:val="001652F9"/>
    <w:rsid w:val="00173E5D"/>
    <w:rsid w:val="0017719F"/>
    <w:rsid w:val="0018164C"/>
    <w:rsid w:val="00184729"/>
    <w:rsid w:val="00187F3D"/>
    <w:rsid w:val="00194E40"/>
    <w:rsid w:val="001A7AE7"/>
    <w:rsid w:val="001B2A12"/>
    <w:rsid w:val="001B3879"/>
    <w:rsid w:val="001C2C08"/>
    <w:rsid w:val="001C38EF"/>
    <w:rsid w:val="001C5180"/>
    <w:rsid w:val="001C70A3"/>
    <w:rsid w:val="001C765D"/>
    <w:rsid w:val="001F2782"/>
    <w:rsid w:val="001F6FDF"/>
    <w:rsid w:val="0020397F"/>
    <w:rsid w:val="00205A0B"/>
    <w:rsid w:val="0022019E"/>
    <w:rsid w:val="00222530"/>
    <w:rsid w:val="00250388"/>
    <w:rsid w:val="00255ACE"/>
    <w:rsid w:val="002611FD"/>
    <w:rsid w:val="002765D7"/>
    <w:rsid w:val="00291ACA"/>
    <w:rsid w:val="002A4177"/>
    <w:rsid w:val="002A4927"/>
    <w:rsid w:val="002B3D37"/>
    <w:rsid w:val="002D45C3"/>
    <w:rsid w:val="002E4D61"/>
    <w:rsid w:val="002F04A0"/>
    <w:rsid w:val="002F6570"/>
    <w:rsid w:val="00300CCC"/>
    <w:rsid w:val="00306878"/>
    <w:rsid w:val="003206D1"/>
    <w:rsid w:val="00326078"/>
    <w:rsid w:val="00327F22"/>
    <w:rsid w:val="003332D9"/>
    <w:rsid w:val="003418C2"/>
    <w:rsid w:val="00345226"/>
    <w:rsid w:val="00367F80"/>
    <w:rsid w:val="00372632"/>
    <w:rsid w:val="00372AD7"/>
    <w:rsid w:val="00385701"/>
    <w:rsid w:val="003A76DC"/>
    <w:rsid w:val="003B33E1"/>
    <w:rsid w:val="003D21FE"/>
    <w:rsid w:val="003D346D"/>
    <w:rsid w:val="003E4251"/>
    <w:rsid w:val="003E4AAA"/>
    <w:rsid w:val="003F47D1"/>
    <w:rsid w:val="003F7669"/>
    <w:rsid w:val="00416C19"/>
    <w:rsid w:val="0042234B"/>
    <w:rsid w:val="00433212"/>
    <w:rsid w:val="00440AFF"/>
    <w:rsid w:val="004472C9"/>
    <w:rsid w:val="00450381"/>
    <w:rsid w:val="00451007"/>
    <w:rsid w:val="0046173B"/>
    <w:rsid w:val="00463537"/>
    <w:rsid w:val="0047505D"/>
    <w:rsid w:val="00486284"/>
    <w:rsid w:val="00497B27"/>
    <w:rsid w:val="004A03AF"/>
    <w:rsid w:val="004A3C15"/>
    <w:rsid w:val="004B2779"/>
    <w:rsid w:val="004F3495"/>
    <w:rsid w:val="004F6B6E"/>
    <w:rsid w:val="004F7C1E"/>
    <w:rsid w:val="005035BE"/>
    <w:rsid w:val="00505FF0"/>
    <w:rsid w:val="00512914"/>
    <w:rsid w:val="005136B1"/>
    <w:rsid w:val="00532FE0"/>
    <w:rsid w:val="0054066E"/>
    <w:rsid w:val="00546C22"/>
    <w:rsid w:val="0055099E"/>
    <w:rsid w:val="0055133B"/>
    <w:rsid w:val="00557B59"/>
    <w:rsid w:val="00566481"/>
    <w:rsid w:val="0056782C"/>
    <w:rsid w:val="00570669"/>
    <w:rsid w:val="005806BD"/>
    <w:rsid w:val="00591437"/>
    <w:rsid w:val="005A5818"/>
    <w:rsid w:val="005B18B7"/>
    <w:rsid w:val="005B4B0E"/>
    <w:rsid w:val="005C2004"/>
    <w:rsid w:val="005C4BC0"/>
    <w:rsid w:val="005D0AFE"/>
    <w:rsid w:val="005E6D58"/>
    <w:rsid w:val="006116EA"/>
    <w:rsid w:val="00650AF4"/>
    <w:rsid w:val="0065122C"/>
    <w:rsid w:val="00652935"/>
    <w:rsid w:val="00654612"/>
    <w:rsid w:val="0066118D"/>
    <w:rsid w:val="006721C2"/>
    <w:rsid w:val="006771A2"/>
    <w:rsid w:val="006811DA"/>
    <w:rsid w:val="00691247"/>
    <w:rsid w:val="006B166C"/>
    <w:rsid w:val="006C158B"/>
    <w:rsid w:val="006C1B3E"/>
    <w:rsid w:val="006C21B3"/>
    <w:rsid w:val="006C22EB"/>
    <w:rsid w:val="006C53EB"/>
    <w:rsid w:val="006F22CC"/>
    <w:rsid w:val="006F2948"/>
    <w:rsid w:val="006F4BD0"/>
    <w:rsid w:val="006F7154"/>
    <w:rsid w:val="00700465"/>
    <w:rsid w:val="0070675C"/>
    <w:rsid w:val="00711C33"/>
    <w:rsid w:val="0071435D"/>
    <w:rsid w:val="0072722E"/>
    <w:rsid w:val="00727FE4"/>
    <w:rsid w:val="00737CC4"/>
    <w:rsid w:val="00756C17"/>
    <w:rsid w:val="00773B2F"/>
    <w:rsid w:val="00775BD1"/>
    <w:rsid w:val="0077763E"/>
    <w:rsid w:val="00781811"/>
    <w:rsid w:val="00784499"/>
    <w:rsid w:val="0079495B"/>
    <w:rsid w:val="007A3F30"/>
    <w:rsid w:val="007B47D4"/>
    <w:rsid w:val="007C1AB5"/>
    <w:rsid w:val="007C3B6D"/>
    <w:rsid w:val="007E725C"/>
    <w:rsid w:val="007F730C"/>
    <w:rsid w:val="007F7A5A"/>
    <w:rsid w:val="008015CA"/>
    <w:rsid w:val="008342EC"/>
    <w:rsid w:val="008513CA"/>
    <w:rsid w:val="00854E61"/>
    <w:rsid w:val="008619F9"/>
    <w:rsid w:val="00866728"/>
    <w:rsid w:val="00866A29"/>
    <w:rsid w:val="0087081D"/>
    <w:rsid w:val="00871003"/>
    <w:rsid w:val="0087323E"/>
    <w:rsid w:val="008733BB"/>
    <w:rsid w:val="008750CC"/>
    <w:rsid w:val="00876D58"/>
    <w:rsid w:val="008805F2"/>
    <w:rsid w:val="00883DEB"/>
    <w:rsid w:val="00894EE1"/>
    <w:rsid w:val="00895B43"/>
    <w:rsid w:val="008A053D"/>
    <w:rsid w:val="008A2CEE"/>
    <w:rsid w:val="008A50CE"/>
    <w:rsid w:val="008B1104"/>
    <w:rsid w:val="008B65B5"/>
    <w:rsid w:val="008C29B0"/>
    <w:rsid w:val="008C409E"/>
    <w:rsid w:val="008D29D7"/>
    <w:rsid w:val="008D4D6D"/>
    <w:rsid w:val="008D68BE"/>
    <w:rsid w:val="008E0471"/>
    <w:rsid w:val="008F56E4"/>
    <w:rsid w:val="009042CF"/>
    <w:rsid w:val="009052F3"/>
    <w:rsid w:val="00910D3F"/>
    <w:rsid w:val="00921202"/>
    <w:rsid w:val="00926FB6"/>
    <w:rsid w:val="00931DE7"/>
    <w:rsid w:val="00943139"/>
    <w:rsid w:val="00945D78"/>
    <w:rsid w:val="00985796"/>
    <w:rsid w:val="00986B8A"/>
    <w:rsid w:val="00993CBC"/>
    <w:rsid w:val="0099535B"/>
    <w:rsid w:val="009960C9"/>
    <w:rsid w:val="009A4770"/>
    <w:rsid w:val="00A01776"/>
    <w:rsid w:val="00A11B77"/>
    <w:rsid w:val="00A27542"/>
    <w:rsid w:val="00A402A7"/>
    <w:rsid w:val="00A41523"/>
    <w:rsid w:val="00A574BD"/>
    <w:rsid w:val="00A86166"/>
    <w:rsid w:val="00A87BD2"/>
    <w:rsid w:val="00A91441"/>
    <w:rsid w:val="00AA7EB1"/>
    <w:rsid w:val="00AB0EB1"/>
    <w:rsid w:val="00AB6E43"/>
    <w:rsid w:val="00AE6FBC"/>
    <w:rsid w:val="00AF2E0B"/>
    <w:rsid w:val="00AF46B5"/>
    <w:rsid w:val="00B03272"/>
    <w:rsid w:val="00B25E4A"/>
    <w:rsid w:val="00B36DFC"/>
    <w:rsid w:val="00B42AC1"/>
    <w:rsid w:val="00B445BB"/>
    <w:rsid w:val="00B6049C"/>
    <w:rsid w:val="00B82175"/>
    <w:rsid w:val="00B93225"/>
    <w:rsid w:val="00B939E2"/>
    <w:rsid w:val="00BB3636"/>
    <w:rsid w:val="00BC5558"/>
    <w:rsid w:val="00BD12B7"/>
    <w:rsid w:val="00BE010B"/>
    <w:rsid w:val="00BE6CF6"/>
    <w:rsid w:val="00BE7782"/>
    <w:rsid w:val="00BE7918"/>
    <w:rsid w:val="00BF78E8"/>
    <w:rsid w:val="00C00BA4"/>
    <w:rsid w:val="00C61763"/>
    <w:rsid w:val="00C65EF7"/>
    <w:rsid w:val="00C73082"/>
    <w:rsid w:val="00C7591A"/>
    <w:rsid w:val="00C76D9E"/>
    <w:rsid w:val="00C8382E"/>
    <w:rsid w:val="00C85690"/>
    <w:rsid w:val="00C94315"/>
    <w:rsid w:val="00C97A46"/>
    <w:rsid w:val="00CA2EAD"/>
    <w:rsid w:val="00CC0017"/>
    <w:rsid w:val="00CC4DDA"/>
    <w:rsid w:val="00CD540B"/>
    <w:rsid w:val="00CD5964"/>
    <w:rsid w:val="00CD788A"/>
    <w:rsid w:val="00CE3E00"/>
    <w:rsid w:val="00CE7486"/>
    <w:rsid w:val="00D171EC"/>
    <w:rsid w:val="00D24818"/>
    <w:rsid w:val="00D5609E"/>
    <w:rsid w:val="00D57DF7"/>
    <w:rsid w:val="00D62128"/>
    <w:rsid w:val="00D65692"/>
    <w:rsid w:val="00D727C9"/>
    <w:rsid w:val="00D75FE4"/>
    <w:rsid w:val="00D810D0"/>
    <w:rsid w:val="00D81442"/>
    <w:rsid w:val="00D923C4"/>
    <w:rsid w:val="00D958A8"/>
    <w:rsid w:val="00DA09E2"/>
    <w:rsid w:val="00DA7129"/>
    <w:rsid w:val="00DA7E00"/>
    <w:rsid w:val="00DB09AF"/>
    <w:rsid w:val="00DB1B2E"/>
    <w:rsid w:val="00DC04D2"/>
    <w:rsid w:val="00DC1B4B"/>
    <w:rsid w:val="00DC607C"/>
    <w:rsid w:val="00DD6A78"/>
    <w:rsid w:val="00DD792F"/>
    <w:rsid w:val="00DF08BD"/>
    <w:rsid w:val="00DF7409"/>
    <w:rsid w:val="00E03A11"/>
    <w:rsid w:val="00E101AF"/>
    <w:rsid w:val="00E11A37"/>
    <w:rsid w:val="00E30022"/>
    <w:rsid w:val="00E30D6A"/>
    <w:rsid w:val="00E603DE"/>
    <w:rsid w:val="00E60F0A"/>
    <w:rsid w:val="00E63A1B"/>
    <w:rsid w:val="00E81555"/>
    <w:rsid w:val="00E9565D"/>
    <w:rsid w:val="00E95AD9"/>
    <w:rsid w:val="00EA3AF1"/>
    <w:rsid w:val="00EB431A"/>
    <w:rsid w:val="00EC5F56"/>
    <w:rsid w:val="00EE363C"/>
    <w:rsid w:val="00EE7B30"/>
    <w:rsid w:val="00EF381D"/>
    <w:rsid w:val="00F03F14"/>
    <w:rsid w:val="00F063DB"/>
    <w:rsid w:val="00F1250B"/>
    <w:rsid w:val="00F16212"/>
    <w:rsid w:val="00F163BC"/>
    <w:rsid w:val="00F314DF"/>
    <w:rsid w:val="00F43E92"/>
    <w:rsid w:val="00F623E6"/>
    <w:rsid w:val="00F71507"/>
    <w:rsid w:val="00F72716"/>
    <w:rsid w:val="00F733E4"/>
    <w:rsid w:val="00F74453"/>
    <w:rsid w:val="00F81BD9"/>
    <w:rsid w:val="00F83179"/>
    <w:rsid w:val="00F8561D"/>
    <w:rsid w:val="00FA4402"/>
    <w:rsid w:val="00FA584D"/>
    <w:rsid w:val="00FB08BF"/>
    <w:rsid w:val="00FB508C"/>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left="420" w:hanging="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DB09AF"/>
    <w:pPr>
      <w:numPr>
        <w:numId w:val="2"/>
      </w:numPr>
    </w:pPr>
    <w:rPr>
      <w:sz w:val="21"/>
      <w:szCs w:val="18"/>
      <w:shd w:val="clear" w:color="auto" w:fill="FFFFFF"/>
    </w:rPr>
  </w:style>
  <w:style w:type="paragraph" w:customStyle="1" w:styleId="11">
    <w:name w:val="标题1"/>
    <w:next w:val="a"/>
    <w:link w:val="Title"/>
    <w:autoRedefine/>
    <w:qFormat/>
    <w:rsid w:val="0004388B"/>
    <w:pPr>
      <w:contextualSpacing/>
      <w:jc w:val="center"/>
    </w:pPr>
    <w:rPr>
      <w:b/>
      <w:bCs/>
      <w:kern w:val="44"/>
      <w:szCs w:val="44"/>
    </w:rPr>
  </w:style>
  <w:style w:type="character" w:customStyle="1" w:styleId="Reference0">
    <w:name w:val="Reference 字符"/>
    <w:basedOn w:val="a0"/>
    <w:link w:val="Reference"/>
    <w:rsid w:val="00DB09AF"/>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pPr>
  </w:style>
  <w:style w:type="paragraph" w:styleId="af0">
    <w:name w:val="caption"/>
    <w:basedOn w:val="a"/>
    <w:next w:val="a"/>
    <w:uiPriority w:val="35"/>
    <w:unhideWhenUsed/>
    <w:qFormat/>
    <w:rsid w:val="00C97A46"/>
    <w:rPr>
      <w:rFonts w:eastAsia="SimSun-ExtB" w:cstheme="majorBidi"/>
      <w:sz w:val="21"/>
      <w:szCs w:val="20"/>
    </w:rPr>
  </w:style>
  <w:style w:type="character" w:customStyle="1" w:styleId="AMEquationSection">
    <w:name w:val="AMEquationSection"/>
    <w:basedOn w:val="a0"/>
    <w:rsid w:val="0054066E"/>
    <w:rPr>
      <w:vanish/>
      <w:color w:val="FF0000"/>
    </w:rPr>
  </w:style>
  <w:style w:type="paragraph" w:customStyle="1" w:styleId="AMDisplayEquation">
    <w:name w:val="AMDisplayEquation"/>
    <w:basedOn w:val="a"/>
    <w:next w:val="a"/>
    <w:link w:val="AMDisplayEquation0"/>
    <w:rsid w:val="0054066E"/>
    <w:pPr>
      <w:tabs>
        <w:tab w:val="center" w:pos="4160"/>
        <w:tab w:val="right" w:pos="8300"/>
      </w:tabs>
    </w:pPr>
  </w:style>
  <w:style w:type="character" w:customStyle="1" w:styleId="AMDisplayEquation0">
    <w:name w:val="AMDisplayEquation 字符"/>
    <w:basedOn w:val="a0"/>
    <w:link w:val="AMDisplayEquation"/>
    <w:rsid w:val="0054066E"/>
  </w:style>
  <w:style w:type="character" w:styleId="af1">
    <w:name w:val="Placeholder Text"/>
    <w:basedOn w:val="a0"/>
    <w:uiPriority w:val="99"/>
    <w:semiHidden/>
    <w:rsid w:val="00E101AF"/>
    <w:rPr>
      <w:color w:val="808080"/>
    </w:rPr>
  </w:style>
  <w:style w:type="table" w:styleId="af2">
    <w:name w:val="Table Grid"/>
    <w:basedOn w:val="a1"/>
    <w:uiPriority w:val="39"/>
    <w:rsid w:val="00F16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3507">
      <w:bodyDiv w:val="1"/>
      <w:marLeft w:val="0"/>
      <w:marRight w:val="0"/>
      <w:marTop w:val="0"/>
      <w:marBottom w:val="0"/>
      <w:divBdr>
        <w:top w:val="none" w:sz="0" w:space="0" w:color="auto"/>
        <w:left w:val="none" w:sz="0" w:space="0" w:color="auto"/>
        <w:bottom w:val="none" w:sz="0" w:space="0" w:color="auto"/>
        <w:right w:val="none" w:sz="0" w:space="0" w:color="auto"/>
      </w:divBdr>
    </w:div>
    <w:div w:id="730926950">
      <w:bodyDiv w:val="1"/>
      <w:marLeft w:val="0"/>
      <w:marRight w:val="0"/>
      <w:marTop w:val="0"/>
      <w:marBottom w:val="0"/>
      <w:divBdr>
        <w:top w:val="none" w:sz="0" w:space="0" w:color="auto"/>
        <w:left w:val="none" w:sz="0" w:space="0" w:color="auto"/>
        <w:bottom w:val="none" w:sz="0" w:space="0" w:color="auto"/>
        <w:right w:val="none" w:sz="0" w:space="0" w:color="auto"/>
      </w:divBdr>
    </w:div>
    <w:div w:id="1019088935">
      <w:bodyDiv w:val="1"/>
      <w:marLeft w:val="0"/>
      <w:marRight w:val="0"/>
      <w:marTop w:val="0"/>
      <w:marBottom w:val="0"/>
      <w:divBdr>
        <w:top w:val="none" w:sz="0" w:space="0" w:color="auto"/>
        <w:left w:val="none" w:sz="0" w:space="0" w:color="auto"/>
        <w:bottom w:val="none" w:sz="0" w:space="0" w:color="auto"/>
        <w:right w:val="none" w:sz="0" w:space="0" w:color="auto"/>
      </w:divBdr>
    </w:div>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655067120">
      <w:bodyDiv w:val="1"/>
      <w:marLeft w:val="0"/>
      <w:marRight w:val="0"/>
      <w:marTop w:val="0"/>
      <w:marBottom w:val="0"/>
      <w:divBdr>
        <w:top w:val="none" w:sz="0" w:space="0" w:color="auto"/>
        <w:left w:val="none" w:sz="0" w:space="0" w:color="auto"/>
        <w:bottom w:val="none" w:sz="0" w:space="0" w:color="auto"/>
        <w:right w:val="none" w:sz="0" w:space="0" w:color="auto"/>
      </w:divBdr>
    </w:div>
    <w:div w:id="1713263517">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6</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Su luoya</cp:lastModifiedBy>
  <cp:revision>279</cp:revision>
  <dcterms:created xsi:type="dcterms:W3CDTF">2023-02-20T08:03:00Z</dcterms:created>
  <dcterms:modified xsi:type="dcterms:W3CDTF">2023-02-28T15:49:00Z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AMWinEqns">
    <vt:bool>true</vt:bool>
  </property>
</Properties>
</file>