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sz w:val="52"/>
        </w:rPr>
        <w:t>商业数据分析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题　　目：Olist 巴西电商商业数据分析：客户分层、品类结构与销售预测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　　院：数据科学学院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专业班级：【填写专业班级】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　　号：【填写学号】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　　名：【填写姓名】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完成日期：2026 年 11 月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摘　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本文以 Olist 巴西电商公开数据集为研究对象，基于 2016—2018 年的 99,441 个订单、112,650 条商品明细和 99,224 条评价，构建了从数据获取、清洗治理、商业建模到可视化大屏的端到端分析链路。在完成多表关联、缺失值处理与指标派生后，本文使用 RFM 八分层、同期群留存、ABC/Pareto、波士顿矩阵和 SARIMA 时间序列模型，识别客户价值结构、复购规律、品类贡献与销售趋势，复现教材模板 15 张、绘制 10 张业务图、搭建 Streamlit 交互式大屏。研究发现：约 47.5% 的高价值客户贡献了 78.0% 的 GMV；首购后第 1 个月平均留存率仅 0.44%；25.9% 的商品贡献 80.0% 的 GMV；延迟 4 天以上订单的平均评分由 4.29 降至 2.32；ARIMA(1,1,1) 的六个月回测 MAPE 为 5.59%。研究结果可为电商客户运营、品类管理、物流优化与销售预测提供参考。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关键词：电商数据分析；RFM 模型；同期群分析；波士顿矩阵；SARIMA；可视化大屏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1 章 引言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1.1 研究背景：巴西电商增长、Olist 平台背景、数据丰富但洞察不足。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1.2 研究目的：验证公开电商数据能否支撑完整分析链路；用五个模型回答客户、商品、复购与预测问题。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1.3 研究意义：实践意义、方法意义、教学意义。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【写作提示】可在本章末尾插入图 26（大屏总览截图），先展示最终成果。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2 章 数据准备与预处理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2.1 数据源介绍：Olist 数据集、9 张表、99,441 个订单、2016-09～2018-10、CC BY-NC-SA 4.0。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2.2 合规获取方式：Kaggle 官方数据集 API，非爬虫；SHA256 校验；原始数据不入库。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2.3 数据清洗与治理：时间字段、邮编前导零、缺失值、重复值、地理表聚合、指标派生。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2.4 数据集概述与关联关系：主表 orders，多表通过 order_id/customer_id/product_id/seller_id 关联。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【表格】表 1 数据表结构；表 2 清洗前后行数。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【写作提示】模板复现图 1—15，业务图 16—25。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3 章 商业分析模型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3.1 模型选型与阈值依据：RFM、同期群、ABC/Pareto、波士顿矩阵、SARIMA。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3.2 RFM 客户分层：R/M 中位数，F ≥ 2；重要发展 + 重要挽留贡献 78.0% GMV。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3.3 同期群留存：23 个同期群；第 1 月留存 0.44%，第 6 月 0.19%。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3.4 ABC/Pareto：8,478 个 A 类商品（25.9%）贡献 80.0% GMV。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3.5 波士顿矩阵：15 明星、17 现金牛、17 问题、14 瘦狗。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3.6 SARIMA 预测：ARIMA(1,1,1) 最优，RMSE 67,582，MAPE 5.59%；未来 6 个月均值约 R$86 万/月。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3.7 订单转化漏斗：下单 99,441 → 支付 99,281 → 发货 97,658 → 送达 96,476；总体送达率 97.0%。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【表格】表 3 RFM 八分层；表 4 ABC 汇总；表 5 波士顿象限；表 6 SARIMA 指标；表 7 漏斗转化。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【图表】图 16—图 25。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4 章 可视化复现与大屏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4.0 作业要求对照：模板复现 15 张（要求 ≥10 种）、业务模型 10 张（模型类 7 张，≥6）、大屏 1 个（≥6 联动组件）、全部 Python 生成、200 dpi。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4.1 教材模板复现（15 张）：教材第二章前 15 套，matplotlib 逐像素还原；平均通道误差 1.61—5.76/255，像素一致率 87.42%—96.43%；200 dpi。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4.2 真实业务图表：10 张图的内容与核心结论（见图 16—图 25）。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4.3 Streamlit 交互式大屏：KPI、趋势、品类、州、RFM、同期群、配送、波士顿、预测、支付、明细表；侧边栏联动。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【图表】图 1—15 为模板复现；图 16—26 为业务图与大屏。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5 章 商业洞察与建议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5.1 客户结构：抓住 47.5% 的高价值客群，分层运营。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5.2 复购与留存：首购后 30/60/90 天触达，提升复购。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5.3 商品与库存：A 类保库存，B 类组合销售，C 类长尾清理。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5.4 品类策略：明星加投放、现金牛控成本、问题小步测试、瘦狗收缩。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5.5 物流体验：延迟 4 天是分水岭，做承运商考核与主动补偿。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5.6 支付结构：信用卡 + Boleto 双主力，优化分期与代金券。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5.7 预测与备货：按区间备货，每月滚动更新。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5.8 履约漏斗：总体送达率 97.0%，主要损失在取消/不可用；对取消原因分类并考核履约稳定性。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/>
          <w:sz w:val="24"/>
        </w:rPr>
        <w:t>【写作提示】每条建议写成“结论 + 证据 + 动作”，并对应一张图。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第 6 章 总结与展望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6.1 研究总结：9 表关联、99,441 订单、5 个模型、15 张模板复现、10 张业务图、1 个大屏。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6.2 主要结论：高价值客户集中、复购率低、A 类商品贡献 80%、物流延迟影响评分、预测 MAPE 5.59%。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6.3 研究局限：数据年份较早、月度样本仅 20 个月、缺少成本/利润字段、RFM 阈值依赖中位数。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6.4 未来展望：引入利润与 CLV、Prophet/LSTM 对比、实时数据大屏、A/B 实验。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[1] Olist. Brazilian E-Commerce Public Dataset by Olist[DB/OL]. Kaggle, 2018. https://www.kaggle.com/datasets/olistbr/brazilian-ecommerce.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[2] 郭宏远. Excel数据可视化——从图表到数据大屏[M]. 北京: 清华大学出版社, 2022.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[3] Hughes A M. Strategic Database Marketing[M]. Chicago: Probus Publishing, 1994.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[4] Chen D, Sain S L, Guo K. Data mining for the online retail industry: A case study of RFM model-based customer segmentation[J]. Journal of Database Marketing &amp; Customer Strategy Management, 2012, 19(3): 197-208.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[5] Box G E P, Jenkins G M, Reinsel G C, et al. Time Series Analysis: Forecasting and Control[M]. 5th ed. Hoboken: Wiley, 2015.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[6] Streamlit. Streamlit Documentation[EB/OL]. https://docs.streamlit.io.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[7] Plotly. Plotly Python Open Source Graphing Library[EB/OL]. https://plotly.com/python/.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附录 A AI 使用披露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使用工具：Claude Code（Anthropic）。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使用环节：数据下载脚本、清洗流水线、RFM/同期群/ABC/波士顿/SARIMA 代码、matplotlib/Plotly 图表、Streamlit 大屏、论文框架。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提示词示例：基于 Olist 数据集设计分析流程；用 matplotlib 绘制 10 张业务图；生成 Streamlit 大屏，包含 6 个以上组件和侧边栏联动筛选。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人工审核：作者检查了数据许可、字段口径、模型阈值、图表结论与论文表述；所有数字均来自可复现脚本，未使用 AI 编造数据。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声明：AI 仅作为辅助工具，论文的观点、结论与最终表述由作者负责。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附录 B 代码与复现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项目根目录：olist-analysis/；一键复现命令见 README.md。</w:t>
      </w:r>
    </w:p>
    <w:p>
      <w:r>
        <w:rPr>
          <w:rFonts w:ascii="Consolas" w:hAnsi="Consolas"/>
          <w:sz w:val="20"/>
        </w:rPr>
        <w:t>pip install -r requirements.txt -i https://pypi.tuna.tsinghua.edu.cn/simple</w:t>
      </w:r>
    </w:p>
    <w:p>
      <w:r>
        <w:rPr>
          <w:rFonts w:ascii="Consolas" w:hAnsi="Consolas"/>
          <w:sz w:val="20"/>
        </w:rPr>
        <w:t>python scripts/00_download.py</w:t>
      </w:r>
    </w:p>
    <w:p>
      <w:r>
        <w:rPr>
          <w:rFonts w:ascii="Consolas" w:hAnsi="Consolas"/>
          <w:sz w:val="20"/>
        </w:rPr>
        <w:t>python scripts/01_load.py</w:t>
      </w:r>
    </w:p>
    <w:p>
      <w:r>
        <w:rPr>
          <w:rFonts w:ascii="Consolas" w:hAnsi="Consolas"/>
          <w:sz w:val="20"/>
        </w:rPr>
        <w:t>python scripts/02_clean.py</w:t>
      </w:r>
    </w:p>
    <w:p>
      <w:r>
        <w:rPr>
          <w:rFonts w:ascii="Consolas" w:hAnsi="Consolas"/>
          <w:sz w:val="20"/>
        </w:rPr>
        <w:t>python scripts/03_models.py</w:t>
      </w:r>
    </w:p>
    <w:p>
      <w:r>
        <w:rPr>
          <w:rFonts w:ascii="Consolas" w:hAnsi="Consolas"/>
          <w:sz w:val="20"/>
        </w:rPr>
        <w:t>python scripts/05_visuals_business.py</w:t>
      </w:r>
    </w:p>
    <w:p>
      <w:r>
        <w:rPr>
          <w:rFonts w:ascii="Consolas" w:hAnsi="Consolas"/>
          <w:sz w:val="20"/>
        </w:rPr>
        <w:t>streamlit run scripts/06_dashboard.py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sz w:val="32"/>
        </w:rPr>
        <w:t>附录 C 图表索引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图号</w:t>
            </w:r>
          </w:p>
        </w:tc>
        <w:tc>
          <w:tcPr>
            <w:tcW w:type="dxa" w:w="302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302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1—15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outputs/figures/templates/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教材模板复现（15 张）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16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fig16_月度GMV与预测.png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月度 GMV 与预测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17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fig17_RFM分层贡献.png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RFM 分层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18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fig18_同期群留存热力图.png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同期群留存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19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fig19_ABC帕累托图.png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ABC/Pareto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20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fig20_波士顿矩阵.png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波士顿矩阵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fig21_品类GMV前15.png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品类 Top 15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fig22_配送延迟与评价.png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配送延迟与评分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23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fig23_支付方式结构.png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支付方式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24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fig24_RFM气泡散点图.png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RFM 气泡散点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25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fig25_订单转化漏斗.png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订单转化漏斗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 26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dashboard_preview.png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Streamlit 大屏</w:t>
            </w:r>
          </w:p>
        </w:tc>
      </w:tr>
    </w:tbl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