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R16（2026-10-22）·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37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是绝对水平，跨行业不可比（银行天然大、电子天然小）；F2 用**自身历史**做标准化，把 31 个行业放到同一把尺子上，信息含量因此高于原始水平。具体 IC 以 ④ 页实测为准。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14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单一因子各有盲区（水平 / 历史位置 / 边际方向 / 筹码）；合成后 IC 高于任一单因子，且对单因子失效更稳健。当前实测值见 ④ 页「IC 汇总」，本节不复制数字以免过期。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长历史扩窗因子（2016Q2 起超配历史）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用偏股混合长历史超配序列做扩窗，把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 年后，长历史扩窗因子的 IC 观测达 27~31 期：F2e/F3e 处于 0.08~0.09 的边际可用区间（p 0.04~0.07），F4be/F15e 不显著。结论：拥挤度在更长历史里没有稳定、可交易的截面预测力，本模型定位为「风险描述」而非「交易信号」。此前 8 期样本下的「强显著」已被证明是小样本伪显著；全部数值以 ④ 页实测表为准（数据更新后自动跟随）。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29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并列报告，看**保留比例**：若残差 IC 显著低于原始 IC，说明原 IC 有相当部分来自价格动量；若残差仍显著为正，则持仓含价格之外的独立信息。具体数值见 ④ 页正交化表，不在此写死。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指标释义（每个数字对应什么经济行为）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本章回答三个问题：这个数怎么算出来、它对应现实世界的什么行为、看到它应该怎么用。手册只固定口径与含义，具体数值随数据更新，以看板为准。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2.1 行业层指标（② 行业拥挤度）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配置比例（%）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Σ(该行业重仓股市值) ÷ Σ(全部重仓股市值)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公募把多少筹码押在这个行业。它是存量：由过去若干季度的买入累积而成，记录的是「机构愿意把多少资产负债表放在这里」，不是当下的边际意愿。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配置越高，该行业的边际定价权越在公募手里——申赎、排名考核、季末调仓会直接变成这个行业的买卖盘；配置低的行业对公募资金不敏感，涨跌更多由产业资本、外资与游资决定。 怎么看：三比：比自身历史（分位）、比基准（超配/配置系数）、比成交（持仓热度 vs 交易热度）。 误读：高配置 ≠ 高估；行业市值暴涨也会被动推高占比，被动上升不含主动加仓的信息。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基准权重（%）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沪深300 成份中该行业自由流通市值 ÷ 指数总自由流通市值（逐季实测）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被动资金的「默认答案」，代表不做主动选择也能拿到的行业暴露。权重由存量市值决定，对产业变迁的反应天然滞后——这正是主动偏离的来源。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基准权重低的行业，主动基金一旦看多就必须大幅超配，超配幅度天然大；基准权重高的行业（银行、非银），低配是常态，不能读成看空。 怎么看：与配置比例并排看倍数（F12）；基准权重 &lt;1% 的行业，超配几个点就会让倍数失真。 误读：把「低配银行」当看空银行——这是指数编制与公募考核共同造成的结构性结果，不是每季度都有的观点。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超配比例（pct）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−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主动偏离的绝对幅度：正＝集体押注，负＝系统性回避。超配的那部分资金，同时就是未来的同向卖压——它和对冲盘不是同一批人。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超配越厚，该行业越像「公募的共识仓位」：逻辑被证伪时，卖出来的是同一批人、同一方向、同一时点，流动性会在最需要的时候消失。 怎么看：必须双坐标：相对基准（倍数）与相对自身历史（分位/Z）。只报 pct 无法跨行业比较。 误读：跨行业直接比大小。银行超配 5pct 是极端，电子超配 5pct 只是常态，基数不同。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 Z（扩窗）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(本期超配 − 扩窗均值) ÷ 扩窗标准差；最少 8 期，只用 ≤t 的数据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 31 个行业放到「自身历史」这把尺子上，度量仓位的罕见程度。扩窗（无前视）保证每个时点只用当时已知的信息。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Z 高＝仓位已到历史少见的位置，继续加仓需要新资金而非存量调仓；边际买盘一旦衰竭，同等幅度的利空会被放大。 怎么看：|Z|&gt;1.5 关注、&gt;2 极端；与分位交叉验证（厚尾分布下 Z 会夸大罕见度）。 误读：把 Z 当涨跌预测。Z 是位置不是方向，Z=4 只说明仓位罕见，不说明要跌。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超配历史分位（%）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扩窗内「历史超配 &lt; 当前超配」的期数占比 ×100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与 Z 同源但更稳健：分位数不受离群值绑架，语义直白——「有数据以来 100% 的时间都没这么重过」。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分位越高，剩余的仓位空间越小。这是仓位维度的约束，不是价格维度的约束。 怎么看：≥90 极度拥挤；75–90 偏拥挤；≤10 显著低配。 误读：分位 100% 不等于到顶：只要净值继续跑赢，高仓位可以靠上涨自我维持很久。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配置系数 F12（×）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÷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「相对指数下了几倍的注」。剔除行业体量差异后，31 个行业第一次可以横向比较。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&gt;2.5＝公募仓位是指数权重的 2.5 倍以上，属极端共识；&lt;0.5＝机构基本放弃该行业，边际定价权已让渡给其他资金。 怎么看：与分位互补：F12 相对市场，分位相对自身历史；两者同高才是「双高」。 误读：基准权重接近 0 的行业（综合、纺织服饰）倍数会被除零放大，排序必须设权重门槛。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筹码盈利比例 F13（%）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现价高于成交量加权成本的市值 ÷ 行业总市值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浮盈盘的厚度。它同时是持有者的心理安全垫，和随时可以兑现的潜在筹码。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高浮盈 + 高配置＝双脆弱：回撤把浮盈打掉后，减仓会自我强化。但高浮盈本身也是趋势确认——套牢盘少，上行阻力小。 怎么看：&gt;70% 获利盘极重；与超配分位同高时风险叠加；与低配同高时是「轻装」。 误读：当成卖出信号。它只改变回撤时的抛压弹性，不决定方向。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成交额占比 / 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行业成交额 ÷ 全市场成交额；分位为扩窗历史分位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注意力与换手的分布，是流量而非存量。持仓告诉你谁拿着，成交告诉你谁在交易。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持仓拥挤 + 交易拥挤＝真拥挤（机构与散户共振）；只有交易热而持仓不重＝主题行情，通常来得快去得也快。 怎么看：成交分位 &gt;90 且配置分位 &lt;50 → 游资/主题；两者同高 → 共振；成交分位 &lt;30 而配置分位 &gt;90 → 存量抱团、增量已撤。 误读：成交占比高可能只是行业扩容（大市值、新股上市），必须同时看历史分位。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超配动量 F4 / 动量 Z F4b（pct）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F4＝本期超配 − 上期超配；F4b＝对 F4 做扩窗 Z 标准化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边际资金的方向：仓位是在继续加，还是已经停手。水平告诉你「多重」，动量告诉你「还在不在变重」——拐点总是先出现在动量上，再出现在水平上。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超配高位 + 动量转负＝「见顶但未减仓」的典型形态，是最需要警惕的组合；超配低位 + 动量转正＝资金开始试探，是赔率更好的位置。 怎么看：看符号与持续性：单季转负可能是净值波动，连续两季转负才是资金撤出。 误读：把动量当趋势。季度频率的动量只反映季末持仓差，捕捉不到季内进出。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三信号共振 F10（S1/S2/S3）（分）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S1 持仓拥挤 + S2 交易拥挤 + S3 筹码拥挤，命中计 1，合计 0~3 分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三个独立维度同时极端，才算「真拥挤」：机构仓位（供给）、交易热度（需求）、获利盘（抛压）。单维极端往往是噪声，三维共振才是结构性风险。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3/3 是最强的风险提示，但也意味着行情通常已经很陡；2/3 是「关注区」，需要结合四象限判断是趋势型还是主题型。 怎么看：先看分数，再看缺哪一维：缺 S2＝只有机构没有交易热度（存量抱团）；缺 S1＝只有交易没有机构（主题炒作）。 误读：把 3/3 当卖出信号。共振描述的是「脆弱性」，不是「时点」。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综合拥挤度 F11 / F11e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超配、超配 Z、超配分位、超配动量 四项横截面 Z 加权（0.20/0.25/0.15/0.10 归一）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把「仓位水平、历史位置、边际方向」压成一个可排序的分数，回答唯一的问题：谁最挤。F11e 是同一算法在偏股混合长历史（2016 起）上的版本，跨期可比。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排序工具，不是买卖信号。前 3 名是共识最厚、也最依赖增量资金维持的位置。 怎么看：三看：绝对值（&gt;1.5）、排名（前 5）、变化（环比变挤/变松，见页面底部变化榜）。 误读：合成会平均掉单维极值：F11 中性但分位 100% 的行业（如建筑材料），必须回看分项。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拥挤等级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由超配分位与配置系数双阈值触发，取最高级（5 档）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把连续指标离散成可扫描的预警档位，服务于「31 个行业一屏看完」的实务需求。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等级越高，「共识—脆弱」的组合越极端；但等级本身不区分「景气驱动」与「炒作驱动」，这两种拥挤的持续性完全不同。 怎么看：等级 + 口径背离标记 + 四象限（配置分位 × 成交分位）三者合看。 误读：把等级当估值。等级是相对历史与相对基准的位置，不含绝对估值信息。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2.2 市场层指标（① 总览 / ③ 集中度与结构）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HHI 行业集中度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Σ(各行业配置占比)²，占比取小数；31 行业等权时 = 1/31 ≈ 0.0323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行业维度的分散度。HHI 越高，组合越像「少数行业的组合」，行业分散这道风控防线越失效。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HHI 高＝净值由少数行业共同驱动，回撤时同向、无对冲；也是基金同质化的度量——同质化越高，赎回冲击越集中。 怎么看：与等权基准（0.0323）比倍数、与自身历史分位比位置；0.23 ≈ 等权的 7 倍。 误读：HHI 上升可能只是行业市值分化（涨出来的权重），不等于主动加仓。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CR3 / CR5 / CR10（%）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 3 / 5 / 10 大行业的配置占比之和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头部集中度。CR3 直接回答「多少筹码压在几个行业上」。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CR3 超过 2/3 时，「选行业」比「选个股」更决定净值；任一头部行业的政策或景气变化，都会主导整个主动权益群体的表现。 怎么看：CR3 与 CR10 的差额＝第 4~10 名的厚度；差额小说明是「三强鼎立」，差额大说明是「一超多强」。 误读：把 CR 上升一律解读为抱团——行业市值涨跌本身会改变 CR。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极度拥挤 / 显著低配家数（家）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按等级计数：极度拥挤＝分位≥90 或 F12&gt;2.5；显著低配＝Z&lt;−1.5 或 F12&lt;0.5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市场宽度：同一时点有多少个行业处在极端状态。它回答的是「拥挤是普遍现象，还是局部现象」。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两端同时多＝K 型分化，资金在行业间搬家而非整体加仓——这类市场里「选错行业」比「看错大盘」更致命；两端都少＝共识分散，行业选择的重要性下降。 怎么看：极度拥挤 ≥3 且显著低配 ≥10 → 极端分化；两者都 ≤2 → 均匀市场，拥挤度解释力弱。 误读：把家数当强度。3 个行业「刚刚越过阈值」的风险，低于 1 个行业处在历史极值。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第一大重仓行业（%）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配置占比最高的行业及其占比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单点暴露。它标出当前主动权益群体「最重要的一笔共识」。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占比 &gt;40% 时，组合已近似行业基金：风格标签失真、赎回压力集中在同一赛道、与基准的偏离无法靠其他行业对冲。 怎么看：看三点：占比、领先第二名多少、以及这个行业自身处在什么拥挤等级。 误读：把「第一大重仓」当成推荐。它描述的是群体行为，不是投资建议。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个股集中度 / 前十占净值比（%）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前十大重仓股合计市值 ÷ 基金净值（样本均值）；另统计重仓股只数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选股集中度，同时是仓位代理（不是真实股票仓位）。只数越少、占比越高，说明基金经理越依赖少数标的表达观点。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集中度高＝个股风险大、调仓冲击成本高，但也说明有确信度；对拥挤度而言，重仓股即组合，卖出时没有缓冲。 怎么看：与样本基金数、重仓股只数一起看：只数下降而占比上升＝共识收敛。 误读：把「前十占净值比」当股票仓位。它是下限性质的代理，真实仓位还包含非重仓持股。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配置占比的环比变化（pct）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本期行业配置占比 − 上一期行业配置占比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存量分布逐季的差分，也就是「这个季度资金从哪搬到哪」。占比变化把「行业涨跌」与「主动加减仓」混在一起，是流量与价格效应的合成。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单季 ±5pct 以上的搬家属于结构性调仓，通常对应一次主线切换；±1pct 以内多为净值涨跌带来的被动漂移，不能读成主动决策。 怎么看：看「谁减、谁增」的配对关系：加仓行业的资金来源，往往是同一批被减仓的行业。 误读：把占比上升全算作主动加仓。行业自身大涨也会让占比上升，需结合超配变化拆分。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FCI 因子拥挤指数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行业拥挤度的市场层合成（含扩窗分位标准化）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全市场拥挤的总量度量：不问「哪里挤」，只问「整体有多挤」。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分位到 100% 说明增量资金的需求处在历史峰值；总量指标不能指出方向，必须回到行业层面找结构。 怎么看：FCI 高位 + HHI 高位＝「总量拥挤 + 结构集中」，是最脆弱的组合。 误读：用总量指标做择时。市场可以在极拥挤状态下继续上涨数月。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2.3 统计检验指标（④ 因子与检验）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RankIC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每期：因子值与下期行业收益的 Spearman 秩相关系数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因子的排序能力：它能不能把「未来涨得多的行业」排到前面。取秩相关而非 Pearson，是为了不被极端值支配。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|IC|≈0.1 已具备经济意义（31 个行业的排序，0.1 对应可观的多空差）；符号决定用法：正号＝高值行业后续占优，负号＝高值行业后续落后。 怎么看：看均值、看胜率、看显著性，三者同向才算有效；单期 IC 几乎全是噪声。 误读：拿单期 IC 说事。一期 IC=0.3 可能只是某个行业的一次事件驱动。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IC_IR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均值 ÷ IC 标准差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因子有效性的稳定性：同样的均值，波动越小越可信。等价于「单位风险的超额信息」。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&gt;0.3 可用、&gt;0.5 较好；IR 低的因子即使均值漂亮，也会在实盘中反复失效。 怎么看：与样本期数一起看：8 期的 IR 0.5 远不如 30 期的 IR 0.3 可信。 误读：忽略期数直接比 IR。短样本的 IR 极不稳定。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NW t 值 / p 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序列均值的新息 t 检验，标准误经 Newey-West 自相关调整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考虑序列相关后的统计显著性。季度 IC 存在自相关，普通 t 检验会高估显著性。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|t|&gt;2 才算在 5% 水平显著；不显著意味着「现有样本无法排除运气」。 怎么看：t 与 p 配套看；同时看 Bootstrap 置信区间是否含 0（本页已给）。 误读：t 值大就下结论。多重比较（试了很多因子）会系统性抬高假阳性。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胜率（%）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与预期方向一致的期数 ÷ 有效期数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方向的一致性。高胜率说明因子不是靠某一期的极值撑起均值。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&gt;60% 说明方向稳定；均值高但胜率 50% 的因子，本质是「押注少数极端期」。 怎么看：与 IC 均值、最大单期贡献一起看：剔除最好一期后是否仍有效。 误读：把小样本胜率当概率。8 期里 7 期为正，置信区间仍然很宽。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分层收益 / 单调性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按因子值把 31 个行业分 5 层，统计各层下期平均收益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因子与收益的关系形状：是单调（线性可用），还是只在尾部有效（阈值效应）。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单调才适合做加权与打分；非单调说明因子只在极端层有信息，中间层是噪声，不能用线性模型解释。 怎么看：看第 1 层与第 5 层的差（多空）、看是否逐层递增、看中间层是否混乱。 误读：只看多空差、不看单调性。多空差可能全部来自最极端的一层。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事件研究超额（%）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信号触发后 3 / 6 / 12 个月，相对基准的累计超额收益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信号的实际经济价值：不只是统计相关，而是真金白银能拿到的差额。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均值显著为负，才支持「拥挤＝风险」；不显著则说明拥挤度只是状态描述，不构成择时依据——本项目实测正是后一种情形（样本期短、触发次数少）。 怎么看：看均值、中位数、负收益概率、t 值四件套；触发次数 &lt;10 时结论只能是「待观察」。 误读：用 3 个月的结果推断长期。拥挤的代价往往在 6~12 个月才体现。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操作指南（5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 + 特征 + 拐点）+ 投资机会解读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拥挤度热力图（37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H1–H9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6.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37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行业季度涨跌幅曾存在前值填充缺陷（486 格，2022Q1 起），已于 R16 用 Wind 季 K 重抓替换；修正后 F9/F13 的 IC 归零、F11 边际显著（p=0.06），拥挤度仍无稳定可交易的截面预测力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