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1F6FEB"/>
          <w:sz w:val="24"/>
        </w:rPr>
        <w:t>公募基金持仓研究</w:t>
      </w:r>
    </w:p>
    <w:p>
      <w:pPr>
        <w:jc w:val="center"/>
      </w:pPr>
      <w:r>
        <w:rPr>
          <w:rFonts w:ascii="微软雅黑" w:hAnsi="微软雅黑" w:eastAsia="微软雅黑"/>
          <w:b/>
          <w:color w:val="1F2D3D"/>
          <w:sz w:val="52"/>
        </w:rPr>
        <w:t>行业拥挤度与集中度分析报告</w:t>
      </w:r>
    </w:p>
    <w:p>
      <w:pPr>
        <w:jc w:val="center"/>
      </w:pPr>
      <w:r>
        <w:rPr>
          <w:rFonts w:ascii="微软雅黑" w:hAnsi="微软雅黑" w:eastAsia="微软雅黑"/>
          <w:color w:val="6B7A8C"/>
          <w:sz w:val="26"/>
        </w:rPr>
        <w:t>2026 年三季度 · 数据截至 2026 年 9 月 30 日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F2F5F8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/>
                <w:color w:val="1F6FEB"/>
                <w:sz w:val="18"/>
              </w:rPr>
              <w:t>样本范围</w:t>
            </w:r>
          </w:p>
        </w:tc>
        <w:tc>
          <w:tcPr>
            <w:tcW w:type="dxa" w:w="4706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4,270 只主动权益基金（普通股票型 + 偏股混合 + 灵活配置，已剔主题基金）</w:t>
            </w:r>
          </w:p>
        </w:tc>
      </w:tr>
      <w:tr>
        <w:tc>
          <w:tcPr>
            <w:tcW w:type="dxa" w:w="1814"/>
            <w:shd w:val="clear" w:fill="F2F5F8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/>
                <w:color w:val="1F6FEB"/>
                <w:sz w:val="18"/>
              </w:rPr>
              <w:t>行业分类</w:t>
            </w:r>
          </w:p>
        </w:tc>
        <w:tc>
          <w:tcPr>
            <w:tcW w:type="dxa" w:w="4706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申万一级 31 个行业</w:t>
            </w:r>
          </w:p>
        </w:tc>
      </w:tr>
      <w:tr>
        <w:tc>
          <w:tcPr>
            <w:tcW w:type="dxa" w:w="1814"/>
            <w:shd w:val="clear" w:fill="F2F5F8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/>
                <w:color w:val="1F6FEB"/>
                <w:sz w:val="18"/>
              </w:rPr>
              <w:t>数据来源</w:t>
            </w:r>
          </w:p>
        </w:tc>
        <w:tc>
          <w:tcPr>
            <w:tcW w:type="dxa" w:w="4706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东方财富基金定期报告（季报前十大、半年报全持仓）；申万行业指数日行情</w:t>
            </w:r>
          </w:p>
        </w:tc>
      </w:tr>
      <w:tr>
        <w:tc>
          <w:tcPr>
            <w:tcW w:type="dxa" w:w="1814"/>
            <w:shd w:val="clear" w:fill="F2F5F8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/>
                <w:color w:val="1F6FEB"/>
                <w:sz w:val="18"/>
              </w:rPr>
              <w:t>口径说明</w:t>
            </w:r>
          </w:p>
        </w:tc>
        <w:tc>
          <w:tcPr>
            <w:tcW w:type="dxa" w:w="4706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配置/广度/分位为前十大口径（2026Q2→2026Q3）；主动/被动为全持仓（2025Q4→2026Q2）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color w:val="6B7A8C"/>
          <w:sz w:val="17"/>
        </w:rPr>
        <w:t>本报告由持仓数据自动生成，所有指标可用原始披露复算。</w:t>
        <w:br/>
        <w:t>报告为数据描述与规则输出，不构成投资建议。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摘要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本报告基于 2026Q3 全部 4,270 只主动权益基金的前十大重仓披露，从「押得多重（配置）、价格多贵（指数）、钱还在不在进（资金）」三个维度，给出 31 个申万一级行业的拥挤度评分（CSI），并拆解本季度的行业轮动与个股换手。核心结论如下。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总仓位停在 89.0%（15 个半年报期第 87 分位），较上期 -0.04pp，42% 的基金加仓。整体没有增量资金，行业配置的变化是内部换仓。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行业集中度 HHI 为 0.0982（31 期中第 97 分位），前三大行业合计 42.7%。集中度处于历史高位，组合对少数行业的依赖度高于过去多数时点。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最拥挤的三个行业是 煤炭（88）、石油石化（85）、银行（78）；CSI 最低的三个是 食品饮料（22）、非银金融（24）、计算机（26）。31 个行业中极度拥挤 2 个、拥挤 7 个、冷门 2 个；另有 5 个行业因持有基金数不足 150 只、或前十配置不足 0.5%，一律不评级，不计入上述任何一档。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拥挤度上升最快的是 银行（+44）、石油石化（+38）、医药生物（+32）；回落最快的是 建筑材料（-59）、美容护理（-30）、电子（-29）。「水位已高且仍在涨」比「水位高但在退潮」更值得警惕。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按事前固定的规则，本期可以跟的行业 3 个（医药生物、公用事业、房地产），别追高 3 个（银行、煤炭、石油石化），要回避 6 个（通信、非银金融、建筑材料、机械设备、电力设备、电子）。权益仓位参考 50%–60%。</w:t>
      </w:r>
    </w:p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说明：本报告的「可以跟」指资金在进、多数基金在加、价格不在历史极值，是赔率与风险的组合判断，不是收益预测。因子检验显示季报指标对次季收益没有稳定预测力。</w:t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一、数据与方法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1.1 样本与三套口径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样本为 2026Q3 有完整持仓披露的主动权益基金 4,270 只。指数基金、ETF 联接的持仓是复制标的，债券与 QDII 不投 A 股，均不计入——否则被动资金会被误读成「机构观点」。单行业占前十大超过 80% 的主题基金也已剔除，其变动反映主题申赎而非行业判断。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持仓数据存在三套互不通用的口径，本报告严格区分：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口径</w:t>
            </w:r>
          </w:p>
        </w:tc>
        <w:tc>
          <w:tcPr>
            <w:tcW w:type="dxa" w:w="147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频率</w:t>
            </w:r>
          </w:p>
        </w:tc>
        <w:tc>
          <w:tcPr>
            <w:tcW w:type="dxa" w:w="2608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权重定义</w:t>
            </w:r>
          </w:p>
        </w:tc>
        <w:tc>
          <w:tcPr>
            <w:tcW w:type="dxa" w:w="238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回答什么</w:t>
            </w:r>
          </w:p>
        </w:tc>
        <w:tc>
          <w:tcPr>
            <w:tcW w:type="dxa" w:w="2268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不能回答什么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 全持仓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半年报（Q2/Q4）</w:t>
            </w:r>
          </w:p>
        </w:tc>
        <w:tc>
          <w:tcPr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占净值比，之和＝股票仓位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配置水平、超配低配、主动/被动分解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一年只有两次</w:t>
            </w:r>
          </w:p>
        </w:tc>
      </w:tr>
      <w:tr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 前十大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季报（Q1–Q4）</w:t>
            </w:r>
          </w:p>
        </w:tc>
        <w:tc>
          <w:tcPr>
            <w:tcW w:type="dxa" w:w="260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每只基金取前 10 只后归一化到 100%</w:t>
            </w:r>
          </w:p>
        </w:tc>
        <w:tc>
          <w:tcPr>
            <w:tcW w:type="dxa" w:w="238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加仓广度、环比/同比、历史分位</w:t>
            </w:r>
          </w:p>
        </w:tc>
        <w:tc>
          <w:tcPr>
            <w:tcW w:type="dxa" w:w="226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只覆盖组合一部分，绝对水平不可用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 个股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同披露类型两期</w:t>
            </w:r>
          </w:p>
        </w:tc>
        <w:tc>
          <w:tcPr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持有基金数、持股数、持仓市值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谁被建仓、谁被移出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跌出前十不等于清仓</w:t>
            </w:r>
          </w:p>
        </w:tc>
      </w:tr>
    </w:tbl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三套口径的分母与披露范围都不同，不能相加，也不能跨口径比较绝对水平。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1.2 拥挤度指数 CSI 的定义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CSI 把三个相互独立的维度各自换算为 0–100 的分位后等权平均：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配置分位：该行业前十大配置在自身 31 期历史中的排名——机构押得多重；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价格分位：行业指数季末点位在 2019 年以来交易日中的排名——价格有多贵；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资金分位：当期加仓占比在 31 个行业之间的排名——钱还在不在进。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等权而非加权，是因为三个维度已统一为分位、量纲一致；31 个行业 × 31 期的样本量不足以稳定估计权重，任何加权都容易过拟合。分级阈值为：≥80 极度拥挤、65–80 拥挤、45–65 中性、25–45 偏冷、&lt;25 冷门。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为什么不用 HHI：HHI＝Σw²，是**一个组合**的集中度，31 个行业最终压成一个标量，只能回答「整体分散不分散」，无法给行业排序；本报告要回答「哪个行业挤」，主指标只能是行业层面的 CSI。HHI 作为组合层面的辅助指标保留在第二章。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1.3 数据质量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覆盖率（持仓市值 ÷ 净值）异常的记录（&gt;105% 或 &lt;1%）整只剔除，不做归一化；个股代码统一为字符串，港股 5 位代码不补零（避免与 A 股撞码）。报告全部指标由 canon 统一口径层计算，12 条恒等式自检（归一化、广度分母、价格中性净额之和、GK 恒等式、分位区间、个股一致性等）全部通过。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二、总体仓位与集中度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181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color w:val="6B7A8C"/>
          <w:sz w:val="17"/>
        </w:rPr>
        <w:t>图 1　股票仓位中位数：15 个半年报期（阴影为 25–75 分位带）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最新全持仓期（2026Q2）股票仓位中位 89.05%，较 2025Q4 的 89.08% 变化 -0.04pp，位于 15 个半年报期的第 87 分位。42% 的基金加仓、58% 减仓。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需要说明期次：最新季报是 2026Q3，但季报只披露前十大（覆盖净值约 20%–50%），无法据此还原股票仓位；完整仓位只在半年报（Q2/Q4）可见。因此本节用的是最近一个全持仓期 2026Q2，与最新季报 2026Q3 相差一个季度——这不是数据滞后，而是披露制度决定的：季报没有全量持仓，就不存在「Q3 的股票仓位」这个数。后文的行业配置、广度、拥挤度均已更新到 2026Q3。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这条数据决定了全篇的读法：既然总仓位没有变化，行业配置的此消彼长就只能来自内部换仓。因此看到某行业占比上升，可以读成「机构更看好它」，而不必担心是「大盘上涨、水涨船高」。反过来，仓位已在 87 分位的高位，指望「全体加仓推动普涨」并不现实。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2.1 集中度指标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8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147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数值</w:t>
            </w:r>
          </w:p>
        </w:tc>
        <w:tc>
          <w:tcPr>
            <w:tcW w:type="dxa" w:w="2608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备注</w:t>
            </w:r>
          </w:p>
        </w:tc>
        <w:tc>
          <w:tcPr>
            <w:tcW w:type="dxa" w:w="3402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含义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行业集中度 HHI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0.0982</w:t>
            </w:r>
          </w:p>
        </w:tc>
        <w:tc>
          <w:tcPr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第 97 分位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Σ(行业占比)²；越大越集中在少数行业</w:t>
            </w:r>
          </w:p>
        </w:tc>
      </w:tr>
      <w:tr>
        <w:tc>
          <w:tcPr>
            <w:tcW w:type="dxa" w:w="238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前三大行业合计 CR3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42.7%</w:t>
            </w:r>
          </w:p>
        </w:tc>
        <w:tc>
          <w:tcPr>
            <w:tcW w:type="dxa" w:w="260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电子、通信、电力设备</w:t>
            </w:r>
          </w:p>
        </w:tc>
        <w:tc>
          <w:tcPr>
            <w:tcW w:type="dxa" w:w="3402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前三大行业占前十大组合的比重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配置最高行业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24.65%</w:t>
            </w:r>
          </w:p>
        </w:tc>
        <w:tc>
          <w:tcPr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电子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前十大口径，等权平均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HHI 0.0982 处于 31 期的第 97 分位，说明主动权益基金整体的行业分布比过去多数时点更集中。集中度本身不区分方向：它只说明组合对少数行业的依赖度上升，一旦这些行业出现回调，净值波动会被放大。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三、拥挤度全景：31 个行业谁最挤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26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color w:val="6B7A8C"/>
          <w:sz w:val="17"/>
        </w:rPr>
        <w:t>图 2　31 个行业拥挤度指数 CSI（2026Q3）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0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行业数</w:t>
            </w:r>
          </w:p>
        </w:tc>
        <w:tc>
          <w:tcPr>
            <w:tcW w:type="dxa" w:w="6803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行业（前 6 个）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极度拥挤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煤炭、石油石化</w:t>
            </w:r>
          </w:p>
        </w:tc>
      </w:tr>
      <w:tr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拥挤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6803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银行、公用事业、通信、有色金属、电子、机械设备…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中性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基础化工、医药生物、轻工制造、汽车、家用电器、纺织服饰</w:t>
            </w:r>
          </w:p>
        </w:tc>
      </w:tr>
      <w:tr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偏冷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6803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房地产、农林牧渔、交通运输、商贸零售、建筑材料、传媒…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冷门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非银金融、食品饮料</w:t>
            </w:r>
          </w:p>
        </w:tc>
      </w:tr>
      <w:tr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小样本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6803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综合、环保、社会服务、钢铁、美容护理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最拥挤的是 煤炭（CSI 88）、石油石化（CSI 85）、银行（CSI 78）。其中煤炭、石油石化的价格分位都在 90 以上，属于「机构重仓 + 价格在历史高位」，是本报告认定的真拥挤。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需要单独说明：综合、环保、社会服务、钢铁、美容护理 这 5 个行业本报告一律「不评级」。以 综合 为例，它的 CSI 算出来是 83 分，按三分位本来会判为「极度拥挤」，但全市场只有 58 只样本基金把它放进前十大，前十配置合计仅 0.12%。三个分位都是在这个极小样本上排出来的——几十只基金里少数几只调仓，就能把资金分位推到 80 以上；指数从低位反弹一段，就能把价格分位推到 90 以上。而这个行业对整个组合的影响不足 0.2pp，即使仓位清零，对净值的影响也小于一个正常行业 1pp 的调仓。因此它不进入拥挤排名、不给买卖动作，在图表中一律以灰色「小样本」显示。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CSI 最低的三个行业是 食品饮料（CSI 22）、非银金融（CSI 24）、计算机（CSI 26）。注意「冷门」与「小样本」不是一回事：冷门是持有基金数足够多、但配置与资金都在低位；小样本是持有人本来就少，不评级。冷门不等于机会——它只说明当前没有资金关注，需要等「加仓占比回升 + 净额转正」两个信号同时出现，才构成关注理由。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3.1 小样本行业的处理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判定规则（事前固定）：全市场持有基金数少于 150 只、或前十配置低于 0.5%，即标记为「小样本」，等级记为「小样本」而不是任何拥挤档位。理由有两条：① 分位是排序统计量，样本越小，少数观测越容易把它推到极值；② CSI 三个分量里，价格分位与资金分位都不看绝对配置，一个只占组合 0.1% 的行业也能拿到 90 分，但它对净值没有影响。本期小样本行业为：综合、环保、社会服务、钢铁、美容护理。这些行业的 CSI 数值仍保留在附录，仅供了解其自身位置的极端程度，不构成拥挤判断。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四、拥挤度变化：谁在变挤、谁在变松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color w:val="6B7A8C"/>
          <w:sz w:val="17"/>
        </w:rPr>
        <w:t>图 3　ΔCSI＝本期 − 上期（2026Q2→2026Q3），红＝变挤、绿＝变松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水位（CSI）说明现在挤不挤，水流（ΔCSI）说明正在往哪个方向走。两者必须一起看：水位高但正在放水，危险程度远低于「水位高且还在涨」。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本期变挤最快的是 银行（35→78，+44）、石油石化（47→85，+38）、医药生物（24→56，+32）；变松最快的是 建筑材料（89→30，-59）、美容护理（33→3，-30）、电子（100→71，-29）。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最需要警惕的是「水位 ≥80 且 ΔCSI&gt;0」的行业，本期有 3 个：石油石化、综合、煤炭。这些行业既在历史高位、资金又还在往里挤，边际买家正在耗尽。相反，已经变松的高水位行业不必急着卖——资金正在自己退潮。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五、配置 × 价格：四象限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39697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969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color w:val="6B7A8C"/>
          <w:sz w:val="17"/>
        </w:rPr>
        <w:t>图 4　配置分位 × 价格分位（气泡大小＝前十配置比例）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象限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行业数</w:t>
            </w:r>
          </w:p>
        </w:tc>
        <w:tc>
          <w:tcPr>
            <w:tcW w:type="dxa" w:w="4309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2835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代表行业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右上　真拥挤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4309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机构重仓且价格在历史高位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煤炭、电子、通信、石油石化</w:t>
            </w:r>
          </w:p>
        </w:tc>
      </w:tr>
      <w:tr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右下　抱团没赚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4309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仓位重但价格还在低位，要么机会要么判断错</w:t>
            </w:r>
          </w:p>
        </w:tc>
        <w:tc>
          <w:tcPr>
            <w:tcW w:type="dxa" w:w="2835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纺织服饰、轻工制造、环保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左上　机构踏空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4309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价格涨了但仓位没跟上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家用电器、公用事业、电力设备</w:t>
            </w:r>
          </w:p>
        </w:tc>
      </w:tr>
      <w:tr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左下　冷门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4309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仓位轻、价格低，无资金关注</w:t>
            </w:r>
          </w:p>
        </w:tc>
        <w:tc>
          <w:tcPr>
            <w:tcW w:type="dxa" w:w="2835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农林牧渔、钢铁、食品饮料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只看配置分位会高估小行业的拥挤、低估大行业的风险；只看价格分位会把「一直很重」当成「现在才拥挤」。两个分位一起看，才知道该减谁、该等谁。右上角是真拥挤——买它等于在拥挤处接棒；右下角是「闷在里面」的，不用急着卖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六、行业配置变化与个股换手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6.1 行业环比与同比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36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行业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前十配置%</w:t>
            </w:r>
          </w:p>
        </w:tc>
        <w:tc>
          <w:tcPr>
            <w:tcW w:type="dxa" w:w="141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环比pp(2026Q2→2026Q3)</w:t>
            </w:r>
          </w:p>
        </w:tc>
        <w:tc>
          <w:tcPr>
            <w:tcW w:type="dxa" w:w="141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同比pp(2025Q3→2026Q3)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当期主动pp</w:t>
            </w:r>
          </w:p>
        </w:tc>
        <w:tc>
          <w:tcPr>
            <w:tcW w:type="dxa" w:w="119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加仓占比%</w:t>
            </w:r>
          </w:p>
        </w:tc>
        <w:tc>
          <w:tcPr>
            <w:tcW w:type="dxa" w:w="1020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配置分位</w:t>
            </w:r>
          </w:p>
        </w:tc>
        <w:tc>
          <w:tcPr>
            <w:tcW w:type="dxa" w:w="1020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价格分位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动作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农林牧渔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1.35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0.41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-0.18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58.5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35.48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13.5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等确认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基础化工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3.83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-0.03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-0.02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51.9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74.19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66.3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钢铁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0.34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-0.24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37.9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29.03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28.0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有色金属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4.84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0.53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-2.74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0.37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56.9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64.52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88.5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观察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电子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24.65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-4.94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4.17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-2.54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43.6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96.77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94.7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要回避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汽车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4.77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-2.57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-0.05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47.6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61.29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67.3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家用电器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2.62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0.21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-0.51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53.0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32.26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63.8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食品饮料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3.88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0.46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-0.15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53.4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6.45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7.4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等确认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纺织服饰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0.71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54.8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67.74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13.9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轻工制造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1.16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0.14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59.4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67.74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20.8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等确认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医药生物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6.22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2.86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1.36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2.17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67.0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35.48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36.8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可以跟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公用事业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1.36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0.55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0.52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66.3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48.39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81.5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可以跟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交通运输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1.96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0.44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59.1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29.03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14.5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等确认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房地产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0.67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0.29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-0.19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0.32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74.3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12.9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12.9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可以跟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商贸零售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0.53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0.13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-0.26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57.1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25.81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7.3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社会服务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0.38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0.04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48.9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9.68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25.4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</w:tbl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按环比降序前 16 个行业；完整 31 行见附录。环比含价格漂移，「当期主动pp」为价格中性后的净买卖，两者不可混用。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6.2 个股：环比与同比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90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147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股票</w:t>
            </w:r>
          </w:p>
        </w:tc>
        <w:tc>
          <w:tcPr>
            <w:tcW w:type="dxa" w:w="136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58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2026Q2持有基金数</w:t>
            </w:r>
          </w:p>
        </w:tc>
        <w:tc>
          <w:tcPr>
            <w:tcW w:type="dxa" w:w="158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2026Q3持有基金数</w:t>
            </w:r>
          </w:p>
        </w:tc>
        <w:tc>
          <w:tcPr>
            <w:tcW w:type="dxa" w:w="1020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环比Δ</w:t>
            </w:r>
          </w:p>
        </w:tc>
        <w:tc>
          <w:tcPr>
            <w:tcW w:type="dxa" w:w="170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同比Δ(2025Q3→2026Q3)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长鑫科技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电子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667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667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667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药明康德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医药生物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323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744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421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528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紫金矿业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有色金属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322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546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224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-182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松发股份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国防军工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39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202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163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202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天孚通信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通信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200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354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177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兆易创新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电子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583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164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-419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-167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海光信息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电子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437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211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-226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-30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宁德时代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电力设备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1041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826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-215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-286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中国巨石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建筑材料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287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72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-215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38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中际旭创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通信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1528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1335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-193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650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环比与同比经常相反。本期最典型的是中际旭创：环比 −193 家（这一季在撤），同比 +650 家（这一年被大幅加进来）——浮盈盘刚开始离场，这类最需要警惕。相反，紫金矿业环比 +224、同比 −182，是「这一年被减、这一季又被买回」，属于逆势承接，方向尚未确认。</w:t>
      </w:r>
    </w:p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口径：前十大（两期都只取每只基金最重的 10 只），披露范围一致才可比；已剔除两期持有基金数都不到 10 家的小样本。跌出前十不等于清仓。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七、投资含义与操作建议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规则事前固定、不看结果调参：可以跟＝当期主动≥+0.3pp 且 广度≥60% 且 配置分位≤80 且 价格分位≤85；别追高＝位置到极值但资金还在进；要回避＝资金在撤且没人接，或配置分位≥90 且广度≤50。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动作</w:t>
            </w:r>
          </w:p>
        </w:tc>
        <w:tc>
          <w:tcPr>
            <w:tcW w:type="dxa" w:w="181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90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强度</w:t>
            </w:r>
          </w:p>
        </w:tc>
        <w:tc>
          <w:tcPr>
            <w:tcW w:type="dxa" w:w="136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当期主动pp</w:t>
            </w:r>
          </w:p>
        </w:tc>
        <w:tc>
          <w:tcPr>
            <w:tcW w:type="dxa" w:w="136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加仓占比%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配置分位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价格分位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可以跟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强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+2.17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37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可以跟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公用事业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+0.52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48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82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可以跟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+0.32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13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别追高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银行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强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+1.16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52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94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别追高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煤炭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+0.35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97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别追高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石油石化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+0.25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94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通信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-0.41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94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非银金融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-0.54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42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23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建筑材料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-0.77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49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机械设备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-1.02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90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电力设备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-1.40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19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54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电子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强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-2.54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95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观察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国防军工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+0.59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62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72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观察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有色金属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+0.37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88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等确认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+0.29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等确认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交通运输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+0.28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等确认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+0.20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等确认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轻工制造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+0.14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68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21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总仓位建议 50%–60%。仓位分位 87 已属历史高位，后续增量资金有限；离散度中位 22.7，行业之间分歧不小，仓位不宜打满。买入按三批建仓，单行业不超过权益仓位的 15%；「别追高」的行业已持有可以拿住，但不加仓。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需要强调：这套规则筛的是「赔率与风险的组合」，不是收益预测。因子检验显示，9 个季报因子在 29 期样本上没有一个是正向可用的，加仓广度甚至是反向的（IC −0.041，p=0.058）。它的价值在于避免在拥挤处接棒、避免在撤离处抄底，而不是抓涨幅。</w:t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八、稳健性与局限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8.1 阈值敏感性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628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情景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可以跟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要回避</w:t>
            </w:r>
          </w:p>
        </w:tc>
        <w:tc>
          <w:tcPr>
            <w:tcW w:type="dxa" w:w="158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与基准重合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重合率</w:t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基准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9/9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100.0</w:t>
            </w:r>
          </w:p>
        </w:tc>
      </w:tr>
      <w:tr>
        <w:tc>
          <w:tcPr>
            <w:tcW w:type="dxa" w:w="362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跟入门槛 −20%（更宽松）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9/11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82.0</w:t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跟入门槛 +20%（更严格）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6/9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67.0</w:t>
            </w:r>
          </w:p>
        </w:tc>
      </w:tr>
      <w:tr>
        <w:tc>
          <w:tcPr>
            <w:tcW w:type="dxa" w:w="362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回避门槛 −20%（更敏感）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9/9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100.0</w:t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回避门槛 +20%（更迟钝）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4/9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44.0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回避名单在放宽方向完全稳定、收紧方向不稳；可以跟名单在放宽方向会多出两家、严格方向会清空。这说明本期这几个「可以跟」的共识强度只是刚过 60% 这条线，不是压倒性共识——仓位应按「试探」而不是「重仓」来给。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8.2 四条硬约束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0"/>
        </w:rPr>
        <w:t>季报只披露前十大，绝对配置水平不可用，只能算广度与变化；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0"/>
        </w:rPr>
        <w:t>数据时滞约 3–4 周（法定 15 个工作日），看到时下季度已过约 1/3；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0"/>
        </w:rPr>
        <w:t>幸存者偏差：已清盘基金不在库内，早期分位偏乐观；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0"/>
        </w:rPr>
        <w:t>只有股票，没有债券与现金，灵活配置型基金的行业占比会被系统性放大。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附录　31 个行业完整数据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130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行业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前十配置%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环比pp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同比pp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当期主动pp</w:t>
            </w:r>
          </w:p>
        </w:tc>
        <w:tc>
          <w:tcPr>
            <w:tcW w:type="dxa" w:w="107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加仓占比%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配置分位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价格分位</w:t>
            </w:r>
          </w:p>
        </w:tc>
        <w:tc>
          <w:tcPr>
            <w:tcW w:type="dxa" w:w="73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CSI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等级</w:t>
            </w:r>
          </w:p>
        </w:tc>
        <w:tc>
          <w:tcPr>
            <w:tcW w:type="dxa" w:w="850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ΔCSI</w:t>
            </w:r>
          </w:p>
        </w:tc>
        <w:tc>
          <w:tcPr>
            <w:tcW w:type="dxa" w:w="79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样本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煤炭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1.51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0.47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0.87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0.36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64.5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80.64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96.6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88.1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极度拥挤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26.9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石油石化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0.98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0.25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59.3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87.1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93.9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85.1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极度拥挤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37.7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综合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0.03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60.3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77.42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91.0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83.0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30.1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银行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4.33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1.35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1.16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65.1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51.61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93.6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78.5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43.5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公用事业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1.36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0.52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66.3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48.39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81.5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74.5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24.3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通信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10.7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-1.0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3.41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-0.42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45.5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96.77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94.2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72.3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-19.0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有色金属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4.84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-2.74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0.37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56.9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64.52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88.5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71.4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16.4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电子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24.65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-4.94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4.17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-2.54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43.6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96.77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94.7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70.8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-29.2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机械设备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5.93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-0.92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-1.02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43.6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93.55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90.1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68.2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-25.3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国防军工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2.36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0.64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0.23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0.59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62.3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45.16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71.6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66.9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8.6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基础化工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3.83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0.73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-0.02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51.9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74.19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66.3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61.9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医药生物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6.22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2.86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1.36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2.17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67.0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35.48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36.8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56.4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32.1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轻工制造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1.16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0.14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59.4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67.74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20.8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55.3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17.6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汽车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4.77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-2.57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-0.05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47.6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61.29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67.3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53.6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-12.3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环保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0.47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-0.05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74.19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35.3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48.3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-17.0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家用电器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2.62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-0.51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0.09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53.0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32.26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63.8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-11.7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纺织服饰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0.71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0.07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54.8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67.74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13.9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45.5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-6.7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房地产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0.67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-0.19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0.32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74.3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12.9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12.9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41.9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23.3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农林牧渔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1.35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-0.18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0.29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58.5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35.48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13.5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38.9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16.1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交通运输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1.96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0.34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0.28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59.1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29.03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14.5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38.2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19.6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商贸零售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-0.26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57.1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25.81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7.3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32.5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18.9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建筑材料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1.01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-0.93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0.08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-0.76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32.9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35.48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49.2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30.4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-58.9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传媒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0.7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-1.68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-0.01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46.7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9.68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48.3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29.0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8.2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电力设备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7.35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-1.52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-4.46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-1.4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41.4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19.36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54.0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28.8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-23.8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建筑装饰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0.62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55.9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9.68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15.8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27.8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2.6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计算机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1.88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-0.94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0.01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51.0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9.68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26.9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26.2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-21.2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社会服务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9.68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25.4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24.6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8.8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非银金融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2.19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-0.36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-0.48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-0.54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42.3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22.58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34.9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24.5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冷门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-23.0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钢铁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-0.24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-0.07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37.9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29.03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28.0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22.2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-4.9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食品饮料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3.88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-0.15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53.4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6.45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7.4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21.8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冷门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9.7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美容护理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-0.19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-0.09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26.0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3.23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3.2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3.2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-29.7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</w:tbl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「样本」列为「小样本」的行业（持有基金数&lt;150 或前十配置&lt;0.5%）分位噪音大，仅供参考。口径：前十大归一化（2026Q2→2026Q3）；价格分位为季末指数点位在 2019 年以来交易日中的排名；CSI＝(配置分位+价格分位+资金分位)/3。</w:t>
      </w:r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