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1E6EB">
      <w:pPr>
        <w:spacing w:before="0" w:after="216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18"/>
          <w:lang w:eastAsia="zh-CN"/>
        </w:rPr>
        <w:t>量化因子研究</w:t>
      </w:r>
      <w:r>
        <w:rPr>
          <w:rFonts w:ascii="微软雅黑" w:hAnsi="微软雅黑"/>
          <w:b/>
          <w:color w:val="1565C0"/>
          <w:sz w:val="18"/>
        </w:rPr>
        <w:t xml:space="preserve"> · </w:t>
      </w:r>
      <w:r>
        <w:rPr>
          <w:rFonts w:hint="eastAsia" w:ascii="微软雅黑" w:hAnsi="微软雅黑" w:eastAsia="微软雅黑" w:cs="微软雅黑"/>
          <w:b/>
          <w:color w:val="1565C0"/>
          <w:sz w:val="18"/>
          <w:lang w:eastAsia="zh-CN"/>
        </w:rPr>
        <w:t>技术手册</w:t>
      </w:r>
    </w:p>
    <w:p w14:paraId="071ED2F0">
      <w:pPr>
        <w:pStyle w:val="3"/>
        <w:spacing w:before="0" w:after="300" w:line="317" w:lineRule="auto"/>
        <w:jc w:val="center"/>
        <w:rPr>
          <w:rFonts w:hint="eastAsia" w:ascii="微软雅黑" w:hAnsi="微软雅黑" w:eastAsia="微软雅黑" w:cs="微软雅黑"/>
          <w:b/>
          <w:color w:val="1A237E"/>
          <w:sz w:val="60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237E"/>
          <w:sz w:val="60"/>
          <w:lang w:eastAsia="zh-CN"/>
        </w:rPr>
        <w:t>公募基金行业拥挤度与集中度</w:t>
      </w:r>
    </w:p>
    <w:p w14:paraId="124582C1">
      <w:pPr>
        <w:pStyle w:val="3"/>
        <w:spacing w:before="0" w:after="300" w:line="317" w:lineRule="auto"/>
        <w:jc w:val="center"/>
      </w:pPr>
      <w:r>
        <w:rPr>
          <w:rFonts w:hint="eastAsia" w:ascii="微软雅黑" w:hAnsi="微软雅黑" w:eastAsia="微软雅黑" w:cs="微软雅黑"/>
          <w:b/>
          <w:color w:val="1A237E"/>
          <w:sz w:val="60"/>
          <w:lang w:eastAsia="zh-CN"/>
        </w:rPr>
        <w:t>因子模型</w:t>
      </w:r>
    </w:p>
    <w:p w14:paraId="027DB6C6">
      <w:pPr>
        <w:spacing w:before="0" w:after="32"/>
        <w:jc w:val="left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数据截止：</w:t>
      </w:r>
      <w:r>
        <w:rPr>
          <w:rFonts w:ascii="微软雅黑" w:hAnsi="微软雅黑"/>
          <w:color w:val="616161"/>
          <w:sz w:val="18"/>
        </w:rPr>
        <w:t>2026Q2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（第</w:t>
      </w:r>
      <w:r>
        <w:rPr>
          <w:rFonts w:ascii="微软雅黑" w:hAnsi="微软雅黑"/>
          <w:color w:val="616161"/>
          <w:sz w:val="18"/>
        </w:rPr>
        <w:t xml:space="preserve"> 34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个季度）｜</w:t>
      </w:r>
      <w:r>
        <w:rPr>
          <w:rFonts w:ascii="微软雅黑" w:hAnsi="微软雅黑"/>
          <w:color w:val="616161"/>
          <w:sz w:val="18"/>
        </w:rPr>
        <w:t xml:space="preserve">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行业口径：申万一级</w:t>
      </w:r>
      <w:r>
        <w:rPr>
          <w:rFonts w:ascii="微软雅黑" w:hAnsi="微软雅黑"/>
          <w:color w:val="616161"/>
          <w:sz w:val="18"/>
        </w:rPr>
        <w:t xml:space="preserve"> 31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个行业</w:t>
      </w:r>
      <w:r>
        <w:rPr>
          <w:rFonts w:ascii="微软雅黑" w:hAnsi="微软雅黑"/>
          <w:color w:val="616161"/>
          <w:sz w:val="18"/>
        </w:rPr>
        <w:t xml:space="preserve">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｜</w:t>
      </w:r>
      <w:r>
        <w:rPr>
          <w:rFonts w:ascii="微软雅黑" w:hAnsi="微软雅黑"/>
          <w:color w:val="616161"/>
          <w:sz w:val="18"/>
        </w:rPr>
        <w:t xml:space="preserve">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基金口径：主动权益基金（普通股票型</w:t>
      </w:r>
      <w:r>
        <w:rPr>
          <w:rFonts w:ascii="微软雅黑" w:hAnsi="微软雅黑"/>
          <w:color w:val="616161"/>
          <w:sz w:val="18"/>
        </w:rPr>
        <w:t xml:space="preserve"> +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偏股混合型</w:t>
      </w:r>
      <w:r>
        <w:rPr>
          <w:rFonts w:ascii="微软雅黑" w:hAnsi="微软雅黑"/>
          <w:color w:val="616161"/>
          <w:sz w:val="18"/>
        </w:rPr>
        <w:t xml:space="preserve"> +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灵活配置型</w:t>
      </w:r>
      <w:r>
        <w:rPr>
          <w:rFonts w:ascii="微软雅黑" w:hAnsi="微软雅黑"/>
          <w:color w:val="616161"/>
          <w:sz w:val="18"/>
        </w:rPr>
        <w:t xml:space="preserve"> +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平衡型），规模前</w:t>
      </w:r>
      <w:r>
        <w:rPr>
          <w:rFonts w:ascii="微软雅黑" w:hAnsi="微软雅黑"/>
          <w:color w:val="616161"/>
          <w:sz w:val="18"/>
        </w:rPr>
        <w:t xml:space="preserve"> 1,120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只，样本基金</w:t>
      </w:r>
      <w:r>
        <w:rPr>
          <w:rFonts w:ascii="微软雅黑" w:hAnsi="微软雅黑"/>
          <w:color w:val="616161"/>
          <w:sz w:val="18"/>
        </w:rPr>
        <w:t xml:space="preserve"> 1,074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只</w:t>
      </w:r>
      <w:r>
        <w:rPr>
          <w:rFonts w:ascii="微软雅黑" w:hAnsi="微软雅黑"/>
          <w:color w:val="616161"/>
          <w:sz w:val="18"/>
        </w:rPr>
        <w:t xml:space="preserve">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｜</w:t>
      </w:r>
      <w:r>
        <w:rPr>
          <w:rFonts w:ascii="微软雅黑" w:hAnsi="微软雅黑"/>
          <w:color w:val="616161"/>
          <w:sz w:val="18"/>
        </w:rPr>
        <w:t xml:space="preserve">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版本：</w:t>
      </w:r>
      <w:r>
        <w:rPr>
          <w:rFonts w:ascii="微软雅黑" w:hAnsi="微软雅黑"/>
          <w:color w:val="616161"/>
          <w:sz w:val="18"/>
        </w:rPr>
        <w:t>v2.4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（第</w:t>
      </w:r>
      <w:r>
        <w:rPr>
          <w:rFonts w:ascii="微软雅黑" w:hAnsi="微软雅黑"/>
          <w:color w:val="616161"/>
          <w:sz w:val="18"/>
        </w:rPr>
        <w:t xml:space="preserve"> 4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轮迭代）</w:t>
      </w:r>
    </w:p>
    <w:p w14:paraId="5CA19647">
      <w:pPr>
        <w:spacing w:before="0" w:after="32"/>
        <w:jc w:val="left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数据来源：用户提供工作簿</w:t>
      </w:r>
      <w:r>
        <w:rPr>
          <w:rFonts w:ascii="微软雅黑" w:hAnsi="微软雅黑"/>
          <w:color w:val="616161"/>
          <w:sz w:val="18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东方财富妙想</w:t>
      </w:r>
      <w:r>
        <w:rPr>
          <w:rFonts w:ascii="微软雅黑" w:hAnsi="微软雅黑"/>
          <w:color w:val="616161"/>
          <w:sz w:val="18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同花顺</w:t>
      </w:r>
      <w:r>
        <w:rPr>
          <w:rFonts w:ascii="微软雅黑" w:hAnsi="微软雅黑"/>
          <w:color w:val="616161"/>
          <w:sz w:val="18"/>
        </w:rPr>
        <w:t xml:space="preserve"> iFinD</w:t>
      </w:r>
    </w:p>
    <w:p w14:paraId="1BD9FC22">
      <w:pPr>
        <w:sectPr>
          <w:pgSz w:w="11906" w:h="16838"/>
          <w:pgMar w:top="1247" w:right="1247" w:bottom="1247" w:left="1247" w:header="720" w:footer="720" w:gutter="0"/>
          <w:cols w:space="720" w:num="1"/>
        </w:sectPr>
      </w:pPr>
    </w:p>
    <w:p w14:paraId="6AE86240">
      <w:pPr>
        <w:spacing w:before="0" w:after="125"/>
        <w:jc w:val="both"/>
      </w:pPr>
      <w:r>
        <w:rPr>
          <w:rFonts w:hint="eastAsia" w:ascii="微软雅黑" w:hAnsi="微软雅黑" w:eastAsia="微软雅黑" w:cs="微软雅黑"/>
          <w:b/>
          <w:color w:val="1A237E"/>
          <w:sz w:val="25"/>
          <w:lang w:eastAsia="zh-CN"/>
        </w:rPr>
        <w:t>目录</w:t>
      </w:r>
    </w:p>
    <w:p w14:paraId="7F738DAD">
      <w:pPr>
        <w:pStyle w:val="14"/>
        <w:numPr>
          <w:ilvl w:val="0"/>
          <w:numId w:val="7"/>
        </w:numPr>
        <w:spacing w:after="38" w:line="420" w:lineRule="auto"/>
        <w:ind w:firstLine="0"/>
        <w:jc w:val="left"/>
      </w:pPr>
      <w:r>
        <w:fldChar w:fldCharType="begin"/>
      </w:r>
      <w:r>
        <w:instrText xml:space="preserve"> HYPERLINK \l "section-1" \h </w:instrText>
      </w:r>
      <w:r>
        <w:fldChar w:fldCharType="separate"/>
      </w:r>
      <w:r>
        <w:rPr>
          <w:color w:val="0000EE"/>
          <w:u w:val="single"/>
        </w:rPr>
        <w:t>第 0 章 文档说明</w:t>
      </w:r>
      <w:r>
        <w:rPr>
          <w:color w:val="0000EE"/>
          <w:u w:val="single"/>
        </w:rPr>
        <w:fldChar w:fldCharType="end"/>
      </w:r>
    </w:p>
    <w:p w14:paraId="564E8F4B">
      <w:pPr>
        <w:pStyle w:val="14"/>
        <w:numPr>
          <w:ilvl w:val="0"/>
          <w:numId w:val="7"/>
        </w:numPr>
        <w:spacing w:after="38" w:line="420" w:lineRule="auto"/>
        <w:ind w:firstLine="0"/>
        <w:jc w:val="left"/>
      </w:pPr>
      <w:r>
        <w:fldChar w:fldCharType="begin"/>
      </w:r>
      <w:r>
        <w:instrText xml:space="preserve"> HYPERLINK \l "section-2" \h </w:instrText>
      </w:r>
      <w:r>
        <w:fldChar w:fldCharType="separate"/>
      </w:r>
      <w:r>
        <w:rPr>
          <w:color w:val="0000EE"/>
          <w:u w:val="single"/>
        </w:rPr>
        <w:t>第 1 章 模型总览</w:t>
      </w:r>
      <w:r>
        <w:rPr>
          <w:color w:val="0000EE"/>
          <w:u w:val="single"/>
        </w:rPr>
        <w:fldChar w:fldCharType="end"/>
      </w:r>
    </w:p>
    <w:p w14:paraId="298B8CC2">
      <w:pPr>
        <w:pStyle w:val="14"/>
        <w:numPr>
          <w:ilvl w:val="0"/>
          <w:numId w:val="7"/>
        </w:numPr>
        <w:spacing w:after="38" w:line="420" w:lineRule="auto"/>
        <w:ind w:firstLine="0"/>
        <w:jc w:val="left"/>
      </w:pPr>
      <w:r>
        <w:fldChar w:fldCharType="begin"/>
      </w:r>
      <w:r>
        <w:instrText xml:space="preserve"> HYPERLINK \l "section-3" \h </w:instrText>
      </w:r>
      <w:r>
        <w:fldChar w:fldCharType="separate"/>
      </w:r>
      <w:r>
        <w:rPr>
          <w:color w:val="0000EE"/>
          <w:u w:val="single"/>
        </w:rPr>
        <w:t>第 2 章 因子详解</w:t>
      </w:r>
      <w:r>
        <w:rPr>
          <w:color w:val="0000EE"/>
          <w:u w:val="single"/>
        </w:rPr>
        <w:fldChar w:fldCharType="end"/>
      </w:r>
    </w:p>
    <w:p w14:paraId="1896376A">
      <w:pPr>
        <w:pStyle w:val="14"/>
        <w:numPr>
          <w:ilvl w:val="0"/>
          <w:numId w:val="7"/>
        </w:numPr>
        <w:spacing w:after="38" w:line="420" w:lineRule="auto"/>
        <w:ind w:firstLine="0"/>
        <w:jc w:val="left"/>
      </w:pPr>
      <w:r>
        <w:fldChar w:fldCharType="begin"/>
      </w:r>
      <w:r>
        <w:instrText xml:space="preserve"> HYPERLINK \l "section-4" \h </w:instrText>
      </w:r>
      <w:r>
        <w:fldChar w:fldCharType="separate"/>
      </w:r>
      <w:r>
        <w:rPr>
          <w:color w:val="0000EE"/>
          <w:u w:val="single"/>
        </w:rPr>
        <w:t>第 3 章 统计方法与判定标准</w:t>
      </w:r>
      <w:r>
        <w:rPr>
          <w:color w:val="0000EE"/>
          <w:u w:val="single"/>
        </w:rPr>
        <w:fldChar w:fldCharType="end"/>
      </w:r>
    </w:p>
    <w:p w14:paraId="3D61CB22">
      <w:pPr>
        <w:pStyle w:val="14"/>
        <w:numPr>
          <w:ilvl w:val="0"/>
          <w:numId w:val="7"/>
        </w:numPr>
        <w:spacing w:after="38" w:line="420" w:lineRule="auto"/>
        <w:ind w:firstLine="0"/>
        <w:jc w:val="left"/>
      </w:pPr>
      <w:r>
        <w:fldChar w:fldCharType="begin"/>
      </w:r>
      <w:r>
        <w:instrText xml:space="preserve"> HYPERLINK \l "section-5" \h </w:instrText>
      </w:r>
      <w:r>
        <w:fldChar w:fldCharType="separate"/>
      </w:r>
      <w:r>
        <w:rPr>
          <w:color w:val="0000EE"/>
          <w:u w:val="single"/>
        </w:rPr>
        <w:t>第 4 章 2026Q2 核心结论</w:t>
      </w:r>
      <w:r>
        <w:rPr>
          <w:color w:val="0000EE"/>
          <w:u w:val="single"/>
        </w:rPr>
        <w:fldChar w:fldCharType="end"/>
      </w:r>
    </w:p>
    <w:p w14:paraId="3096269A">
      <w:pPr>
        <w:pStyle w:val="14"/>
        <w:numPr>
          <w:ilvl w:val="0"/>
          <w:numId w:val="7"/>
        </w:numPr>
        <w:spacing w:after="38" w:line="420" w:lineRule="auto"/>
        <w:ind w:firstLine="0"/>
        <w:jc w:val="left"/>
      </w:pPr>
      <w:r>
        <w:fldChar w:fldCharType="begin"/>
      </w:r>
      <w:r>
        <w:instrText xml:space="preserve"> HYPERLINK \l "section-6" \h </w:instrText>
      </w:r>
      <w:r>
        <w:fldChar w:fldCharType="separate"/>
      </w:r>
      <w:r>
        <w:rPr>
          <w:color w:val="0000EE"/>
          <w:u w:val="single"/>
        </w:rPr>
        <w:t>第 5 章 操作指南</w:t>
      </w:r>
      <w:r>
        <w:rPr>
          <w:color w:val="0000EE"/>
          <w:u w:val="single"/>
        </w:rPr>
        <w:fldChar w:fldCharType="end"/>
      </w:r>
    </w:p>
    <w:p w14:paraId="70031AEF">
      <w:pPr>
        <w:pStyle w:val="14"/>
        <w:numPr>
          <w:ilvl w:val="0"/>
          <w:numId w:val="7"/>
        </w:numPr>
        <w:spacing w:after="38" w:line="420" w:lineRule="auto"/>
        <w:ind w:firstLine="0"/>
        <w:jc w:val="left"/>
      </w:pPr>
      <w:r>
        <w:fldChar w:fldCharType="begin"/>
      </w:r>
      <w:r>
        <w:instrText xml:space="preserve"> HYPERLINK \l "section-7" \h </w:instrText>
      </w:r>
      <w:r>
        <w:fldChar w:fldCharType="separate"/>
      </w:r>
      <w:r>
        <w:rPr>
          <w:color w:val="0000EE"/>
          <w:u w:val="single"/>
        </w:rPr>
        <w:t>第 6 章 风险提示与引用纪律</w:t>
      </w:r>
      <w:r>
        <w:rPr>
          <w:color w:val="0000EE"/>
          <w:u w:val="single"/>
        </w:rPr>
        <w:fldChar w:fldCharType="end"/>
      </w:r>
    </w:p>
    <w:p w14:paraId="755F8455">
      <w:pPr>
        <w:pStyle w:val="4"/>
        <w:pBdr>
          <w:bottom w:val="none" w:color="auto" w:sz="0" w:space="0"/>
        </w:pBdr>
        <w:spacing w:before="0" w:after="45"/>
        <w:jc w:val="left"/>
      </w:pPr>
      <w:r>
        <w:rPr>
          <w:rFonts w:hint="eastAsia" w:ascii="微软雅黑" w:hAnsi="微软雅黑" w:eastAsia="微软雅黑" w:cs="微软雅黑"/>
          <w:b/>
          <w:color w:val="1A237E"/>
          <w:sz w:val="25"/>
          <w:lang w:eastAsia="zh-CN"/>
        </w:rPr>
        <w:t>执行摘要</w:t>
      </w:r>
    </w:p>
    <w:p w14:paraId="2A95F2F4">
      <w:pPr>
        <w:spacing w:before="0" w:after="0"/>
        <w:jc w:val="left"/>
      </w:pPr>
      <w:r>
        <w:rPr>
          <w:rFonts w:ascii="微软雅黑" w:hAnsi="微软雅黑"/>
          <w:i/>
          <w:color w:val="616161"/>
          <w:sz w:val="18"/>
        </w:rPr>
        <w:t>Executive Summary</w:t>
      </w:r>
    </w:p>
    <w:p w14:paraId="686A2858">
      <w:pPr>
        <w:spacing w:before="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本手册逐因子说明</w:t>
      </w:r>
      <w:r>
        <w:rPr>
          <w:rFonts w:ascii="微软雅黑" w:hAnsi="微软雅黑"/>
          <w:color w:val="0000FF"/>
          <w:sz w:val="21"/>
        </w:rPr>
        <w:t xml:space="preserve"> 22 </w:t>
      </w:r>
      <w:r>
        <w:rPr>
          <w:rFonts w:hint="eastAsia" w:ascii="微软雅黑" w:hAnsi="微软雅黑" w:eastAsia="微软雅黑" w:cs="微软雅黑"/>
          <w:color w:val="0000FF"/>
          <w:sz w:val="21"/>
          <w:lang w:eastAsia="zh-CN"/>
        </w:rPr>
        <w:t>个因子的原理、公式、计算步骤、数据来源、经济含义、判定标准、阈值由来，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并给出</w:t>
      </w:r>
      <w:r>
        <w:rPr>
          <w:rFonts w:ascii="微软雅黑" w:hAnsi="微软雅黑"/>
          <w:color w:val="212121"/>
          <w:sz w:val="21"/>
        </w:rPr>
        <w:t xml:space="preserve"> 2026Q2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的实际读数与每项结论的失效条件。下表为本档最关键的读数速览（全部数值摘自第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章）。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6"/>
        <w:gridCol w:w="4826"/>
      </w:tblGrid>
      <w:tr w14:paraId="3065B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26B93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关键读数（数据截止： 2026Q2 （第  34  个季度））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ACC9D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数值</w:t>
            </w:r>
          </w:p>
        </w:tc>
      </w:tr>
      <w:tr w14:paraId="3E908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901DA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市场状态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8274D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K  型分化极致（极度拥挤与显著低配同时存在）</w:t>
            </w:r>
          </w:p>
        </w:tc>
      </w:tr>
      <w:tr w14:paraId="53F6A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BDA67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HHI （行业集中度）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2338E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0.1897 （历史分位  97% 、历史均值  0.1075 ）</w:t>
            </w:r>
          </w:p>
        </w:tc>
      </w:tr>
      <w:tr w14:paraId="2E3E2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295CC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CR3 / CR5 / CR10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BAC9E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63.49% / 79.51% / 91.92%</w:t>
            </w:r>
          </w:p>
        </w:tc>
      </w:tr>
      <w:tr w14:paraId="59455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1A1FD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第一大重仓行业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A91BB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电子  36.83%</w:t>
            </w:r>
          </w:p>
        </w:tc>
      </w:tr>
      <w:tr w14:paraId="074A9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1B0E6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极度拥挤行业数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22D49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4 （电子、通信、机械设备、医药生物）</w:t>
            </w:r>
          </w:p>
        </w:tc>
      </w:tr>
      <w:tr w14:paraId="1EADF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FC7F0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显著低配行业数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21024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15</w:t>
            </w:r>
          </w:p>
        </w:tc>
      </w:tr>
      <w:tr w14:paraId="75282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48482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可用因子（ A/A−  级）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F0EC4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仅  F15_ 拥挤背离（四项独立检验合成）</w:t>
            </w:r>
          </w:p>
        </w:tc>
      </w:tr>
    </w:tbl>
    <w:p w14:paraId="6EAAAB19">
      <w:pPr>
        <w:spacing w:before="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使用纪律：本模型的全部结论，其证据强度是「未发现显著预测力」，而不是「已证明可预测」。正确用法是风险描述、压力测试输入与新增仓位的行业集中度约束；错误用法是当作择时信号或做空依据。</w:t>
      </w:r>
    </w:p>
    <w:p w14:paraId="6B7FB594">
      <w:pPr>
        <w:jc w:val="both"/>
      </w:pPr>
      <w:r>
        <w:rPr>
          <w:rFonts w:ascii="微软雅黑" w:hAnsi="微软雅黑"/>
          <w:color w:val="212121"/>
          <w:sz w:val="21"/>
        </w:rPr>
        <w:t xml:space="preserve">#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公募基金行业拥挤度与集中度因子模型</w:t>
      </w:r>
    </w:p>
    <w:p w14:paraId="7C3D1545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因子手册 · 计算原理 · 数据来源 · 判定标准 · 操作指南</w:t>
      </w:r>
    </w:p>
    <w:p w14:paraId="45DF58FC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数据截止：2026Q2（第 34 个季度）｜ 行业口径：申万一级 31 个行业 ｜ 基金口径：主动权益基金（普通股票型 + 偏股混合型 + 灵活配置型 + 平衡型），规模前 1,120 只，样本基金 1,074 只 ｜ 版本：v2.4（第 4 轮迭代）</w:t>
      </w:r>
    </w:p>
    <w:p w14:paraId="6B599F3E">
      <w:pPr>
        <w:pStyle w:val="4"/>
        <w:jc w:val="left"/>
      </w:pPr>
      <w:bookmarkStart w:id="0" w:name="section-1"/>
      <w:bookmarkEnd w:id="0"/>
      <w:r>
        <w:rPr>
          <w:rFonts w:hint="eastAsia" w:ascii="微软雅黑" w:hAnsi="微软雅黑" w:eastAsia="微软雅黑" w:cs="微软雅黑"/>
          <w:b/>
          <w:color w:val="1A237E"/>
          <w:sz w:val="30"/>
          <w:lang w:eastAsia="zh-CN"/>
        </w:rPr>
        <w:t>第 0 章 文档说明</w:t>
      </w:r>
    </w:p>
    <w:p w14:paraId="708C231B">
      <w:pPr>
        <w:spacing w:before="0" w:after="90"/>
        <w:jc w:val="left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本章共</w:t>
      </w:r>
      <w:r>
        <w:rPr>
          <w:rFonts w:ascii="微软雅黑" w:hAnsi="微软雅黑"/>
          <w:color w:val="616161"/>
          <w:sz w:val="18"/>
        </w:rPr>
        <w:t xml:space="preserve"> 2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节：</w:t>
      </w:r>
      <w:r>
        <w:rPr>
          <w:rFonts w:ascii="微软雅黑" w:hAnsi="微软雅黑"/>
          <w:color w:val="616161"/>
          <w:sz w:val="18"/>
        </w:rPr>
        <w:t xml:space="preserve">0.1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这份文档回答什么问题</w:t>
      </w:r>
      <w:r>
        <w:rPr>
          <w:rFonts w:ascii="微软雅黑" w:hAnsi="微软雅黑"/>
          <w:color w:val="616161"/>
          <w:sz w:val="18"/>
        </w:rPr>
        <w:t xml:space="preserve"> · 0.2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三条必须遵守的引用纪律。</w:t>
      </w:r>
    </w:p>
    <w:p w14:paraId="6E116EE7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0.1 这份文档回答什么问题</w:t>
      </w:r>
    </w:p>
    <w:p w14:paraId="6F73D099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本手册服务于一个具体目标：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用可核验的数据，判断公募基金在行业与个股上的拥挤状况，并给出可回溯的预警结论。</w:t>
      </w:r>
    </w:p>
    <w:p w14:paraId="2C012B07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为此，文档对每一个因子固定回答九个问题：</w:t>
      </w:r>
    </w:p>
    <w:p w14:paraId="53A3789D">
      <w:pPr>
        <w:pStyle w:val="14"/>
        <w:numPr>
          <w:ilvl w:val="0"/>
          <w:numId w:val="8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原理</w:t>
      </w:r>
      <w:r>
        <w:rPr>
          <w:rFonts w:ascii="微软雅黑" w:hAnsi="微软雅黑"/>
          <w:color w:val="212121"/>
          <w:sz w:val="21"/>
        </w:rPr>
        <w:t xml:space="preserve"> ——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它想度量什么；</w:t>
      </w:r>
    </w:p>
    <w:p w14:paraId="62D76A29">
      <w:pPr>
        <w:pStyle w:val="14"/>
        <w:numPr>
          <w:ilvl w:val="0"/>
          <w:numId w:val="8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公式</w:t>
      </w:r>
      <w:r>
        <w:rPr>
          <w:rFonts w:ascii="微软雅黑" w:hAnsi="微软雅黑"/>
          <w:color w:val="212121"/>
          <w:sz w:val="21"/>
        </w:rPr>
        <w:t xml:space="preserve"> ——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精确到可复算；</w:t>
      </w:r>
    </w:p>
    <w:p w14:paraId="10E158BC">
      <w:pPr>
        <w:pStyle w:val="14"/>
        <w:numPr>
          <w:ilvl w:val="0"/>
          <w:numId w:val="8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计算步骤</w:t>
      </w:r>
      <w:r>
        <w:rPr>
          <w:rFonts w:ascii="微软雅黑" w:hAnsi="微软雅黑"/>
          <w:color w:val="212121"/>
          <w:sz w:val="21"/>
        </w:rPr>
        <w:t xml:space="preserve"> ——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从哪张表、经过哪几步；</w:t>
      </w:r>
    </w:p>
    <w:p w14:paraId="3CC22A43">
      <w:pPr>
        <w:pStyle w:val="14"/>
        <w:numPr>
          <w:ilvl w:val="0"/>
          <w:numId w:val="8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数据来源</w:t>
      </w:r>
      <w:r>
        <w:rPr>
          <w:rFonts w:ascii="微软雅黑" w:hAnsi="微软雅黑"/>
          <w:color w:val="212121"/>
          <w:sz w:val="21"/>
        </w:rPr>
        <w:t xml:space="preserve"> ——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数据库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数据表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查询日期；</w:t>
      </w:r>
    </w:p>
    <w:p w14:paraId="643C0054">
      <w:pPr>
        <w:pStyle w:val="14"/>
        <w:numPr>
          <w:ilvl w:val="0"/>
          <w:numId w:val="8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反映什么、可衡量什么</w:t>
      </w:r>
      <w:r>
        <w:rPr>
          <w:rFonts w:ascii="微软雅黑" w:hAnsi="微软雅黑"/>
          <w:color w:val="212121"/>
          <w:sz w:val="21"/>
        </w:rPr>
        <w:t xml:space="preserve"> ——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它描述的现象；</w:t>
      </w:r>
    </w:p>
    <w:p w14:paraId="00BF52DC">
      <w:pPr>
        <w:pStyle w:val="14"/>
        <w:numPr>
          <w:ilvl w:val="0"/>
          <w:numId w:val="8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经济意义</w:t>
      </w:r>
      <w:r>
        <w:rPr>
          <w:rFonts w:ascii="微软雅黑" w:hAnsi="微软雅黑"/>
          <w:color w:val="212121"/>
          <w:sz w:val="21"/>
        </w:rPr>
        <w:t xml:space="preserve"> ——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它为什么与投资收益或风险有关；</w:t>
      </w:r>
    </w:p>
    <w:p w14:paraId="66BB7389">
      <w:pPr>
        <w:pStyle w:val="14"/>
        <w:numPr>
          <w:ilvl w:val="0"/>
          <w:numId w:val="8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判定标准</w:t>
      </w:r>
      <w:r>
        <w:rPr>
          <w:rFonts w:ascii="微软雅黑" w:hAnsi="微软雅黑"/>
          <w:color w:val="212121"/>
          <w:sz w:val="21"/>
        </w:rPr>
        <w:t xml:space="preserve"> ——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具体阈值；</w:t>
      </w:r>
    </w:p>
    <w:p w14:paraId="15ED1914">
      <w:pPr>
        <w:pStyle w:val="14"/>
        <w:numPr>
          <w:ilvl w:val="0"/>
          <w:numId w:val="8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为什么这样定阈值</w:t>
      </w:r>
      <w:r>
        <w:rPr>
          <w:rFonts w:ascii="微软雅黑" w:hAnsi="微软雅黑"/>
          <w:color w:val="212121"/>
          <w:sz w:val="21"/>
        </w:rPr>
        <w:t xml:space="preserve"> ——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阈值不是拍出来的；</w:t>
      </w:r>
    </w:p>
    <w:p w14:paraId="75A86689">
      <w:pPr>
        <w:pStyle w:val="14"/>
        <w:numPr>
          <w:ilvl w:val="0"/>
          <w:numId w:val="8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当前取值与已知局限</w:t>
      </w:r>
      <w:r>
        <w:rPr>
          <w:rFonts w:ascii="微软雅黑" w:hAnsi="微软雅黑"/>
          <w:color w:val="212121"/>
          <w:sz w:val="21"/>
        </w:rPr>
        <w:t xml:space="preserve"> —— 2026Q2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的实际读数，以及它的失效条件。</w:t>
      </w:r>
    </w:p>
    <w:p w14:paraId="30B92B0F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0.2 三条必须遵守的引用纪律</w:t>
      </w:r>
    </w:p>
    <w:p w14:paraId="5C5AFCFD">
      <w:pPr>
        <w:pStyle w:val="16"/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区分描述性与预测性结论。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「电子配置比例</w:t>
      </w:r>
      <w:r>
        <w:rPr>
          <w:rFonts w:ascii="微软雅黑" w:hAnsi="微软雅黑"/>
          <w:color w:val="212121"/>
          <w:sz w:val="21"/>
        </w:rPr>
        <w:t xml:space="preserve"> 36.83%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」是描述；「拥挤度高所以未来会跌」是预测。本模型的实证证据只支持前者，后者未被数据支持。</w:t>
      </w:r>
    </w:p>
    <w:p w14:paraId="1341752A">
      <w:pPr>
        <w:pStyle w:val="16"/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区分「相对自身历史」与「相对基准权重」。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两者都是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超配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，但含义相反，本模型中多个行业的两个口径指向相反（详见第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章</w:t>
      </w:r>
      <w:r>
        <w:rPr>
          <w:rFonts w:ascii="微软雅黑" w:hAnsi="微软雅黑"/>
          <w:color w:val="212121"/>
          <w:sz w:val="21"/>
        </w:rPr>
        <w:t xml:space="preserve"> F12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3.3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节）。</w:t>
      </w:r>
    </w:p>
    <w:p w14:paraId="1B30364E">
      <w:pPr>
        <w:pStyle w:val="16"/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区分「因子通过了检验」与「挑选因子的流程通过了检验」。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前者单独引用会显著高估置信度（详见第</w:t>
      </w:r>
      <w:r>
        <w:rPr>
          <w:rFonts w:ascii="微软雅黑" w:hAnsi="微软雅黑"/>
          <w:color w:val="212121"/>
          <w:sz w:val="21"/>
        </w:rPr>
        <w:t xml:space="preserve"> 3.6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节）。</w:t>
      </w:r>
    </w:p>
    <w:p w14:paraId="4CEC3A29">
      <w:pPr>
        <w:pStyle w:val="4"/>
        <w:jc w:val="left"/>
      </w:pPr>
      <w:bookmarkStart w:id="1" w:name="section-2"/>
      <w:bookmarkEnd w:id="1"/>
      <w:r>
        <w:rPr>
          <w:rFonts w:hint="eastAsia" w:ascii="微软雅黑" w:hAnsi="微软雅黑" w:eastAsia="微软雅黑" w:cs="微软雅黑"/>
          <w:b/>
          <w:color w:val="1A237E"/>
          <w:sz w:val="30"/>
          <w:lang w:eastAsia="zh-CN"/>
        </w:rPr>
        <w:t>第 1 章 模型总览</w:t>
      </w:r>
    </w:p>
    <w:p w14:paraId="2E44B49C">
      <w:pPr>
        <w:spacing w:before="0" w:after="90"/>
        <w:jc w:val="left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本章共</w:t>
      </w:r>
      <w:r>
        <w:rPr>
          <w:rFonts w:ascii="微软雅黑" w:hAnsi="微软雅黑"/>
          <w:color w:val="616161"/>
          <w:sz w:val="18"/>
        </w:rPr>
        <w:t xml:space="preserve"> 5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节：</w:t>
      </w:r>
      <w:r>
        <w:rPr>
          <w:rFonts w:ascii="微软雅黑" w:hAnsi="微软雅黑"/>
          <w:color w:val="616161"/>
          <w:sz w:val="18"/>
        </w:rPr>
        <w:t xml:space="preserve">1.1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目标与定位</w:t>
      </w:r>
      <w:r>
        <w:rPr>
          <w:rFonts w:ascii="微软雅黑" w:hAnsi="微软雅黑"/>
          <w:color w:val="616161"/>
          <w:sz w:val="18"/>
        </w:rPr>
        <w:t xml:space="preserve"> · 1.2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五条底层逻辑</w:t>
      </w:r>
      <w:r>
        <w:rPr>
          <w:rFonts w:ascii="微软雅黑" w:hAnsi="微软雅黑"/>
          <w:color w:val="616161"/>
          <w:sz w:val="18"/>
        </w:rPr>
        <w:t xml:space="preserve"> · 1.3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数据体系</w:t>
      </w:r>
      <w:r>
        <w:rPr>
          <w:rFonts w:ascii="微软雅黑" w:hAnsi="微软雅黑"/>
          <w:color w:val="616161"/>
          <w:sz w:val="18"/>
        </w:rPr>
        <w:t xml:space="preserve"> · 1.4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因子全景表</w:t>
      </w:r>
      <w:r>
        <w:rPr>
          <w:rFonts w:ascii="微软雅黑" w:hAnsi="微软雅黑"/>
          <w:color w:val="616161"/>
          <w:sz w:val="18"/>
        </w:rPr>
        <w:t xml:space="preserve"> · 1.5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因子分级裁决：四项独立判据。</w:t>
      </w:r>
    </w:p>
    <w:p w14:paraId="107B5506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1.1 目标与定位</w:t>
      </w:r>
    </w:p>
    <w:p w14:paraId="60CE783D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模型的目标是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可持续跟踪的拥挤度度量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，而不是收益预测器。它输出三类东西：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7"/>
        <w:gridCol w:w="3217"/>
        <w:gridCol w:w="3218"/>
      </w:tblGrid>
      <w:tr w14:paraId="3AA8B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6CA53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输出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BDCBC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用途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7E2AF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是否依赖因子有效性</w:t>
            </w:r>
          </w:p>
        </w:tc>
      </w:tr>
      <w:tr w14:paraId="0777E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5100E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市场层面状态（ HHI / CR /  极度拥挤数）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1954E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风险描述、季度跟踪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65A20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否（纯描述）</w:t>
            </w:r>
          </w:p>
        </w:tc>
      </w:tr>
      <w:tr w14:paraId="7E558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434D1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行业层面拥挤等级（ 5  级）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5F188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新增仓位的行业集中度约束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B0D42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否（纯描述）</w:t>
            </w:r>
          </w:p>
        </w:tc>
      </w:tr>
      <w:tr w14:paraId="79E96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BE33D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压力测试（单一行业冲击对组合的影响）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10624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情景分析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C9DA7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否（纯算术）</w:t>
            </w:r>
          </w:p>
        </w:tc>
      </w:tr>
      <w:tr w14:paraId="01592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7E724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因子分级裁决与轮动策略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74302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若可用，作为行业权重的小幅倾斜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20DBF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是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（需通过  4  项检验）</w:t>
            </w:r>
          </w:p>
        </w:tc>
      </w:tr>
    </w:tbl>
    <w:p w14:paraId="0DC4C73C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定位声明：拥挤度是风险描述指标，不是择时或做空信号。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全部因子的</w:t>
      </w:r>
      <w:r>
        <w:rPr>
          <w:rFonts w:ascii="微软雅黑" w:hAnsi="微软雅黑"/>
          <w:color w:val="212121"/>
          <w:sz w:val="21"/>
        </w:rPr>
        <w:t xml:space="preserve"> Bootstrap 95%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置信区间与多重检验校正显示，多数因子无法与噪声区分；把未通过检验的因子当作交易信号是不负责任的。</w:t>
      </w:r>
    </w:p>
    <w:p w14:paraId="314183C4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1.2 五条底层逻辑</w:t>
      </w:r>
    </w:p>
    <w:p w14:paraId="146E6632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逻辑一：公募基金季报是低频但高信息量的数据。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前十大重仓股是可得的最及时持仓数据。它系统性低估分散型行业、高估集中型行业，但在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全部行业使用同一口径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时，横向比较仍然成立。因此本模型所有行业结论都是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相对结论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，绝对水平必须注明口径。</w:t>
      </w:r>
    </w:p>
    <w:p w14:paraId="736F7085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逻辑二：拥挤度不是单一指标，而是三层的合成。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7"/>
        <w:gridCol w:w="3217"/>
        <w:gridCol w:w="3218"/>
      </w:tblGrid>
      <w:tr w14:paraId="6C00A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750BB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层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64572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度量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BBDD7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本模型的因子</w:t>
            </w:r>
          </w:p>
        </w:tc>
      </w:tr>
      <w:tr w14:paraId="23E39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01385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持仓拥挤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BE302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相对基准的主动偏离、集中度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FE66E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F1 、 F2 、 F3 、 F12 、 F5 、 F6</w:t>
            </w:r>
          </w:p>
        </w:tc>
      </w:tr>
      <w:tr w14:paraId="789A2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84398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交易拥挤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8D2EC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成交额占比及其历史分位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9C0D5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F9 、 F14</w:t>
            </w:r>
          </w:p>
        </w:tc>
      </w:tr>
      <w:tr w14:paraId="787AD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90221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筹码拥挤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A2D4D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龙头个股持股基金数、获利盘比例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5C38B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F7 、 F13</w:t>
            </w:r>
          </w:p>
        </w:tc>
      </w:tr>
    </w:tbl>
    <w:p w14:paraId="692FD3E4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逻辑三：因子逻辑链。</w:t>
      </w:r>
    </w:p>
    <w:p w14:paraId="2DC8C9D0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基金持仓行为 → 行业配置比例 → 相对基准的超配比例 → 超配的历史分位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 xml:space="preserve">                                              → 未来行业超额收益</w:t>
      </w:r>
    </w:p>
    <w:p w14:paraId="241831D0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本质是：机构资金边际定价权越集中，相关资产越容易被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再定价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446564A9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逻辑四：拥挤是风险信号，不是择时信号。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高拥挤不等于必然下跌，而是触发市场重新审视定价的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概率上升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。它影响的是收益分布的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尾部形状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，而不是均值。</w:t>
      </w:r>
    </w:p>
    <w:p w14:paraId="6953E0FC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逻辑五：所有计算严格无未来函数。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期因子只能使用第</w:t>
      </w:r>
      <w:r>
        <w:rPr>
          <w:rFonts w:ascii="微软雅黑" w:hAnsi="微软雅黑"/>
          <w:color w:val="212121"/>
          <w:sz w:val="21"/>
        </w:rPr>
        <w:t xml:space="preserve"> 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期及之前已披露的数据；所有分位、</w:t>
      </w:r>
      <w:r>
        <w:rPr>
          <w:rFonts w:ascii="微软雅黑" w:hAnsi="微软雅黑"/>
          <w:color w:val="212121"/>
          <w:sz w:val="21"/>
        </w:rPr>
        <w:t xml:space="preserve">Z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值、阈值一律使用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扩窗（expanding）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口径，即第</w:t>
      </w:r>
      <w:r>
        <w:rPr>
          <w:rFonts w:ascii="微软雅黑" w:hAnsi="微软雅黑"/>
          <w:color w:val="212121"/>
          <w:sz w:val="21"/>
        </w:rPr>
        <w:t xml:space="preserve"> 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期只用</w:t>
      </w:r>
      <w:r>
        <w:rPr>
          <w:rFonts w:ascii="微软雅黑" w:hAnsi="微软雅黑"/>
          <w:color w:val="212121"/>
          <w:sz w:val="21"/>
        </w:rPr>
        <w:t xml:space="preserve"> T-1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期及以前的历史，最小样本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个季度。季报披露后需</w:t>
      </w:r>
      <w:r>
        <w:rPr>
          <w:rFonts w:ascii="微软雅黑" w:hAnsi="微软雅黑"/>
          <w:color w:val="212121"/>
          <w:sz w:val="21"/>
        </w:rPr>
        <w:t xml:space="preserve"> 15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个工作日方可视为可用。</w:t>
      </w:r>
    </w:p>
    <w:p w14:paraId="6757C7E0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1.3 数据体系</w:t>
      </w:r>
    </w:p>
    <w:tbl>
      <w:tblPr>
        <w:tblStyle w:val="3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2603"/>
        <w:gridCol w:w="1690"/>
        <w:gridCol w:w="2296"/>
        <w:gridCol w:w="1218"/>
        <w:gridCol w:w="1287"/>
      </w:tblGrid>
      <w:tr w14:paraId="61B11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16FCC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#</w:t>
            </w:r>
          </w:p>
        </w:tc>
        <w:tc>
          <w:tcPr>
            <w:tcW w:w="2603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757C6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数据项</w:t>
            </w:r>
          </w:p>
        </w:tc>
        <w:tc>
          <w:tcPr>
            <w:tcW w:w="169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7192F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数据库  /  来源</w:t>
            </w:r>
          </w:p>
        </w:tc>
        <w:tc>
          <w:tcPr>
            <w:tcW w:w="2296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5F26C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数据表  /  接口</w:t>
            </w:r>
          </w:p>
        </w:tc>
        <w:tc>
          <w:tcPr>
            <w:tcW w:w="121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95180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频率</w:t>
            </w:r>
          </w:p>
        </w:tc>
        <w:tc>
          <w:tcPr>
            <w:tcW w:w="128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17502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查询日期</w:t>
            </w:r>
          </w:p>
        </w:tc>
      </w:tr>
      <w:tr w14:paraId="70839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9F8E3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</w:t>
            </w:r>
          </w:p>
        </w:tc>
        <w:tc>
          <w:tcPr>
            <w:tcW w:w="2603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A8B6A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主动权益基金行业配置比例</w:t>
            </w:r>
          </w:p>
        </w:tc>
        <w:tc>
          <w:tcPr>
            <w:tcW w:w="169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A8389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用户提供工作簿</w:t>
            </w:r>
          </w:p>
        </w:tc>
        <w:tc>
          <w:tcPr>
            <w:tcW w:w="2296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A9C59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2-行业配置比例热力图</w:t>
            </w:r>
          </w:p>
        </w:tc>
        <w:tc>
          <w:tcPr>
            <w:tcW w:w="121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CDBA7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季度</w:t>
            </w:r>
          </w:p>
        </w:tc>
        <w:tc>
          <w:tcPr>
            <w:tcW w:w="128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0469E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2026-09-30</w:t>
            </w:r>
          </w:p>
        </w:tc>
      </w:tr>
      <w:tr w14:paraId="5EE3B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811A7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</w:t>
            </w:r>
          </w:p>
        </w:tc>
        <w:tc>
          <w:tcPr>
            <w:tcW w:w="2603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ED7B7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行业集中度  CR3/CR5/CR10/HHI</w:t>
            </w:r>
          </w:p>
        </w:tc>
        <w:tc>
          <w:tcPr>
            <w:tcW w:w="169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DF26D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用户提供工作簿</w:t>
            </w:r>
          </w:p>
        </w:tc>
        <w:tc>
          <w:tcPr>
            <w:tcW w:w="2296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D7CC8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3-行业集中度CR_HHI</w:t>
            </w:r>
          </w:p>
        </w:tc>
        <w:tc>
          <w:tcPr>
            <w:tcW w:w="121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91D85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季度</w:t>
            </w:r>
          </w:p>
        </w:tc>
        <w:tc>
          <w:tcPr>
            <w:tcW w:w="128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0BFDA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2026-09-30</w:t>
            </w:r>
          </w:p>
        </w:tc>
      </w:tr>
      <w:tr w14:paraId="5FC97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80244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3</w:t>
            </w:r>
          </w:p>
        </w:tc>
        <w:tc>
          <w:tcPr>
            <w:tcW w:w="2603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8C214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行业超配比例</w:t>
            </w:r>
          </w:p>
        </w:tc>
        <w:tc>
          <w:tcPr>
            <w:tcW w:w="169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5AF5F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用户提供工作簿</w:t>
            </w:r>
          </w:p>
        </w:tc>
        <w:tc>
          <w:tcPr>
            <w:tcW w:w="2296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90B25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4-行业超配比例</w:t>
            </w:r>
          </w:p>
        </w:tc>
        <w:tc>
          <w:tcPr>
            <w:tcW w:w="121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CCF66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季度</w:t>
            </w:r>
          </w:p>
        </w:tc>
        <w:tc>
          <w:tcPr>
            <w:tcW w:w="128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4D792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2026-09-30</w:t>
            </w:r>
          </w:p>
        </w:tc>
      </w:tr>
      <w:tr w14:paraId="6F82C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752EB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4</w:t>
            </w:r>
          </w:p>
        </w:tc>
        <w:tc>
          <w:tcPr>
            <w:tcW w:w="2603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83BB9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个股拥挤度（抱团指标）</w:t>
            </w:r>
          </w:p>
        </w:tc>
        <w:tc>
          <w:tcPr>
            <w:tcW w:w="169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1AC21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用户提供工作簿</w:t>
            </w:r>
          </w:p>
        </w:tc>
        <w:tc>
          <w:tcPr>
            <w:tcW w:w="2296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7F48F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5-个股拥挤度</w:t>
            </w:r>
          </w:p>
        </w:tc>
        <w:tc>
          <w:tcPr>
            <w:tcW w:w="121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66066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季度</w:t>
            </w:r>
          </w:p>
        </w:tc>
        <w:tc>
          <w:tcPr>
            <w:tcW w:w="128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648AA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2026-09-30</w:t>
            </w:r>
          </w:p>
        </w:tc>
      </w:tr>
      <w:tr w14:paraId="2A43F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E0B49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5</w:t>
            </w:r>
          </w:p>
        </w:tc>
        <w:tc>
          <w:tcPr>
            <w:tcW w:w="2603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FBDFB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基金仓位代理（前十占净值比）</w:t>
            </w:r>
          </w:p>
        </w:tc>
        <w:tc>
          <w:tcPr>
            <w:tcW w:w="169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3E085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用户提供工作簿</w:t>
            </w:r>
          </w:p>
        </w:tc>
        <w:tc>
          <w:tcPr>
            <w:tcW w:w="2296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AE4E2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6-基金仓位变化</w:t>
            </w:r>
          </w:p>
        </w:tc>
        <w:tc>
          <w:tcPr>
            <w:tcW w:w="121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2A5FB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季度</w:t>
            </w:r>
          </w:p>
        </w:tc>
        <w:tc>
          <w:tcPr>
            <w:tcW w:w="128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E4D7A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2026-09-30</w:t>
            </w:r>
          </w:p>
        </w:tc>
      </w:tr>
      <w:tr w14:paraId="76901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B57C1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6</w:t>
            </w:r>
          </w:p>
        </w:tc>
        <w:tc>
          <w:tcPr>
            <w:tcW w:w="2603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72042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沪深 300  静态行业权重</w:t>
            </w:r>
          </w:p>
        </w:tc>
        <w:tc>
          <w:tcPr>
            <w:tcW w:w="169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49436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由「配置比例  −  超配比例」反解</w:t>
            </w:r>
          </w:p>
        </w:tc>
        <w:tc>
          <w:tcPr>
            <w:tcW w:w="2296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F67F4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派生</w:t>
            </w:r>
          </w:p>
        </w:tc>
        <w:tc>
          <w:tcPr>
            <w:tcW w:w="121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E417A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—</w:t>
            </w:r>
          </w:p>
        </w:tc>
        <w:tc>
          <w:tcPr>
            <w:tcW w:w="128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86131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2026-09-30</w:t>
            </w:r>
          </w:p>
        </w:tc>
      </w:tr>
      <w:tr w14:paraId="37CCC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AB651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7</w:t>
            </w:r>
          </w:p>
        </w:tc>
        <w:tc>
          <w:tcPr>
            <w:tcW w:w="2603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AC5A6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沪深 300  动态季度权重</w:t>
            </w:r>
          </w:p>
        </w:tc>
        <w:tc>
          <w:tcPr>
            <w:tcW w:w="169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FF2D7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漂移法重建（本模型自建工具）</w:t>
            </w:r>
          </w:p>
        </w:tc>
        <w:tc>
          <w:tcPr>
            <w:tcW w:w="2296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BA6B7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hs300_weights_quarterly.xlsx</w:t>
            </w:r>
          </w:p>
        </w:tc>
        <w:tc>
          <w:tcPr>
            <w:tcW w:w="121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9880D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季度</w:t>
            </w:r>
          </w:p>
        </w:tc>
        <w:tc>
          <w:tcPr>
            <w:tcW w:w="128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CBEC9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2026-09-30</w:t>
            </w:r>
          </w:p>
        </w:tc>
      </w:tr>
      <w:tr w14:paraId="50780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C2D21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8</w:t>
            </w:r>
          </w:p>
        </w:tc>
        <w:tc>
          <w:tcPr>
            <w:tcW w:w="2603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43493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申万一级行业季度涨跌幅</w:t>
            </w:r>
          </w:p>
        </w:tc>
        <w:tc>
          <w:tcPr>
            <w:tcW w:w="169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62343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东方财富妙想</w:t>
            </w:r>
          </w:p>
        </w:tc>
        <w:tc>
          <w:tcPr>
            <w:tcW w:w="2296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98782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指数行情接口</w:t>
            </w:r>
          </w:p>
        </w:tc>
        <w:tc>
          <w:tcPr>
            <w:tcW w:w="121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0FBAA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季度</w:t>
            </w:r>
          </w:p>
        </w:tc>
        <w:tc>
          <w:tcPr>
            <w:tcW w:w="128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D3F86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2026-09-30</w:t>
            </w:r>
          </w:p>
        </w:tc>
      </w:tr>
      <w:tr w14:paraId="06D0A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12C76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9</w:t>
            </w:r>
          </w:p>
        </w:tc>
        <w:tc>
          <w:tcPr>
            <w:tcW w:w="2603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27439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申万一级行业季度成交额</w:t>
            </w:r>
          </w:p>
        </w:tc>
        <w:tc>
          <w:tcPr>
            <w:tcW w:w="169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CC942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东方财富妙想</w:t>
            </w:r>
          </w:p>
        </w:tc>
        <w:tc>
          <w:tcPr>
            <w:tcW w:w="2296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9E19E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指数行情接口</w:t>
            </w:r>
          </w:p>
        </w:tc>
        <w:tc>
          <w:tcPr>
            <w:tcW w:w="121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1F5AE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季度</w:t>
            </w:r>
          </w:p>
        </w:tc>
        <w:tc>
          <w:tcPr>
            <w:tcW w:w="128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1FDF1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2026-09-30</w:t>
            </w:r>
          </w:p>
        </w:tc>
      </w:tr>
      <w:tr w14:paraId="5C6C0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7DAFC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10</w:t>
            </w:r>
          </w:p>
        </w:tc>
        <w:tc>
          <w:tcPr>
            <w:tcW w:w="2603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4159F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申万一级行业日度成交额</w:t>
            </w:r>
          </w:p>
        </w:tc>
        <w:tc>
          <w:tcPr>
            <w:tcW w:w="169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5A4DC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同花顺  iFinD</w:t>
            </w:r>
          </w:p>
        </w:tc>
        <w:tc>
          <w:tcPr>
            <w:tcW w:w="2296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8740A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指数行情（代码后缀 </w:t>
            </w: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.SL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）</w:t>
            </w:r>
          </w:p>
        </w:tc>
        <w:tc>
          <w:tcPr>
            <w:tcW w:w="121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F6CD0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日</w:t>
            </w:r>
          </w:p>
        </w:tc>
        <w:tc>
          <w:tcPr>
            <w:tcW w:w="128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13960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2026-09-30</w:t>
            </w:r>
          </w:p>
        </w:tc>
      </w:tr>
      <w:tr w14:paraId="25411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CF2DC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11</w:t>
            </w:r>
          </w:p>
        </w:tc>
        <w:tc>
          <w:tcPr>
            <w:tcW w:w="2603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FF978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ETF  日度份额  /  净值  /  成交额</w:t>
            </w:r>
          </w:p>
        </w:tc>
        <w:tc>
          <w:tcPr>
            <w:tcW w:w="169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6848D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同花顺  iFinD</w:t>
            </w:r>
          </w:p>
        </w:tc>
        <w:tc>
          <w:tcPr>
            <w:tcW w:w="2296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854E8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基金行情接口</w:t>
            </w:r>
          </w:p>
        </w:tc>
        <w:tc>
          <w:tcPr>
            <w:tcW w:w="121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D6BF9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日</w:t>
            </w:r>
          </w:p>
        </w:tc>
        <w:tc>
          <w:tcPr>
            <w:tcW w:w="128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F2BC9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2026-09-30</w:t>
            </w:r>
          </w:p>
        </w:tc>
      </w:tr>
    </w:tbl>
    <w:p w14:paraId="5A0F3D55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口径声明（必须随结论一起引用）：</w:t>
      </w:r>
    </w:p>
    <w:p w14:paraId="19058BE8">
      <w:pPr>
        <w:pStyle w:val="16"/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行业配置比例基于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季报前十大重仓股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，不等于全部持仓。半年度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年度报告披露的全持仓数据本模型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未获得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，因此前十大口径的系统性偏差方向明确（低估银行、公用事业等分散行业）但幅度未标定。</w:t>
      </w:r>
    </w:p>
    <w:p w14:paraId="689BC57D">
      <w:pPr>
        <w:pStyle w:val="16"/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港股及非</w:t>
      </w:r>
      <w:r>
        <w:rPr>
          <w:rFonts w:ascii="微软雅黑" w:hAnsi="微软雅黑"/>
          <w:color w:val="212121"/>
          <w:sz w:val="21"/>
        </w:rPr>
        <w:t xml:space="preserve"> A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股持仓无法映射申万一级分类，已剔除，剔除比例约</w:t>
      </w:r>
      <w:r>
        <w:rPr>
          <w:rFonts w:ascii="微软雅黑" w:hAnsi="微软雅黑"/>
          <w:color w:val="212121"/>
          <w:sz w:val="21"/>
        </w:rPr>
        <w:t xml:space="preserve"> 6%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4115A81E">
      <w:pPr>
        <w:pStyle w:val="16"/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申万分类存在历史回溯偏差（现行分类回溯至历史期）。</w:t>
      </w:r>
    </w:p>
    <w:p w14:paraId="1BDE2491">
      <w:pPr>
        <w:pStyle w:val="16"/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基准权重：</w:t>
      </w:r>
      <w:r>
        <w:rPr>
          <w:rFonts w:ascii="微软雅黑" w:hAnsi="微软雅黑"/>
          <w:color w:val="212121"/>
          <w:sz w:val="21"/>
        </w:rPr>
        <w:t xml:space="preserve">34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期中</w:t>
      </w:r>
      <w:r>
        <w:rPr>
          <w:rFonts w:ascii="微软雅黑" w:hAnsi="微软雅黑"/>
          <w:color w:val="212121"/>
          <w:sz w:val="21"/>
        </w:rPr>
        <w:t xml:space="preserve"> 34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期使用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动态季度权重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（漂移法重建）；锚点</w:t>
      </w:r>
      <w:r>
        <w:rPr>
          <w:rFonts w:ascii="微软雅黑" w:hAnsi="微软雅黑"/>
          <w:color w:val="212121"/>
          <w:sz w:val="21"/>
        </w:rPr>
        <w:t xml:space="preserve"> 2026Q2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处动态权重与静态权重严格相等，故当前状态结论不受影响，仅历史超配水平被修正。</w:t>
      </w:r>
    </w:p>
    <w:p w14:paraId="092928EE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1.4 因子全景表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615"/>
        <w:gridCol w:w="1302"/>
        <w:gridCol w:w="1302"/>
        <w:gridCol w:w="1302"/>
        <w:gridCol w:w="1302"/>
        <w:gridCol w:w="1527"/>
      </w:tblGrid>
      <w:tr w14:paraId="22AB4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6FCF1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编号</w:t>
            </w:r>
          </w:p>
        </w:tc>
        <w:tc>
          <w:tcPr>
            <w:tcW w:w="161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F72C7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名称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F9825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层级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109CE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类型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9551C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核心公式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0101D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主判定标准</w:t>
            </w:r>
          </w:p>
        </w:tc>
        <w:tc>
          <w:tcPr>
            <w:tcW w:w="152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F7CBB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2026Q2  读数</w:t>
            </w:r>
          </w:p>
        </w:tc>
      </w:tr>
      <w:tr w14:paraId="1BDE4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B60F0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F1</w:t>
            </w:r>
          </w:p>
        </w:tc>
        <w:tc>
          <w:tcPr>
            <w:tcW w:w="161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2797F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超配比例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36E23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F9560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水平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BEBAA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配置比例  −  基准权重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4A0B6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&gt; +5%  显著超配； &lt; −5%  显著低配</w:t>
            </w:r>
          </w:p>
        </w:tc>
        <w:tc>
          <w:tcPr>
            <w:tcW w:w="152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B99B3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电子  +17.58pct</w:t>
            </w:r>
          </w:p>
        </w:tc>
      </w:tr>
      <w:tr w14:paraId="08F00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3E596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F2</w:t>
            </w:r>
          </w:p>
        </w:tc>
        <w:tc>
          <w:tcPr>
            <w:tcW w:w="161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A0754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超配  Z-score （扩窗）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BB5C1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E5D6D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标准化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25682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( 超配  −  历史均值 ) /  历史标准差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544AB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&gt; 2.0  极度； &gt; 1.5  拥挤； &lt; −1.5  低配</w:t>
            </w:r>
          </w:p>
        </w:tc>
        <w:tc>
          <w:tcPr>
            <w:tcW w:w="152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8BB82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电子  +5.30</w:t>
            </w:r>
          </w:p>
        </w:tc>
      </w:tr>
      <w:tr w14:paraId="7A954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B9360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F3</w:t>
            </w:r>
          </w:p>
        </w:tc>
        <w:tc>
          <w:tcPr>
            <w:tcW w:w="161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E9847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超配历史分位（扩窗）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446B9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D7763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分位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9DB8B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超配在历史序列中的百分位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A200B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≥90  极度； 75–90  偏拥挤； &lt;10  低配</w:t>
            </w:r>
          </w:p>
        </w:tc>
        <w:tc>
          <w:tcPr>
            <w:tcW w:w="152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B4A5F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电子  100%</w:t>
            </w:r>
          </w:p>
        </w:tc>
      </w:tr>
      <w:tr w14:paraId="547FF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482F6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F4</w:t>
            </w:r>
          </w:p>
        </w:tc>
        <w:tc>
          <w:tcPr>
            <w:tcW w:w="161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93412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超配动量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C5D13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5DBD8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变化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B9677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超配 (t) −  超配 (t−1)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DD69D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&gt;0  流入； &lt;0  流出</w:t>
            </w:r>
          </w:p>
        </w:tc>
        <w:tc>
          <w:tcPr>
            <w:tcW w:w="152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58644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—</w:t>
            </w:r>
          </w:p>
        </w:tc>
      </w:tr>
      <w:tr w14:paraId="7D8A8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99630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F4b</w:t>
            </w:r>
          </w:p>
        </w:tc>
        <w:tc>
          <w:tcPr>
            <w:tcW w:w="161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3223D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超配动量  Z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18667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F3909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标准化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D0415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动量扩窗标准化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3DD5A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&gt;1.0  加速流入； &lt;−1.0  加速流出</w:t>
            </w:r>
          </w:p>
        </w:tc>
        <w:tc>
          <w:tcPr>
            <w:tcW w:w="152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9DD6A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—</w:t>
            </w:r>
          </w:p>
        </w:tc>
      </w:tr>
      <w:tr w14:paraId="10F02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2ADB8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F5</w:t>
            </w:r>
          </w:p>
        </w:tc>
        <w:tc>
          <w:tcPr>
            <w:tcW w:w="161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39F2B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HHI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7FAD3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市场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4E984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集中度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0C914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Σ( 配置比例 /100)²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E7088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&lt;0.05  低； 0.05–0.10  中； 0.10–0.15  高； &gt;0.15  极高</w:t>
            </w:r>
          </w:p>
        </w:tc>
        <w:tc>
          <w:tcPr>
            <w:tcW w:w="152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CA868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0.1897（极高）</w:t>
            </w:r>
          </w:p>
        </w:tc>
      </w:tr>
      <w:tr w14:paraId="23F47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82357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F6</w:t>
            </w:r>
          </w:p>
        </w:tc>
        <w:tc>
          <w:tcPr>
            <w:tcW w:w="161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983D3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CR3/CR5/CR10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AAA11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市场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05F10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集中度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DFA33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前  n  大行业配置比例之和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470FF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CR3&gt;60%  高度集中</w:t>
            </w:r>
          </w:p>
        </w:tc>
        <w:tc>
          <w:tcPr>
            <w:tcW w:w="152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BE2BB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63.49% / 79.51% / 91.92%</w:t>
            </w:r>
          </w:p>
        </w:tc>
      </w:tr>
      <w:tr w14:paraId="02A50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1172A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F7</w:t>
            </w:r>
          </w:p>
        </w:tc>
        <w:tc>
          <w:tcPr>
            <w:tcW w:w="161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E7B95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个股集中度（筹码）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102E1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市场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71A5E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时序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4EA5F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Top20  平均持股基金数等  3  项  Z  均值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D070C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创扩窗新高＝筹码拥挤</w:t>
            </w:r>
          </w:p>
        </w:tc>
        <w:tc>
          <w:tcPr>
            <w:tcW w:w="152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A908F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Z = +2.17</w:t>
            </w:r>
          </w:p>
        </w:tc>
      </w:tr>
      <w:tr w14:paraId="0E3F9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86095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F8</w:t>
            </w:r>
          </w:p>
        </w:tc>
        <w:tc>
          <w:tcPr>
            <w:tcW w:w="161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FEF79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仓位代理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DC83D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市场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DE6BB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时序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952BE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前十重仓占净值比均值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A55A2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破扩窗  P90  后关注</w:t>
            </w:r>
          </w:p>
        </w:tc>
        <w:tc>
          <w:tcPr>
            <w:tcW w:w="152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39749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48.53% （ Z=+1.02 ）</w:t>
            </w:r>
          </w:p>
        </w:tc>
      </w:tr>
      <w:tr w14:paraId="494E9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29CCE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F9</w:t>
            </w:r>
          </w:p>
        </w:tc>
        <w:tc>
          <w:tcPr>
            <w:tcW w:w="161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93ABE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交易拥挤度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00C7F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BB33F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合成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1C7C0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0.6×Z( 成交额占比分位 ) + 0.4×Z( 加速度 )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676B1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分位 ≥90  且环比加速＝交易拥挤</w:t>
            </w:r>
          </w:p>
        </w:tc>
        <w:tc>
          <w:tcPr>
            <w:tcW w:w="152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01096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电子  100  分位</w:t>
            </w:r>
          </w:p>
        </w:tc>
      </w:tr>
      <w:tr w14:paraId="18CA0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8EAE8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F10</w:t>
            </w:r>
          </w:p>
        </w:tc>
        <w:tc>
          <w:tcPr>
            <w:tcW w:w="161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56E30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共振得分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F84E2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FE12D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计数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A490C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S1 + S2 + S3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22C0E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3 ＝最高风险</w:t>
            </w:r>
          </w:p>
        </w:tc>
        <w:tc>
          <w:tcPr>
            <w:tcW w:w="152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62290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电子 / 通信 / 机械设备  = 3</w:t>
            </w:r>
          </w:p>
        </w:tc>
      </w:tr>
      <w:tr w14:paraId="3A6EE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C0360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F11</w:t>
            </w:r>
          </w:p>
        </w:tc>
        <w:tc>
          <w:tcPr>
            <w:tcW w:w="161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FC529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综合拥挤度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AA561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F2FFE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合成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A344E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加权  Z  合成（ 6  分量）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F6ECD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排序用</w:t>
            </w:r>
          </w:p>
        </w:tc>
        <w:tc>
          <w:tcPr>
            <w:tcW w:w="152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3590F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电子  +2.45</w:t>
            </w:r>
          </w:p>
        </w:tc>
      </w:tr>
      <w:tr w14:paraId="0B674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94E77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F12</w:t>
            </w:r>
          </w:p>
        </w:tc>
        <w:tc>
          <w:tcPr>
            <w:tcW w:w="161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DAB81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配置系数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2F7C0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77A86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比值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BD304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配置比例  ÷  基准权重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EF4FC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&gt;2.5  极度； 1.8–2.5  拥挤； &lt;0.5  低配</w:t>
            </w:r>
          </w:p>
        </w:tc>
        <w:tc>
          <w:tcPr>
            <w:tcW w:w="152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0D566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医药生物  2.51</w:t>
            </w:r>
          </w:p>
        </w:tc>
      </w:tr>
      <w:tr w14:paraId="24CF3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B2B8B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F13</w:t>
            </w:r>
          </w:p>
        </w:tc>
        <w:tc>
          <w:tcPr>
            <w:tcW w:w="161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35F53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筹码盈利比例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32580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61D96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代理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FD252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滚动窗口内成本低于现价的成交额占比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7D575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≥80%  获利盘拥挤； ≤20%  深度套牢</w:t>
            </w:r>
          </w:p>
        </w:tc>
        <w:tc>
          <w:tcPr>
            <w:tcW w:w="152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4840F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机械设备  82.97%</w:t>
            </w:r>
          </w:p>
        </w:tc>
      </w:tr>
      <w:tr w14:paraId="6496D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78EEB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F14</w:t>
            </w:r>
          </w:p>
        </w:tc>
        <w:tc>
          <w:tcPr>
            <w:tcW w:w="161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26F40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ETF  资金流强度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1A971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6437D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比值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16BA2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Σ 净申赎  ÷  期初  AUM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DBB3C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表征增量资金；与季报并列不合成</w:t>
            </w:r>
          </w:p>
        </w:tc>
        <w:tc>
          <w:tcPr>
            <w:tcW w:w="152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CB2E6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非银  +10.14% ；医药  −22.29%</w:t>
            </w:r>
          </w:p>
        </w:tc>
      </w:tr>
      <w:tr w14:paraId="709E2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24F1C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F15</w:t>
            </w:r>
          </w:p>
        </w:tc>
        <w:tc>
          <w:tcPr>
            <w:tcW w:w="161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C4E82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拥挤背离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EBD6B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1E5C7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合成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B59BE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z_cs(F1) − z_cs(F2)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1B8BB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IC  为负且通过  4  项检验</w:t>
            </w:r>
          </w:p>
        </w:tc>
        <w:tc>
          <w:tcPr>
            <w:tcW w:w="152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C7CEA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IC = −0.1215</w:t>
            </w:r>
          </w:p>
        </w:tc>
      </w:tr>
      <w:tr w14:paraId="4E13F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A9DEF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—</w:t>
            </w:r>
          </w:p>
        </w:tc>
        <w:tc>
          <w:tcPr>
            <w:tcW w:w="161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D736E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FCI  因子拥挤指数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C7442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市场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3FB49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合成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CAA6D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(z_ 空头集中度  + z_ETF 资金流  + z_ 因子相关性 )/3</w:t>
            </w:r>
          </w:p>
        </w:tc>
        <w:tc>
          <w:tcPr>
            <w:tcW w:w="1302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7527E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越高＝因子本身越拥挤</w:t>
            </w:r>
          </w:p>
        </w:tc>
        <w:tc>
          <w:tcPr>
            <w:tcW w:w="1527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BEA2F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−0.243 （分位  44% ）</w:t>
            </w:r>
          </w:p>
        </w:tc>
      </w:tr>
    </w:tbl>
    <w:p w14:paraId="33E171F5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1.5 因子分级裁决：四项独立判据</w:t>
      </w:r>
    </w:p>
    <w:p w14:paraId="1B1C8071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任何单一检验都不足以判定因子可用。本模型用四项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互不替代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的判据合成裁决：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705B3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97BF7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判据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B9C0A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回答的问题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0D00B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具体标准</w:t>
            </w:r>
          </w:p>
        </w:tc>
        <w:tc>
          <w:tcPr>
            <w:tcW w:w="1728" w:type="dxa"/>
          </w:tcPr>
          <w:p w14:paraId="21B9ADBE"/>
        </w:tc>
        <w:tc>
          <w:tcPr>
            <w:tcW w:w="1728" w:type="dxa"/>
          </w:tcPr>
          <w:p w14:paraId="062EF64C"/>
        </w:tc>
      </w:tr>
      <w:tr w14:paraId="5901E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CE644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J1 统计显著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45714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是不是噪声？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DC493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\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51DC3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IC_IR\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9AF71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&gt; 0.3  且  BH-FDR q ≤ 0.10 （主族内）</w:t>
            </w:r>
          </w:p>
        </w:tc>
      </w:tr>
      <w:tr w14:paraId="63523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A5FB4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J2 设计期样本外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8ADBF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事前能不能真的做出来？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1FB28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设计期（ ≤2023Q4 ）决定形式，留出期（ ≥2024Q1 ）三条件全通过</w:t>
            </w:r>
          </w:p>
        </w:tc>
        <w:tc>
          <w:tcPr>
            <w:tcW w:w="1728" w:type="dxa"/>
          </w:tcPr>
          <w:p w14:paraId="369E8265"/>
        </w:tc>
        <w:tc>
          <w:tcPr>
            <w:tcW w:w="1728" w:type="dxa"/>
          </w:tcPr>
          <w:p w14:paraId="4FE001EB"/>
        </w:tc>
      </w:tr>
      <w:tr w14:paraId="0560E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32E57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J3 独立增量信息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2EFE1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有没有独立于既有因子的信息？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14BA5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一层剔价格风格  +  二层剔同族后， IC  保留  &gt; 30%</w:t>
            </w:r>
          </w:p>
        </w:tc>
        <w:tc>
          <w:tcPr>
            <w:tcW w:w="1728" w:type="dxa"/>
          </w:tcPr>
          <w:p w14:paraId="603F8273"/>
        </w:tc>
        <w:tc>
          <w:tcPr>
            <w:tcW w:w="1728" w:type="dxa"/>
          </w:tcPr>
          <w:p w14:paraId="1178ED12"/>
        </w:tc>
      </w:tr>
      <w:tr w14:paraId="3D1FD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B42D6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J4 可交易性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E5D95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扣费后能不能落地？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01288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扣  20bp  后按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经济先验方向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的超额净年化  &gt; 0</w:t>
            </w:r>
          </w:p>
        </w:tc>
        <w:tc>
          <w:tcPr>
            <w:tcW w:w="1728" w:type="dxa"/>
          </w:tcPr>
          <w:p w14:paraId="653CF468"/>
        </w:tc>
        <w:tc>
          <w:tcPr>
            <w:tcW w:w="1728" w:type="dxa"/>
          </w:tcPr>
          <w:p w14:paraId="0C0CAA52"/>
        </w:tc>
      </w:tr>
    </w:tbl>
    <w:p w14:paraId="16DA1300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裁决结果（2026Q2）：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7"/>
        <w:gridCol w:w="3217"/>
        <w:gridCol w:w="3218"/>
      </w:tblGrid>
      <w:tr w14:paraId="7679B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92A89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裁决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2CA0D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数量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BBFFA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因子</w:t>
            </w:r>
          </w:p>
        </w:tc>
      </w:tr>
      <w:tr w14:paraId="39D30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4D32F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A  可用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DCB63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0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E44EF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无</w:t>
            </w:r>
          </w:p>
        </w:tc>
      </w:tr>
      <w:tr w14:paraId="536D5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90F3B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A−  可用（仅胜等权基准）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625B1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D1600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F15_拥挤背离</w:t>
            </w:r>
          </w:p>
        </w:tc>
      </w:tr>
      <w:tr w14:paraId="71118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5ED2A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B  候选（样本外有效但尚不可交易  /  未过多重检验）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6DD9C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11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F0297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F3d 、 F2d 、 R_F2 、 R_F3 、 F15d 、 R_F1 、 F2 、 F3 、 F1 、 F12s 、 F13</w:t>
            </w:r>
          </w:p>
        </w:tc>
      </w:tr>
      <w:tr w14:paraId="49C13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8F4ED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C  描述性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CCFD6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0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50125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无</w:t>
            </w:r>
          </w:p>
        </w:tc>
      </w:tr>
      <w:tr w14:paraId="68076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8807C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D  未成立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5FD32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11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7FB67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R_F4b 、 F10 、 F4b 、 F11 （等权 /IC 加权 / 推荐权重）、 R_F11 、 F9 、 F1d 、 F12 、 F4</w:t>
            </w:r>
          </w:p>
        </w:tc>
      </w:tr>
    </w:tbl>
    <w:p w14:paraId="10526E62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关键提醒：单因子显著 ≠ 通过多重检验。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主族（预注册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个因子）经</w:t>
      </w:r>
      <w:r>
        <w:rPr>
          <w:rFonts w:ascii="微软雅黑" w:hAnsi="微软雅黑"/>
          <w:color w:val="212121"/>
          <w:sz w:val="21"/>
        </w:rPr>
        <w:t xml:space="preserve"> BH-FDR(α=0.10)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校正后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拒绝 0 个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，最小</w:t>
      </w:r>
      <w:r>
        <w:rPr>
          <w:rFonts w:ascii="微软雅黑" w:hAnsi="微软雅黑"/>
          <w:color w:val="212121"/>
          <w:sz w:val="21"/>
        </w:rPr>
        <w:t xml:space="preserve"> q = 0.1452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。这不是错误，而是必须如实报告的正确结论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</w:t>
      </w:r>
      <w:r>
        <w:rPr>
          <w:rFonts w:ascii="微软雅黑" w:hAnsi="微软雅黑"/>
          <w:color w:val="212121"/>
          <w:sz w:val="21"/>
        </w:rPr>
        <w:t xml:space="preserve"> 20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多次同时检验中，单独出现的</w:t>
      </w:r>
      <w:r>
        <w:rPr>
          <w:rFonts w:ascii="微软雅黑" w:hAnsi="微软雅黑"/>
          <w:color w:val="212121"/>
          <w:sz w:val="21"/>
        </w:rPr>
        <w:t xml:space="preserve"> p&lt;0.05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有相当概率是偶然。</w:t>
      </w:r>
    </w:p>
    <w:p w14:paraId="1BFF638C">
      <w:pPr>
        <w:pStyle w:val="4"/>
        <w:jc w:val="left"/>
      </w:pPr>
      <w:bookmarkStart w:id="2" w:name="section-3"/>
      <w:bookmarkEnd w:id="2"/>
      <w:r>
        <w:rPr>
          <w:rFonts w:hint="eastAsia" w:ascii="微软雅黑" w:hAnsi="微软雅黑" w:eastAsia="微软雅黑" w:cs="微软雅黑"/>
          <w:b/>
          <w:color w:val="1A237E"/>
          <w:sz w:val="30"/>
          <w:lang w:eastAsia="zh-CN"/>
        </w:rPr>
        <w:t>第 2 章 因子详解</w:t>
      </w:r>
    </w:p>
    <w:p w14:paraId="5F1ABCB7">
      <w:pPr>
        <w:pBdr>
          <w:left w:val="single" w:color="1565C0" w:sz="28" w:space="0"/>
        </w:pBdr>
        <w:shd w:val="clear" w:color="auto" w:fill="F5F7FA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每个因子按九个小节展开：原理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公式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计算步骤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数据来源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反映什么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经济意义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判定标准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阈值由来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当前取值与局限。</w:t>
      </w:r>
    </w:p>
    <w:p w14:paraId="60ED77BC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2.1 F1 超配比例</w:t>
      </w:r>
    </w:p>
    <w:p w14:paraId="32EE7356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原理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：衡量主动权益基金对某行业的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主动偏离程度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。基金相对于基准多配了多少，就是它在多大程度上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用行动看好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这个行业。</w:t>
      </w:r>
    </w:p>
    <w:p w14:paraId="3515C1C0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公式</w:t>
      </w:r>
    </w:p>
    <w:p w14:paraId="0F7E3330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超配(i, t) = 行业 i 在 t 期的配置比例(%) − 行业 i 在基准中的权重(%)</w:t>
      </w:r>
    </w:p>
    <w:p w14:paraId="31B34C81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本模型同时维护两套基准：</w:t>
      </w:r>
    </w:p>
    <w:p w14:paraId="45E86579">
      <w:pPr>
        <w:pStyle w:val="16"/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静态基准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（与工作簿 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4-行业超配比例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逐格可核对）：</w:t>
      </w:r>
      <w:r>
        <w:rPr>
          <w:rFonts w:ascii="微软雅黑" w:hAnsi="微软雅黑"/>
          <w:color w:val="212121"/>
          <w:sz w:val="21"/>
        </w:rPr>
        <w:t xml:space="preserve">34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期恒定为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配置比例 − 超配比例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反解所得，</w:t>
      </w:r>
      <w:r>
        <w:rPr>
          <w:rFonts w:ascii="微软雅黑" w:hAnsi="微软雅黑"/>
          <w:color w:val="212121"/>
          <w:sz w:val="21"/>
        </w:rPr>
        <w:t xml:space="preserve">34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期逐行业标准差</w:t>
      </w:r>
      <w:r>
        <w:rPr>
          <w:rFonts w:ascii="微软雅黑" w:hAnsi="微软雅黑"/>
          <w:color w:val="212121"/>
          <w:sz w:val="21"/>
        </w:rPr>
        <w:t xml:space="preserve"> 2.6×10⁻¹⁴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，加总</w:t>
      </w:r>
      <w:r>
        <w:rPr>
          <w:rFonts w:ascii="微软雅黑" w:hAnsi="微软雅黑"/>
          <w:color w:val="212121"/>
          <w:sz w:val="21"/>
        </w:rPr>
        <w:t xml:space="preserve"> = 100.000000%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</w:t>
      </w:r>
    </w:p>
    <w:p w14:paraId="40F3FB64">
      <w:pPr>
        <w:pStyle w:val="16"/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动态基准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>F1d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）：用漂移法重建的季度权重，锚点</w:t>
      </w:r>
      <w:r>
        <w:rPr>
          <w:rFonts w:ascii="微软雅黑" w:hAnsi="微软雅黑"/>
          <w:color w:val="212121"/>
          <w:sz w:val="21"/>
        </w:rPr>
        <w:t xml:space="preserve"> 2026Q2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处与静态基准严格相等。</w:t>
      </w:r>
    </w:p>
    <w:p w14:paraId="5F05ED53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计算步骤</w:t>
      </w:r>
    </w:p>
    <w:p w14:paraId="3CC34222">
      <w:pPr>
        <w:pStyle w:val="14"/>
        <w:numPr>
          <w:ilvl w:val="0"/>
          <w:numId w:val="9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读 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2-行业配置比例热力图</w:t>
      </w:r>
      <w:r>
        <w:rPr>
          <w:rFonts w:ascii="微软雅黑" w:hAnsi="微软雅黑"/>
          <w:color w:val="212121"/>
          <w:sz w:val="21"/>
        </w:rPr>
        <w:t xml:space="preserve"> → 34×31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配置比例矩阵；</w:t>
      </w:r>
    </w:p>
    <w:p w14:paraId="5937061E">
      <w:pPr>
        <w:pStyle w:val="14"/>
        <w:numPr>
          <w:ilvl w:val="0"/>
          <w:numId w:val="9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读基准权重矩阵（静态反解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动态重建）；</w:t>
      </w:r>
    </w:p>
    <w:p w14:paraId="422467C5">
      <w:pPr>
        <w:pStyle w:val="14"/>
        <w:numPr>
          <w:ilvl w:val="0"/>
          <w:numId w:val="9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逐格相减</w:t>
      </w:r>
      <w:r>
        <w:rPr>
          <w:rFonts w:ascii="微软雅黑" w:hAnsi="微软雅黑"/>
          <w:color w:val="212121"/>
          <w:sz w:val="21"/>
        </w:rPr>
        <w:t xml:space="preserve"> → 34×31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超配矩阵；</w:t>
      </w:r>
    </w:p>
    <w:p w14:paraId="2D6CD828">
      <w:pPr>
        <w:pStyle w:val="14"/>
        <w:numPr>
          <w:ilvl w:val="0"/>
          <w:numId w:val="9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校验：逐季超配加总</w:t>
      </w:r>
      <w:r>
        <w:rPr>
          <w:rFonts w:ascii="微软雅黑" w:hAnsi="微软雅黑"/>
          <w:color w:val="212121"/>
          <w:sz w:val="21"/>
        </w:rPr>
        <w:t xml:space="preserve"> ≈ 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（基准权重加总</w:t>
      </w:r>
      <w:r>
        <w:rPr>
          <w:rFonts w:ascii="微软雅黑" w:hAnsi="微软雅黑"/>
          <w:color w:val="212121"/>
          <w:sz w:val="21"/>
        </w:rPr>
        <w:t xml:space="preserve"> = 100%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</w:p>
    <w:p w14:paraId="5BAE31F5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数据来源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：用户提供工作簿 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2-行业配置比例热力图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4-行业超配比例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；基准权重由前者减去后者反解（查询日期</w:t>
      </w:r>
      <w:r>
        <w:rPr>
          <w:rFonts w:ascii="微软雅黑" w:hAnsi="微软雅黑"/>
          <w:color w:val="212121"/>
          <w:sz w:val="21"/>
        </w:rPr>
        <w:t xml:space="preserve"> 2026-09-30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</w:p>
    <w:p w14:paraId="3FD5E72B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反映什么、可衡量什么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：衡量机构投资者相对市场基准的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主动偏离方向与幅度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。正值＝超配（相对看好），负值＝低配。</w:t>
      </w:r>
    </w:p>
    <w:p w14:paraId="00918476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经济意义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：正向超配意味着机构资金在这些行业拥有更大的边际定价权。当超配集中在少数行业时，这些行业的定价更多由机构行为决定，而非由基本面单独决定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被再定价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风险的来源。</w:t>
      </w:r>
    </w:p>
    <w:p w14:paraId="6B23A777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判定标准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：超配</w:t>
      </w:r>
      <w:r>
        <w:rPr>
          <w:rFonts w:ascii="微软雅黑" w:hAnsi="微软雅黑"/>
          <w:color w:val="212121"/>
          <w:sz w:val="21"/>
        </w:rPr>
        <w:t xml:space="preserve"> &gt; +5pct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为显著超配；</w:t>
      </w:r>
      <w:r>
        <w:rPr>
          <w:rFonts w:ascii="微软雅黑" w:hAnsi="微软雅黑"/>
          <w:color w:val="212121"/>
          <w:sz w:val="21"/>
        </w:rPr>
        <w:t xml:space="preserve">&lt; −5pct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为显著低配。</w:t>
      </w:r>
    </w:p>
    <w:p w14:paraId="427035EB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阈值由来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：申万一级</w:t>
      </w:r>
      <w:r>
        <w:rPr>
          <w:rFonts w:ascii="微软雅黑" w:hAnsi="微软雅黑"/>
          <w:color w:val="212121"/>
          <w:sz w:val="21"/>
        </w:rPr>
        <w:t xml:space="preserve"> 31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个行业等权情况下平均权重</w:t>
      </w:r>
      <w:r>
        <w:rPr>
          <w:rFonts w:ascii="微软雅黑" w:hAnsi="微软雅黑"/>
          <w:color w:val="212121"/>
          <w:sz w:val="21"/>
        </w:rPr>
        <w:t xml:space="preserve"> 3.23%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 xml:space="preserve">+5pct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意味着配置比例达到基准权重的两倍以上（或行业权重的极端偏离），在</w:t>
      </w:r>
      <w:r>
        <w:rPr>
          <w:rFonts w:ascii="微软雅黑" w:hAnsi="微软雅黑"/>
          <w:color w:val="212121"/>
          <w:sz w:val="21"/>
        </w:rPr>
        <w:t xml:space="preserve"> A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股主动权益基金的实际分布中属于明显的极端值。</w:t>
      </w:r>
    </w:p>
    <w:p w14:paraId="34C27F9C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当前取值（2026Q2）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：电子</w:t>
      </w:r>
      <w:r>
        <w:rPr>
          <w:rFonts w:ascii="微软雅黑" w:hAnsi="微软雅黑"/>
          <w:color w:val="212121"/>
          <w:sz w:val="21"/>
        </w:rPr>
        <w:t xml:space="preserve"> +17.58pct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（对比：银行</w:t>
      </w:r>
      <w:r>
        <w:rPr>
          <w:rFonts w:ascii="微软雅黑" w:hAnsi="微软雅黑"/>
          <w:color w:val="212121"/>
          <w:sz w:val="21"/>
        </w:rPr>
        <w:t xml:space="preserve"> −10.36pct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、非银金融</w:t>
      </w:r>
      <w:r>
        <w:rPr>
          <w:rFonts w:ascii="微软雅黑" w:hAnsi="微软雅黑"/>
          <w:color w:val="212121"/>
          <w:sz w:val="21"/>
        </w:rPr>
        <w:t xml:space="preserve"> −7.88pct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</w:p>
    <w:p w14:paraId="0142E714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已知局限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：前十大重仓口径；静态基准下历史超配的绝对水平存在系统性偏移（已用动态基准修正）。</w:t>
      </w:r>
    </w:p>
    <w:p w14:paraId="1324EC13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2.2 F2 超配 Z-score（扩窗）</w:t>
      </w:r>
    </w:p>
    <w:p w14:paraId="2AFB860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原理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：消除行业间基准差异，衡量当前超配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相对该行业自身历史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的极端程度。</w:t>
      </w:r>
    </w:p>
    <w:p w14:paraId="4B7DE0F9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公式</w:t>
      </w:r>
    </w:p>
    <w:p w14:paraId="5FC6C541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历史均值(i, t)  = mean( 超配(i, s) )  ,  s ∈ [2018Q1, t−1]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历史标准差(i, t) = std ( 超配(i, s) )  ,  s ∈ [2018Q1, t−1]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Z(i, t) = [ 超配(i, t) − 历史均值(i, t) ] / 历史标准差(i, t)</w:t>
      </w:r>
    </w:p>
    <w:p w14:paraId="2CCC9DD9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计算步骤</w:t>
      </w:r>
    </w:p>
    <w:p w14:paraId="0AA8A85D">
      <w:pPr>
        <w:pStyle w:val="14"/>
        <w:numPr>
          <w:ilvl w:val="0"/>
          <w:numId w:val="10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取</w:t>
      </w:r>
      <w:r>
        <w:rPr>
          <w:rFonts w:ascii="微软雅黑" w:hAnsi="微软雅黑"/>
          <w:color w:val="212121"/>
          <w:sz w:val="21"/>
        </w:rPr>
        <w:t xml:space="preserve"> F1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超配矩阵；</w:t>
      </w:r>
    </w:p>
    <w:p w14:paraId="52C26820">
      <w:pPr>
        <w:pStyle w:val="14"/>
        <w:numPr>
          <w:ilvl w:val="0"/>
          <w:numId w:val="10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对每个行业单独做 </w:t>
      </w:r>
      <w:r>
        <w:rPr>
          <w:rFonts w:ascii="Consolas" w:hAnsi="Consolas"/>
          <w:color w:val="1A237E"/>
          <w:sz w:val="19"/>
        </w:rPr>
        <w:t>shift(1) + expanding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（最小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期）求历史均值与标准差；</w:t>
      </w:r>
    </w:p>
    <w:p w14:paraId="58C59187">
      <w:pPr>
        <w:pStyle w:val="14"/>
        <w:numPr>
          <w:ilvl w:val="0"/>
          <w:numId w:val="10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逐期标准化；</w:t>
      </w:r>
    </w:p>
    <w:p w14:paraId="356D6E9F">
      <w:pPr>
        <w:pStyle w:val="14"/>
        <w:numPr>
          <w:ilvl w:val="0"/>
          <w:numId w:val="10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同时输出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全样本 Z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作为对照列，用于量化前视偏差幅度。</w:t>
      </w:r>
    </w:p>
    <w:p w14:paraId="7FEE57FD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数据来源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F1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的派生量。</w:t>
      </w:r>
    </w:p>
    <w:p w14:paraId="43D86E30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反映什么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：某行业当前的超配水平，在它自己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年历史上处于什么位置。</w:t>
      </w:r>
      <w:r>
        <w:rPr>
          <w:rFonts w:ascii="微软雅黑" w:hAnsi="微软雅黑"/>
          <w:color w:val="212121"/>
          <w:sz w:val="21"/>
        </w:rPr>
        <w:t xml:space="preserve">Z = +2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意味着比历史均值高两个标准差。</w:t>
      </w:r>
    </w:p>
    <w:p w14:paraId="04F8B822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经济意义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Z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值高说明基金经理对这个行业的配置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相对自己的历史习惯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已经非常极端。这是一种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自比较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的拥挤度量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它不判断该行业是否值得重配，只判断当前重配程度是否异常。</w:t>
      </w:r>
    </w:p>
    <w:p w14:paraId="5C5E81DF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判定标准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Z &gt; 2.0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极度拥挤；</w:t>
      </w:r>
      <w:r>
        <w:rPr>
          <w:rFonts w:ascii="微软雅黑" w:hAnsi="微软雅黑"/>
          <w:color w:val="212121"/>
          <w:sz w:val="21"/>
        </w:rPr>
        <w:t xml:space="preserve">Z &gt; 1.5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拥挤；</w:t>
      </w:r>
      <w:r>
        <w:rPr>
          <w:rFonts w:ascii="微软雅黑" w:hAnsi="微软雅黑"/>
          <w:color w:val="212121"/>
          <w:sz w:val="21"/>
        </w:rPr>
        <w:t xml:space="preserve">Z &lt; −1.5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显著低配。</w:t>
      </w:r>
    </w:p>
    <w:p w14:paraId="76D9DEBC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阈值由来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：正态分布下</w:t>
      </w:r>
      <w:r>
        <w:rPr>
          <w:rFonts w:ascii="微软雅黑" w:hAnsi="微软雅黑"/>
          <w:color w:val="212121"/>
          <w:sz w:val="21"/>
        </w:rPr>
        <w:t xml:space="preserve"> |Z| &gt; 1.5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对应约</w:t>
      </w:r>
      <w:r>
        <w:rPr>
          <w:rFonts w:ascii="微软雅黑" w:hAnsi="微软雅黑"/>
          <w:color w:val="212121"/>
          <w:sz w:val="21"/>
        </w:rPr>
        <w:t xml:space="preserve"> 13%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的双尾概率，</w:t>
      </w:r>
      <w:r>
        <w:rPr>
          <w:rFonts w:ascii="微软雅黑" w:hAnsi="微软雅黑"/>
          <w:color w:val="212121"/>
          <w:sz w:val="21"/>
        </w:rPr>
        <w:t xml:space="preserve">&gt; 2.0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约</w:t>
      </w:r>
      <w:r>
        <w:rPr>
          <w:rFonts w:ascii="微软雅黑" w:hAnsi="微软雅黑"/>
          <w:color w:val="212121"/>
          <w:sz w:val="21"/>
        </w:rPr>
        <w:t xml:space="preserve"> 5%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。在</w:t>
      </w:r>
      <w:r>
        <w:rPr>
          <w:rFonts w:ascii="微软雅黑" w:hAnsi="微软雅黑"/>
          <w:color w:val="212121"/>
          <w:sz w:val="21"/>
        </w:rPr>
        <w:t xml:space="preserve"> 31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个行业的横截面上，取</w:t>
      </w:r>
      <w:r>
        <w:rPr>
          <w:rFonts w:ascii="微软雅黑" w:hAnsi="微软雅黑"/>
          <w:color w:val="212121"/>
          <w:sz w:val="21"/>
        </w:rPr>
        <w:t xml:space="preserve"> 1.5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约等于识别出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个左右行业，</w:t>
      </w:r>
      <w:r>
        <w:rPr>
          <w:rFonts w:ascii="微软雅黑" w:hAnsi="微软雅黑"/>
          <w:color w:val="212121"/>
          <w:sz w:val="21"/>
        </w:rPr>
        <w:t xml:space="preserve">2.0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约</w:t>
      </w:r>
      <w:r>
        <w:rPr>
          <w:rFonts w:ascii="微软雅黑" w:hAnsi="微软雅黑"/>
          <w:color w:val="212121"/>
          <w:sz w:val="21"/>
        </w:rPr>
        <w:t xml:space="preserve"> 1–2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既能标记极端值，又不会把大半个市场都标成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拥挤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。本模型同时用</w:t>
      </w:r>
      <w:r>
        <w:rPr>
          <w:rFonts w:ascii="微软雅黑" w:hAnsi="微软雅黑"/>
          <w:color w:val="212121"/>
          <w:sz w:val="21"/>
        </w:rPr>
        <w:t xml:space="preserve"> Z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与历史分位（</w:t>
      </w:r>
      <w:r>
        <w:rPr>
          <w:rFonts w:ascii="微软雅黑" w:hAnsi="微软雅黑"/>
          <w:color w:val="212121"/>
          <w:sz w:val="21"/>
        </w:rPr>
        <w:t>F3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）两个口径，取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任一触发即升级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，避免因分布非正态而漏判。</w:t>
      </w:r>
    </w:p>
    <w:p w14:paraId="18F907F1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当前取值（2026Q2）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：电子</w:t>
      </w:r>
      <w:r>
        <w:rPr>
          <w:rFonts w:ascii="微软雅黑" w:hAnsi="微软雅黑"/>
          <w:color w:val="212121"/>
          <w:sz w:val="21"/>
        </w:rPr>
        <w:t xml:space="preserve"> +5.30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、通信</w:t>
      </w:r>
      <w:r>
        <w:rPr>
          <w:rFonts w:ascii="微软雅黑" w:hAnsi="微软雅黑"/>
          <w:color w:val="212121"/>
          <w:sz w:val="21"/>
        </w:rPr>
        <w:t xml:space="preserve"> +4.76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、机械设备</w:t>
      </w:r>
      <w:r>
        <w:rPr>
          <w:rFonts w:ascii="微软雅黑" w:hAnsi="微软雅黑"/>
          <w:color w:val="212121"/>
          <w:sz w:val="21"/>
        </w:rPr>
        <w:t xml:space="preserve"> +2.48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；医药生物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b/>
          <w:color w:val="212121"/>
          <w:sz w:val="21"/>
        </w:rPr>
        <w:t>−3.14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（自身历史极低位）。</w:t>
      </w:r>
    </w:p>
    <w:p w14:paraId="47DE3397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已知局限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：早期季度历史样本少（最小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期），</w:t>
      </w:r>
      <w:r>
        <w:rPr>
          <w:rFonts w:ascii="微软雅黑" w:hAnsi="微软雅黑"/>
          <w:color w:val="212121"/>
          <w:sz w:val="21"/>
        </w:rPr>
        <w:t xml:space="preserve">Z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的估计误差较大；扩窗口径意味着同一期数值会随历史延长而变动。</w:t>
      </w:r>
    </w:p>
    <w:p w14:paraId="62BD8987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2.3 F3 超配历史分位（扩窗）</w:t>
      </w:r>
    </w:p>
    <w:p w14:paraId="4043D44D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原理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：当前超配在历史分布中的百分位。它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不依赖分布假设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，比</w:t>
      </w:r>
      <w:r>
        <w:rPr>
          <w:rFonts w:ascii="微软雅黑" w:hAnsi="微软雅黑"/>
          <w:color w:val="212121"/>
          <w:sz w:val="21"/>
        </w:rPr>
        <w:t xml:space="preserve"> Z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值更直观。</w:t>
      </w:r>
    </w:p>
    <w:p w14:paraId="5AA54277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公式</w:t>
      </w:r>
    </w:p>
    <w:p w14:paraId="7F7AF877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分位(i, t) = P( 超配(i, s) &lt; 超配(i, t) ) × 100% ,  s ∈ [2018Q1, t−1]</w:t>
      </w:r>
    </w:p>
    <w:p w14:paraId="59FAF72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计算步骤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：对每个行业的超配序列，用扩窗历史（最小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期）计算当前值的百分位排名。</w:t>
      </w:r>
    </w:p>
    <w:p w14:paraId="3CE04035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数据来源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F1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的派生量。</w:t>
      </w:r>
    </w:p>
    <w:p w14:paraId="72BFAE3F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反映什么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：把绝对数值翻译成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在过去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年里，有多少比例的季度比现在更极端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。分位</w:t>
      </w:r>
      <w:r>
        <w:rPr>
          <w:rFonts w:ascii="微软雅黑" w:hAnsi="微软雅黑"/>
          <w:color w:val="212121"/>
          <w:sz w:val="21"/>
        </w:rPr>
        <w:t xml:space="preserve"> 100%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历史最高。</w:t>
      </w:r>
    </w:p>
    <w:p w14:paraId="5F63F40C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经济意义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：比</w:t>
      </w:r>
      <w:r>
        <w:rPr>
          <w:rFonts w:ascii="微软雅黑" w:hAnsi="微软雅黑"/>
          <w:color w:val="212121"/>
          <w:sz w:val="21"/>
        </w:rPr>
        <w:t xml:space="preserve"> Z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值更稳健，因为它不假设正态分布。对偏态明显的行业（如长期单边加仓的电子）尤其重要。</w:t>
      </w:r>
    </w:p>
    <w:p w14:paraId="70AF9001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判定标准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≥90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极度拥挤；</w:t>
      </w:r>
      <w:r>
        <w:rPr>
          <w:rFonts w:ascii="微软雅黑" w:hAnsi="微软雅黑"/>
          <w:color w:val="212121"/>
          <w:sz w:val="21"/>
        </w:rPr>
        <w:t xml:space="preserve">75–90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偏拥挤；</w:t>
      </w:r>
      <w:r>
        <w:rPr>
          <w:rFonts w:ascii="微软雅黑" w:hAnsi="微软雅黑"/>
          <w:color w:val="212121"/>
          <w:sz w:val="21"/>
        </w:rPr>
        <w:t xml:space="preserve">&lt;10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显著低配。</w:t>
      </w:r>
    </w:p>
    <w:p w14:paraId="3EAE581B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阈值由来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90/75/10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是预警体系的分位惯例，与工作簿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8-阈值与预警体系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中的</w:t>
      </w:r>
      <w:r>
        <w:rPr>
          <w:rFonts w:ascii="微软雅黑" w:hAnsi="微软雅黑"/>
          <w:color w:val="212121"/>
          <w:sz w:val="21"/>
        </w:rPr>
        <w:t xml:space="preserve"> P50/P75/P90/P95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结构一致。选</w:t>
      </w:r>
      <w:r>
        <w:rPr>
          <w:rFonts w:ascii="微软雅黑" w:hAnsi="微软雅黑"/>
          <w:color w:val="212121"/>
          <w:sz w:val="21"/>
        </w:rPr>
        <w:t xml:space="preserve"> 90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而不是</w:t>
      </w:r>
      <w:r>
        <w:rPr>
          <w:rFonts w:ascii="微软雅黑" w:hAnsi="微软雅黑"/>
          <w:color w:val="212121"/>
          <w:sz w:val="21"/>
        </w:rPr>
        <w:t xml:space="preserve"> 95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，是因为</w:t>
      </w:r>
      <w:r>
        <w:rPr>
          <w:rFonts w:ascii="微软雅黑" w:hAnsi="微软雅黑"/>
          <w:color w:val="212121"/>
          <w:sz w:val="21"/>
        </w:rPr>
        <w:t xml:space="preserve"> 34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期样本下</w:t>
      </w:r>
      <w:r>
        <w:rPr>
          <w:rFonts w:ascii="微软雅黑" w:hAnsi="微软雅黑"/>
          <w:color w:val="212121"/>
          <w:sz w:val="21"/>
        </w:rPr>
        <w:t xml:space="preserve"> 95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分位过于稀疏（仅</w:t>
      </w:r>
      <w:r>
        <w:rPr>
          <w:rFonts w:ascii="微软雅黑" w:hAnsi="微软雅黑"/>
          <w:color w:val="212121"/>
          <w:sz w:val="21"/>
        </w:rPr>
        <w:t xml:space="preserve"> 1–2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个观测），统计上不稳定。</w:t>
      </w:r>
    </w:p>
    <w:p w14:paraId="3B6A171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当前取值（2026Q2）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：电子、通信、机械设备均为</w:t>
      </w:r>
      <w:r>
        <w:rPr>
          <w:rFonts w:ascii="微软雅黑" w:hAnsi="微软雅黑"/>
          <w:color w:val="212121"/>
          <w:sz w:val="21"/>
        </w:rPr>
        <w:t xml:space="preserve"> 100%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（历史最高）；医药生物</w:t>
      </w:r>
      <w:r>
        <w:rPr>
          <w:rFonts w:ascii="微软雅黑" w:hAnsi="微软雅黑"/>
          <w:color w:val="212121"/>
          <w:sz w:val="21"/>
        </w:rPr>
        <w:t xml:space="preserve"> 0%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（历史最低）。</w:t>
      </w:r>
    </w:p>
    <w:p w14:paraId="62C645AE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已知局限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：分位是相对自身历史的度量，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分位</w:t>
      </w:r>
      <w:r>
        <w:rPr>
          <w:rFonts w:ascii="微软雅黑" w:hAnsi="微软雅黑"/>
          <w:color w:val="212121"/>
          <w:sz w:val="21"/>
        </w:rPr>
        <w:t xml:space="preserve"> 100%"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不等于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绝对配置最多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；早期季度样本少。</w:t>
      </w:r>
    </w:p>
    <w:p w14:paraId="7E663235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2.4 F4 / F4b 超配动量</w:t>
      </w:r>
    </w:p>
    <w:p w14:paraId="6E9D734E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原理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：捕捉拥挤度的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边际变化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。超配比例环比上升越快，说明资金正在加速集中。</w:t>
      </w:r>
    </w:p>
    <w:p w14:paraId="75D22995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公式</w:t>
      </w:r>
    </w:p>
    <w:p w14:paraId="4CE228E2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F4  : 动量(i, t) = 超配(i, t) − 超配(i, t−1)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F4b : 动量Z(i, t) = [ 动量 − 扩窗历史均值 ] / 扩窗历史标准差</w:t>
      </w:r>
    </w:p>
    <w:p w14:paraId="70BA75F6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数据来源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F1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的差分。</w:t>
      </w:r>
    </w:p>
    <w:p w14:paraId="3872A2D2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反映什么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：方向的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变化率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，而不是方向本身。它可以区分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已经拥挤但不再加速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正在变拥挤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57E37F42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经济意义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：边际资金流是定价的直接驱动。一个已经超配</w:t>
      </w:r>
      <w:r>
        <w:rPr>
          <w:rFonts w:ascii="微软雅黑" w:hAnsi="微软雅黑"/>
          <w:color w:val="212121"/>
          <w:sz w:val="21"/>
        </w:rPr>
        <w:t xml:space="preserve"> 15%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但环比持平的行业，与一个从</w:t>
      </w:r>
      <w:r>
        <w:rPr>
          <w:rFonts w:ascii="微软雅黑" w:hAnsi="微软雅黑"/>
          <w:color w:val="212121"/>
          <w:sz w:val="21"/>
        </w:rPr>
        <w:t xml:space="preserve"> 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快速升到</w:t>
      </w:r>
      <w:r>
        <w:rPr>
          <w:rFonts w:ascii="微软雅黑" w:hAnsi="微软雅黑"/>
          <w:color w:val="212121"/>
          <w:sz w:val="21"/>
        </w:rPr>
        <w:t xml:space="preserve"> 8%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的行业，风险性质不同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后者的定价过程尚未完成。</w:t>
      </w:r>
    </w:p>
    <w:p w14:paraId="2E9972FB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判定标准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：动量</w:t>
      </w:r>
      <w:r>
        <w:rPr>
          <w:rFonts w:ascii="微软雅黑" w:hAnsi="微软雅黑"/>
          <w:color w:val="212121"/>
          <w:sz w:val="21"/>
        </w:rPr>
        <w:t xml:space="preserve"> &gt; 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资金流入；</w:t>
      </w:r>
      <w:r>
        <w:rPr>
          <w:rFonts w:ascii="微软雅黑" w:hAnsi="微软雅黑"/>
          <w:color w:val="212121"/>
          <w:sz w:val="21"/>
        </w:rPr>
        <w:t xml:space="preserve">&lt; 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流出；动量</w:t>
      </w:r>
      <w:r>
        <w:rPr>
          <w:rFonts w:ascii="微软雅黑" w:hAnsi="微软雅黑"/>
          <w:color w:val="212121"/>
          <w:sz w:val="21"/>
        </w:rPr>
        <w:t xml:space="preserve"> Z &gt; 1.0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加速流入；</w:t>
      </w:r>
      <w:r>
        <w:rPr>
          <w:rFonts w:ascii="微软雅黑" w:hAnsi="微软雅黑"/>
          <w:color w:val="212121"/>
          <w:sz w:val="21"/>
        </w:rPr>
        <w:t xml:space="preserve">&lt; −1.0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加速流出。</w:t>
      </w:r>
    </w:p>
    <w:p w14:paraId="667A93F1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阈值由来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：动量本身量纲依赖行业波动，绝对值不可比，故必须标准化；</w:t>
      </w:r>
      <w:r>
        <w:rPr>
          <w:rFonts w:ascii="微软雅黑" w:hAnsi="微软雅黑"/>
          <w:color w:val="212121"/>
          <w:sz w:val="21"/>
        </w:rPr>
        <w:t xml:space="preserve">±1.0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F2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±1.5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保持一致的量级逻辑（加速比绝对水平更常见，故阈值略低）。</w:t>
      </w:r>
    </w:p>
    <w:p w14:paraId="7F8AAA2E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当前取值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：见行业明细表。</w:t>
      </w:r>
    </w:p>
    <w:p w14:paraId="30C9CFDA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已知局限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：季度频率下动量噪声较大；</w:t>
      </w:r>
      <w:r>
        <w:rPr>
          <w:rFonts w:ascii="微软雅黑" w:hAnsi="微软雅黑"/>
          <w:color w:val="212121"/>
          <w:sz w:val="21"/>
        </w:rPr>
        <w:t xml:space="preserve">F4b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在本模型中归为</w:t>
      </w:r>
      <w:r>
        <w:rPr>
          <w:rFonts w:ascii="微软雅黑" w:hAnsi="微软雅黑"/>
          <w:color w:val="212121"/>
          <w:sz w:val="21"/>
        </w:rPr>
        <w:t xml:space="preserve"> D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级（未通过任何判据），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不建议单独使用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0FF66C1D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2.5 F5 行业 HHI（赫芬达尔-赫希曼指数）</w:t>
      </w:r>
    </w:p>
    <w:p w14:paraId="49AE3441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原理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：衡量行业配置的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整体集中度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 xml:space="preserve">HHI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越大，有效配置的行业数越少，集中度风险越高。</w:t>
      </w:r>
    </w:p>
    <w:p w14:paraId="7CE305E7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公式</w:t>
      </w:r>
    </w:p>
    <w:p w14:paraId="3F02E2B6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w(i, t) = 行业 i 在 t 期的配置比例 ÷ 100        ← 必须转为小数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HHI(t) = Σ_i [ w(i, t) ]²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标准化HHI = (HHI − 1/31) / (1 − 1/31)</w:t>
      </w:r>
    </w:p>
    <w:p w14:paraId="253C896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计算步骤</w:t>
      </w:r>
    </w:p>
    <w:p w14:paraId="1DE0AF47">
      <w:pPr>
        <w:pStyle w:val="14"/>
        <w:numPr>
          <w:ilvl w:val="0"/>
          <w:numId w:val="11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配置比例</w:t>
      </w:r>
      <w:r>
        <w:rPr>
          <w:rFonts w:ascii="微软雅黑" w:hAnsi="微软雅黑"/>
          <w:color w:val="212121"/>
          <w:sz w:val="21"/>
        </w:rPr>
        <w:t xml:space="preserve"> ÷ 100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转小数；</w:t>
      </w:r>
    </w:p>
    <w:p w14:paraId="2BF09D26">
      <w:pPr>
        <w:pStyle w:val="14"/>
        <w:numPr>
          <w:ilvl w:val="0"/>
          <w:numId w:val="11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逐行业平方并求和；</w:t>
      </w:r>
    </w:p>
    <w:p w14:paraId="3D3C8FA5">
      <w:pPr>
        <w:pStyle w:val="14"/>
        <w:numPr>
          <w:ilvl w:val="0"/>
          <w:numId w:val="11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与工作簿 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3-行业集中度CR_HHI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HHI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列逐期对账（本模型要求最大误差</w:t>
      </w:r>
      <w:r>
        <w:rPr>
          <w:rFonts w:ascii="微软雅黑" w:hAnsi="微软雅黑"/>
          <w:color w:val="212121"/>
          <w:sz w:val="21"/>
        </w:rPr>
        <w:t xml:space="preserve"> &lt; 1e-6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）；</w:t>
      </w:r>
    </w:p>
    <w:p w14:paraId="5D6D077D">
      <w:pPr>
        <w:pStyle w:val="14"/>
        <w:numPr>
          <w:ilvl w:val="0"/>
          <w:numId w:val="11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同时输出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行业对 HHI 的贡献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1A237E"/>
          <w:sz w:val="19"/>
        </w:rPr>
        <w:t>w(i,t)²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，用于横截面比较。</w:t>
      </w:r>
    </w:p>
    <w:p w14:paraId="16F98E4B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数据来源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：用户提供工作簿 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2-行业配置比例热力图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（复算）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3-行业集中度CR_HHI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（对账）。</w:t>
      </w:r>
    </w:p>
    <w:p w14:paraId="283B3D45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反映什么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：组合的行业分散程度。</w:t>
      </w:r>
      <w:r>
        <w:rPr>
          <w:rFonts w:ascii="微软雅黑" w:hAnsi="微软雅黑"/>
          <w:color w:val="212121"/>
          <w:sz w:val="21"/>
        </w:rPr>
        <w:t xml:space="preserve">HHI = 1/31 ≈ 0.032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对应完全等权；</w:t>
      </w:r>
      <w:r>
        <w:rPr>
          <w:rFonts w:ascii="微软雅黑" w:hAnsi="微软雅黑"/>
          <w:color w:val="212121"/>
          <w:sz w:val="21"/>
        </w:rPr>
        <w:t xml:space="preserve">HHI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越高说明越集中在少数行业。</w:t>
      </w:r>
    </w:p>
    <w:p w14:paraId="4B0F3BA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经济意义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：这是最直接的结构性风险度量。</w:t>
      </w:r>
      <w:r>
        <w:rPr>
          <w:rFonts w:ascii="微软雅黑" w:hAnsi="微软雅黑"/>
          <w:color w:val="212121"/>
          <w:sz w:val="21"/>
        </w:rPr>
        <w:t xml:space="preserve">HHI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高意味着组合高度依赖少数行业的表现，单一行业的下跌会显著影响整体净值。</w:t>
      </w:r>
    </w:p>
    <w:p w14:paraId="04813A15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判定标准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&lt; 0.05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低；</w:t>
      </w:r>
      <w:r>
        <w:rPr>
          <w:rFonts w:ascii="微软雅黑" w:hAnsi="微软雅黑"/>
          <w:color w:val="212121"/>
          <w:sz w:val="21"/>
        </w:rPr>
        <w:t xml:space="preserve">0.05–0.10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中；</w:t>
      </w:r>
      <w:r>
        <w:rPr>
          <w:rFonts w:ascii="微软雅黑" w:hAnsi="微软雅黑"/>
          <w:color w:val="212121"/>
          <w:sz w:val="21"/>
        </w:rPr>
        <w:t xml:space="preserve">0.10–0.15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高；</w:t>
      </w:r>
      <w:r>
        <w:rPr>
          <w:rFonts w:ascii="微软雅黑" w:hAnsi="微软雅黑"/>
          <w:color w:val="212121"/>
          <w:sz w:val="21"/>
        </w:rPr>
        <w:t xml:space="preserve">&gt; 0.15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极高。</w:t>
      </w:r>
    </w:p>
    <w:p w14:paraId="50FBA934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阈值由来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：这是集中度研究的通用分级。本模型的实际</w:t>
      </w:r>
      <w:r>
        <w:rPr>
          <w:rFonts w:ascii="微软雅黑" w:hAnsi="微软雅黑"/>
          <w:color w:val="212121"/>
          <w:sz w:val="21"/>
        </w:rPr>
        <w:t xml:space="preserve"> HHI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区间是</w:t>
      </w:r>
      <w:r>
        <w:rPr>
          <w:rFonts w:ascii="微软雅黑" w:hAnsi="微软雅黑"/>
          <w:color w:val="212121"/>
          <w:sz w:val="21"/>
        </w:rPr>
        <w:t xml:space="preserve"> 0.071–0.190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 xml:space="preserve">0.15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恰好落在历史约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97% 分位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既能识别极值，又不会长期误报。若用</w:t>
      </w:r>
      <w:r>
        <w:rPr>
          <w:rFonts w:ascii="微软雅黑" w:hAnsi="微软雅黑"/>
          <w:color w:val="212121"/>
          <w:sz w:val="21"/>
        </w:rPr>
        <w:t xml:space="preserve"> 0.10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作阈值，</w:t>
      </w:r>
      <w:r>
        <w:rPr>
          <w:rFonts w:ascii="微软雅黑" w:hAnsi="微软雅黑"/>
          <w:color w:val="212121"/>
          <w:sz w:val="21"/>
        </w:rPr>
        <w:t xml:space="preserve">30/34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期都会被标记，失去预警意义。</w:t>
      </w:r>
    </w:p>
    <w:p w14:paraId="7FCA18E2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当前取值（2026Q2）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b/>
          <w:color w:val="212121"/>
          <w:sz w:val="21"/>
        </w:rPr>
        <w:t>HHI = 0.1897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，历史最高、历史分位</w:t>
      </w:r>
      <w:r>
        <w:rPr>
          <w:rFonts w:ascii="微软雅黑" w:hAnsi="微软雅黑"/>
          <w:color w:val="212121"/>
          <w:sz w:val="21"/>
        </w:rPr>
        <w:t xml:space="preserve"> 97%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，历史均值</w:t>
      </w:r>
      <w:r>
        <w:rPr>
          <w:rFonts w:ascii="微软雅黑" w:hAnsi="微软雅黑"/>
          <w:color w:val="212121"/>
          <w:sz w:val="21"/>
        </w:rPr>
        <w:t xml:space="preserve"> 0.1075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，标准化</w:t>
      </w:r>
      <w:r>
        <w:rPr>
          <w:rFonts w:ascii="微软雅黑" w:hAnsi="微软雅黑"/>
          <w:color w:val="212121"/>
          <w:sz w:val="21"/>
        </w:rPr>
        <w:t xml:space="preserve"> HHI = 0.1627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，等级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极高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52CF0CA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已知局限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HHI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基于前十大重仓口径；它衡量集中度本身，不含方向判断，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不能用于择时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65F4B379">
      <w:pPr>
        <w:pStyle w:val="5"/>
        <w:jc w:val="left"/>
      </w:pPr>
      <w:r>
        <w:rPr>
          <w:rFonts w:ascii="微软雅黑" w:hAnsi="微软雅黑"/>
          <w:b/>
          <w:color w:val="1565C0"/>
          <w:sz w:val="25"/>
        </w:rPr>
        <w:t>2.6 F6 CR3 / CR5 / CR10</w:t>
      </w:r>
    </w:p>
    <w:p w14:paraId="6F7AF1CF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原理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：前</w:t>
      </w:r>
      <w:r>
        <w:rPr>
          <w:rFonts w:ascii="微软雅黑" w:hAnsi="微软雅黑"/>
          <w:color w:val="212121"/>
          <w:sz w:val="21"/>
        </w:rPr>
        <w:t xml:space="preserve"> 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大行业配置比例之和，衡量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头部行业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的集中度。相比</w:t>
      </w:r>
      <w:r>
        <w:rPr>
          <w:rFonts w:ascii="微软雅黑" w:hAnsi="微软雅黑"/>
          <w:color w:val="212121"/>
          <w:sz w:val="21"/>
        </w:rPr>
        <w:t xml:space="preserve"> HHI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 xml:space="preserve">CR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更直观、更关注头部。</w:t>
      </w:r>
    </w:p>
    <w:p w14:paraId="3642F5B6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公式</w:t>
      </w:r>
    </w:p>
    <w:p w14:paraId="3A4F35BA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CRn(t) = 配置比例排名前 n 的行业之和</w:t>
      </w:r>
    </w:p>
    <w:p w14:paraId="51FB1C6D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数据来源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：用户提供工作簿 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3-行业集中度CR_HHI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1314F3D7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反映什么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：机构仓位在头部行业的堆积程度。</w:t>
      </w:r>
    </w:p>
    <w:p w14:paraId="33F20D87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经济意义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CR3 &gt; 60%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意味着三个行业吃掉了六成以上的主动权益重仓仓位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这已经不是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分散投资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主题投资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。此时组合的风险本质上是这三个行业的共同风险。</w:t>
      </w:r>
    </w:p>
    <w:p w14:paraId="2A990080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判定标准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CR3 &gt; 60%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高度集中。</w:t>
      </w:r>
    </w:p>
    <w:p w14:paraId="162B846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阈值由来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：等权</w:t>
      </w:r>
      <w:r>
        <w:rPr>
          <w:rFonts w:ascii="微软雅黑" w:hAnsi="微软雅黑"/>
          <w:color w:val="212121"/>
          <w:sz w:val="21"/>
        </w:rPr>
        <w:t xml:space="preserve"> 31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行业下</w:t>
      </w:r>
      <w:r>
        <w:rPr>
          <w:rFonts w:ascii="微软雅黑" w:hAnsi="微软雅黑"/>
          <w:color w:val="212121"/>
          <w:sz w:val="21"/>
        </w:rPr>
        <w:t xml:space="preserve"> CR3 ≈ 9.7%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 xml:space="preserve">60%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相当于头部三个行业的权重是等权情况的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倍以上，是极端集中的明确标志。</w:t>
      </w:r>
    </w:p>
    <w:p w14:paraId="1C7335F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当前取值（2026Q2）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CR3 = 63.49%、CR5 = 79.51%、CR10 = 91.92%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，第一大重仓行业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电子</w:t>
      </w:r>
      <w:r>
        <w:rPr>
          <w:rFonts w:ascii="微软雅黑" w:hAnsi="微软雅黑"/>
          <w:color w:val="212121"/>
          <w:sz w:val="21"/>
        </w:rPr>
        <w:t xml:space="preserve"> 36.83%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70710AA5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已知局限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：同</w:t>
      </w:r>
      <w:r>
        <w:rPr>
          <w:rFonts w:ascii="微软雅黑" w:hAnsi="微软雅黑"/>
          <w:color w:val="212121"/>
          <w:sz w:val="21"/>
        </w:rPr>
        <w:t xml:space="preserve"> HHI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35267236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2.7 F7 个股集中度（筹码拥挤）</w:t>
      </w:r>
    </w:p>
    <w:p w14:paraId="6B6DCF93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原理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：行业拥挤说明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钱在哪些行业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，个股拥挤说明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钱在哪些股票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。两者可能背离。</w:t>
      </w:r>
    </w:p>
    <w:p w14:paraId="5B832375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子因子</w:t>
      </w:r>
    </w:p>
    <w:p w14:paraId="0E681303">
      <w:pPr>
        <w:pStyle w:val="16"/>
        <w:spacing w:after="38" w:line="420" w:lineRule="auto"/>
        <w:jc w:val="left"/>
      </w:pPr>
      <w:r>
        <w:rPr>
          <w:rFonts w:ascii="微软雅黑" w:hAnsi="微软雅黑"/>
          <w:color w:val="212121"/>
          <w:sz w:val="21"/>
        </w:rPr>
        <w:t xml:space="preserve">Top20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平均持股基金数；</w:t>
      </w:r>
    </w:p>
    <w:p w14:paraId="60287589">
      <w:pPr>
        <w:pStyle w:val="16"/>
        <w:spacing w:after="38" w:line="420" w:lineRule="auto"/>
        <w:jc w:val="left"/>
      </w:pPr>
      <w:r>
        <w:rPr>
          <w:rFonts w:ascii="微软雅黑" w:hAnsi="微软雅黑"/>
          <w:color w:val="212121"/>
          <w:sz w:val="21"/>
        </w:rPr>
        <w:t xml:space="preserve">Top20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持仓市值占比；</w:t>
      </w:r>
    </w:p>
    <w:p w14:paraId="5911847D">
      <w:pPr>
        <w:pStyle w:val="16"/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持股基金数</w:t>
      </w:r>
      <w:r>
        <w:rPr>
          <w:rFonts w:ascii="微软雅黑" w:hAnsi="微软雅黑"/>
          <w:color w:val="212121"/>
          <w:sz w:val="21"/>
        </w:rPr>
        <w:t xml:space="preserve"> ≥ 100 / ≥ 50 / ≥ 20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的个股数。</w:t>
      </w:r>
    </w:p>
    <w:p w14:paraId="1DB3B079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公式</w:t>
      </w:r>
    </w:p>
    <w:p w14:paraId="0AF877A2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F7_个股集中度Z(t) = mean( Z_时序( Top20平均持股基金数 ),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 xml:space="preserve">                          Z_时序( Top20持仓市值占比% ),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 xml:space="preserve">                          Z_时序( 持股基金数≥100的个股数 ) )</w:t>
      </w:r>
    </w:p>
    <w:p w14:paraId="59E478D1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计算步骤</w:t>
      </w:r>
    </w:p>
    <w:p w14:paraId="55DA19BC">
      <w:pPr>
        <w:pStyle w:val="14"/>
        <w:numPr>
          <w:ilvl w:val="0"/>
          <w:numId w:val="12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读工作簿 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5-个股拥挤度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列子因子；</w:t>
      </w:r>
    </w:p>
    <w:p w14:paraId="28B101BE">
      <w:pPr>
        <w:pStyle w:val="14"/>
        <w:numPr>
          <w:ilvl w:val="0"/>
          <w:numId w:val="12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对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个主指标各做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时序</w:t>
      </w:r>
      <w:r>
        <w:rPr>
          <w:rFonts w:ascii="微软雅黑" w:hAnsi="微软雅黑"/>
          <w:color w:val="212121"/>
          <w:sz w:val="21"/>
        </w:rPr>
        <w:t xml:space="preserve"> z-score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（注意：这是时序标准化，不是横截面）；</w:t>
      </w:r>
    </w:p>
    <w:p w14:paraId="5E16E152">
      <w:pPr>
        <w:pStyle w:val="14"/>
        <w:numPr>
          <w:ilvl w:val="0"/>
          <w:numId w:val="12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取三者均值作为个股集中度</w:t>
      </w:r>
      <w:r>
        <w:rPr>
          <w:rFonts w:ascii="微软雅黑" w:hAnsi="微软雅黑"/>
          <w:color w:val="212121"/>
          <w:sz w:val="21"/>
        </w:rPr>
        <w:t xml:space="preserve"> Z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</w:t>
      </w:r>
    </w:p>
    <w:p w14:paraId="0F4B9A2C">
      <w:pPr>
        <w:pStyle w:val="14"/>
        <w:numPr>
          <w:ilvl w:val="0"/>
          <w:numId w:val="12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定义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筹码拥挤信号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：任一主指标创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扩窗新高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7134D65C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数据来源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：用户提供工作簿 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5-个股拥挤度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（查询日期</w:t>
      </w:r>
      <w:r>
        <w:rPr>
          <w:rFonts w:ascii="微软雅黑" w:hAnsi="微软雅黑"/>
          <w:color w:val="212121"/>
          <w:sz w:val="21"/>
        </w:rPr>
        <w:t xml:space="preserve"> 2026-09-30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</w:p>
    <w:p w14:paraId="2CAE2854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反映什么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：抱团程度。持股基金数越多、</w:t>
      </w:r>
      <w:r>
        <w:rPr>
          <w:rFonts w:ascii="微软雅黑" w:hAnsi="微软雅黑"/>
          <w:color w:val="212121"/>
          <w:sz w:val="21"/>
        </w:rPr>
        <w:t xml:space="preserve">Top20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持仓市值占比越高，筹码越集中在少数标的。</w:t>
      </w:r>
    </w:p>
    <w:p w14:paraId="2932BD4A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经济意义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：个股层面的抱团是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踩踏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风险的直接来源。当大量基金重仓同一批股票时，一旦预期反转，所有基金都想在同一条狭窄的通道里减仓。</w:t>
      </w:r>
    </w:p>
    <w:p w14:paraId="30020CE4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判定标准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：任一主指标创扩窗新高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筹码拥挤信号。</w:t>
      </w:r>
    </w:p>
    <w:p w14:paraId="180EAA31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阈值由来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：选择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创新高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而非固定阈值，是因为抱团程度的绝对水平随市场扩容而系统性上升（基金数量从</w:t>
      </w:r>
      <w:r>
        <w:rPr>
          <w:rFonts w:ascii="微软雅黑" w:hAnsi="微软雅黑"/>
          <w:color w:val="212121"/>
          <w:sz w:val="21"/>
        </w:rPr>
        <w:t xml:space="preserve"> 800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只增至</w:t>
      </w:r>
      <w:r>
        <w:rPr>
          <w:rFonts w:ascii="微软雅黑" w:hAnsi="微软雅黑"/>
          <w:color w:val="212121"/>
          <w:sz w:val="21"/>
        </w:rPr>
        <w:t xml:space="preserve"> 1,074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只），固定阈值会随年份失效。相对自身历史的新高是更稳健的口径。</w:t>
      </w:r>
    </w:p>
    <w:p w14:paraId="6877720B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当前取值（2026Q2）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Top20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平均持股基金数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b/>
          <w:color w:val="212121"/>
          <w:sz w:val="21"/>
        </w:rPr>
        <w:t>122.6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（上期</w:t>
      </w:r>
      <w:r>
        <w:rPr>
          <w:rFonts w:ascii="微软雅黑" w:hAnsi="微软雅黑"/>
          <w:color w:val="212121"/>
          <w:sz w:val="21"/>
        </w:rPr>
        <w:t xml:space="preserve"> 100.8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）、</w:t>
      </w:r>
      <w:r>
        <w:rPr>
          <w:rFonts w:ascii="微软雅黑" w:hAnsi="微软雅黑"/>
          <w:color w:val="212121"/>
          <w:sz w:val="21"/>
        </w:rPr>
        <w:t xml:space="preserve">Top20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持仓市值占比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b/>
          <w:color w:val="212121"/>
          <w:sz w:val="21"/>
        </w:rPr>
        <w:t>38.27%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（上期</w:t>
      </w:r>
      <w:r>
        <w:rPr>
          <w:rFonts w:ascii="微软雅黑" w:hAnsi="微软雅黑"/>
          <w:color w:val="212121"/>
          <w:sz w:val="21"/>
        </w:rPr>
        <w:t xml:space="preserve"> 30.90%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）、持股基金数</w:t>
      </w:r>
      <w:r>
        <w:rPr>
          <w:rFonts w:ascii="微软雅黑" w:hAnsi="微软雅黑"/>
          <w:color w:val="212121"/>
          <w:sz w:val="21"/>
        </w:rPr>
        <w:t xml:space="preserve">≥100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的个股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9 只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（上期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只）；</w:t>
      </w:r>
      <w:r>
        <w:rPr>
          <w:rFonts w:ascii="微软雅黑" w:hAnsi="微软雅黑"/>
          <w:b/>
          <w:color w:val="212121"/>
          <w:sz w:val="21"/>
        </w:rPr>
        <w:t>F7 Z = +2.17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，处于历史高位。</w:t>
      </w:r>
    </w:p>
    <w:p w14:paraId="7A052FF8">
      <w:pPr>
        <w:pBdr>
          <w:left w:val="single" w:color="E8710A" w:sz="28" w:space="0"/>
        </w:pBdr>
        <w:shd w:val="clear" w:color="auto" w:fill="FFF8EC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⚠️ 重要技术说明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F7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市场层面时序指标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同一季度对</w:t>
      </w:r>
      <w:r>
        <w:rPr>
          <w:rFonts w:ascii="微软雅黑" w:hAnsi="微软雅黑"/>
          <w:color w:val="212121"/>
          <w:sz w:val="21"/>
        </w:rPr>
        <w:t xml:space="preserve"> 31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个行业取同一值，是一个常数列。常数列做横截面</w:t>
      </w:r>
      <w:r>
        <w:rPr>
          <w:rFonts w:ascii="微软雅黑" w:hAnsi="微软雅黑"/>
          <w:color w:val="212121"/>
          <w:sz w:val="21"/>
        </w:rPr>
        <w:t xml:space="preserve"> z-score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恒为</w:t>
      </w:r>
      <w:r>
        <w:rPr>
          <w:rFonts w:ascii="微软雅黑" w:hAnsi="微软雅黑"/>
          <w:color w:val="212121"/>
          <w:sz w:val="21"/>
        </w:rPr>
        <w:t xml:space="preserve"> 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，对行业排序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零贡献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。因此</w:t>
      </w:r>
      <w:r>
        <w:rPr>
          <w:rFonts w:ascii="微软雅黑" w:hAnsi="微软雅黑"/>
          <w:color w:val="212121"/>
          <w:sz w:val="21"/>
        </w:rPr>
        <w:t xml:space="preserve"> F7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不进入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行业层面的</w:t>
      </w:r>
      <w:r>
        <w:rPr>
          <w:rFonts w:ascii="微软雅黑" w:hAnsi="微软雅黑"/>
          <w:color w:val="212121"/>
          <w:sz w:val="21"/>
        </w:rPr>
        <w:t xml:space="preserve"> F11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合成，其权重归入市场层面的综合拥挤度。强行保留只会制造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权重是</w:t>
      </w:r>
      <w:r>
        <w:rPr>
          <w:rFonts w:ascii="微软雅黑" w:hAnsi="微软雅黑"/>
          <w:color w:val="212121"/>
          <w:sz w:val="21"/>
        </w:rPr>
        <w:t xml:space="preserve"> 0.15"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的假象。</w:t>
      </w:r>
    </w:p>
    <w:p w14:paraId="0F0F65C4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2.8 F8 仓位代理</w:t>
      </w:r>
    </w:p>
    <w:p w14:paraId="7201BFE3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原理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：仓位高企意味着后续买入弹药减少，机构的一致乐观预期可能已被充分定价。</w:t>
      </w:r>
    </w:p>
    <w:p w14:paraId="7787B404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公式</w:t>
      </w:r>
    </w:p>
    <w:p w14:paraId="151ABA11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F8 仓位代理   = 前十重仓占净值比均值（主口径） / 中位数（对照）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F8 仓位代理Z  = 该序列的时序扩窗 z-score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F8b 仓位动量  = 前十占净值比均值(t) − (t−1)</w:t>
      </w:r>
    </w:p>
    <w:p w14:paraId="7FA618E1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数据来源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：用户提供工作簿 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6-基金仓位变化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35B2ACF3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反映什么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：机构重仓的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集中投入程度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40FE3D9E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经济意义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：前十重仓占净值比越高，说明基金把越多的净值压在少数标的上。这是集中度的代理，不是真实仓位。</w:t>
      </w:r>
    </w:p>
    <w:p w14:paraId="783A7E31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判定标准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：破扩窗</w:t>
      </w:r>
      <w:r>
        <w:rPr>
          <w:rFonts w:ascii="微软雅黑" w:hAnsi="微软雅黑"/>
          <w:color w:val="212121"/>
          <w:sz w:val="21"/>
        </w:rPr>
        <w:t xml:space="preserve"> P90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后关注市场回调概率（本模型对</w:t>
      </w:r>
      <w:r>
        <w:rPr>
          <w:rFonts w:ascii="微软雅黑" w:hAnsi="微软雅黑"/>
          <w:color w:val="212121"/>
          <w:sz w:val="21"/>
        </w:rPr>
        <w:t xml:space="preserve">"88%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魔咒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做了替代检验，结论见第</w:t>
      </w:r>
      <w:r>
        <w:rPr>
          <w:rFonts w:ascii="微软雅黑" w:hAnsi="微软雅黑"/>
          <w:color w:val="212121"/>
          <w:sz w:val="21"/>
        </w:rPr>
        <w:t xml:space="preserve"> 3.4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节）。</w:t>
      </w:r>
    </w:p>
    <w:p w14:paraId="284E6067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阈值由来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P90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用于识别极端状态，与其他因子保持一致的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分位预警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范式。</w:t>
      </w:r>
    </w:p>
    <w:p w14:paraId="79AFF05E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当前取值（2026Q2）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：前十占净值比均值 </w:t>
      </w:r>
      <w:r>
        <w:rPr>
          <w:rFonts w:ascii="微软雅黑" w:hAnsi="微软雅黑"/>
          <w:b/>
          <w:color w:val="212121"/>
          <w:sz w:val="21"/>
        </w:rPr>
        <w:t>48.53%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（中位数</w:t>
      </w:r>
      <w:r>
        <w:rPr>
          <w:rFonts w:ascii="微软雅黑" w:hAnsi="微软雅黑"/>
          <w:color w:val="212121"/>
          <w:sz w:val="21"/>
        </w:rPr>
        <w:t xml:space="preserve"> 50.89%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），</w:t>
      </w:r>
      <w:r>
        <w:rPr>
          <w:rFonts w:ascii="微软雅黑" w:hAnsi="微软雅黑"/>
          <w:color w:val="212121"/>
          <w:sz w:val="21"/>
        </w:rPr>
        <w:t>F8 Z = +1.02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。样本基金</w:t>
      </w:r>
      <w:r>
        <w:rPr>
          <w:rFonts w:ascii="微软雅黑" w:hAnsi="微软雅黑"/>
          <w:color w:val="212121"/>
          <w:sz w:val="21"/>
        </w:rPr>
        <w:t xml:space="preserve"> 1,074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只。</w:t>
      </w:r>
    </w:p>
    <w:p w14:paraId="7AF67427">
      <w:pPr>
        <w:pBdr>
          <w:left w:val="single" w:color="E8710A" w:sz="28" w:space="0"/>
        </w:pBdr>
        <w:shd w:val="clear" w:color="auto" w:fill="FFF8EC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❗ 已弃用的原始列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：工作簿 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6-基金仓位变化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中的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「隐含股票仓位估算均值」数值异常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（取值</w:t>
      </w:r>
      <w:r>
        <w:rPr>
          <w:rFonts w:ascii="微软雅黑" w:hAnsi="微软雅黑"/>
          <w:color w:val="212121"/>
          <w:sz w:val="21"/>
        </w:rPr>
        <w:t xml:space="preserve"> 95.24–1050.50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 xml:space="preserve">34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期中仅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期落在</w:t>
      </w:r>
      <w:r>
        <w:rPr>
          <w:rFonts w:ascii="微软雅黑" w:hAnsi="微软雅黑"/>
          <w:color w:val="212121"/>
          <w:sz w:val="21"/>
        </w:rPr>
        <w:t xml:space="preserve"> 0–100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区间），与样本基金数相关系数高达</w:t>
      </w:r>
      <w:r>
        <w:rPr>
          <w:rFonts w:ascii="微软雅黑" w:hAnsi="微软雅黑"/>
          <w:color w:val="212121"/>
          <w:sz w:val="21"/>
        </w:rPr>
        <w:t xml:space="preserve"> 0.937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、与前十占净值比仅</w:t>
      </w:r>
      <w:r>
        <w:rPr>
          <w:rFonts w:ascii="微软雅黑" w:hAnsi="微软雅黑"/>
          <w:color w:val="212121"/>
          <w:sz w:val="21"/>
        </w:rPr>
        <w:t xml:space="preserve"> 0.294——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判断为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绝对量口径而非仓位百分比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。本模型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弃用该列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，改用「前十占净值比」作为集中度代理，并在所有输出中显著标注：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这不是真实股票仓位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6AC83E7F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2.9 F9 交易拥挤度</w:t>
      </w:r>
    </w:p>
    <w:p w14:paraId="44304DC1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原理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：持仓数据是季度滞后的。交易数据（成交额）是高频的，可以刻画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资金正在往哪里去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415909F5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子因子与公式</w:t>
      </w:r>
    </w:p>
    <w:p w14:paraId="2C211DFF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F9a 成交额占比%(i,t)  = 行业 i 季度成交额 ÷ 全市场季度成交额 × 100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F9b 成交额占比分位(i,t) = F9a 的扩窗历史百分位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F9c 加速度(i,t)      = F9a(t) − mean(F9a, t−4…t−1)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F9d 交易拥挤信号     = 1 若 (F9b ≥ 90 且 F9c &gt; 0) 否则 0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F9  交易拥挤度       = 0.6 × z_cs(F9b) + 0.4 × z_cs(F9c)</w:t>
      </w:r>
    </w:p>
    <w:p w14:paraId="29F48A4F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计算步骤</w:t>
      </w:r>
    </w:p>
    <w:p w14:paraId="198795CF">
      <w:pPr>
        <w:pStyle w:val="14"/>
        <w:numPr>
          <w:ilvl w:val="0"/>
          <w:numId w:val="13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读申万一级行业季度成交额与全市场成交额；</w:t>
      </w:r>
    </w:p>
    <w:p w14:paraId="2BFAF38F">
      <w:pPr>
        <w:pStyle w:val="14"/>
        <w:numPr>
          <w:ilvl w:val="0"/>
          <w:numId w:val="13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计算每个行业的成交额占比；</w:t>
      </w:r>
    </w:p>
    <w:p w14:paraId="3CF7D025">
      <w:pPr>
        <w:pStyle w:val="14"/>
        <w:numPr>
          <w:ilvl w:val="0"/>
          <w:numId w:val="13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计算扩窗分位与环比加速度；</w:t>
      </w:r>
    </w:p>
    <w:p w14:paraId="577126E4">
      <w:pPr>
        <w:pStyle w:val="14"/>
        <w:numPr>
          <w:ilvl w:val="0"/>
          <w:numId w:val="13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组合成交易拥挤度；信号取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分位高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且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仍在加速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的交集。</w:t>
      </w:r>
    </w:p>
    <w:p w14:paraId="75D2D72B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数据来源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：东方财富妙想（申万一级行业指数季度成交额、全市场成交额），查询日期</w:t>
      </w:r>
      <w:r>
        <w:rPr>
          <w:rFonts w:ascii="微软雅黑" w:hAnsi="微软雅黑"/>
          <w:color w:val="212121"/>
          <w:sz w:val="21"/>
        </w:rPr>
        <w:t xml:space="preserve"> 2026-09-30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14E49AA5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反映什么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：资金在行业间的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注意力分布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。成交额占比分位</w:t>
      </w:r>
      <w:r>
        <w:rPr>
          <w:rFonts w:ascii="微软雅黑" w:hAnsi="微软雅黑"/>
          <w:color w:val="212121"/>
          <w:sz w:val="21"/>
        </w:rPr>
        <w:t xml:space="preserve"> 100%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意味着该行业当前的成交热度高于过去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年任何时点。</w:t>
      </w:r>
    </w:p>
    <w:p w14:paraId="67C38204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经济意义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：交易拥挤是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共识已充分表达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的信号。当某个行业的成交占比达到历史极值，说明看多这个行业的资金大多已经入场。</w:t>
      </w:r>
    </w:p>
    <w:p w14:paraId="672F4A1E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判定标准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：成交额占比分位</w:t>
      </w:r>
      <w:r>
        <w:rPr>
          <w:rFonts w:ascii="微软雅黑" w:hAnsi="微软雅黑"/>
          <w:color w:val="212121"/>
          <w:sz w:val="21"/>
        </w:rPr>
        <w:t xml:space="preserve"> ≥ 90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且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环比加速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交易拥挤信号。</w:t>
      </w:r>
    </w:p>
    <w:p w14:paraId="336A1E9F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阈值由来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：要求两个条件同时满足（而不是任一），是为了避免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高位但已在降温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被误判为拥挤。分位</w:t>
      </w:r>
      <w:r>
        <w:rPr>
          <w:rFonts w:ascii="微软雅黑" w:hAnsi="微软雅黑"/>
          <w:color w:val="212121"/>
          <w:sz w:val="21"/>
        </w:rPr>
        <w:t xml:space="preserve"> 90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与其他因子保持一致的极值口径。</w:t>
      </w:r>
    </w:p>
    <w:p w14:paraId="0C186FAE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当前取值（2026Q2）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：电子成交额占比</w:t>
      </w:r>
      <w:r>
        <w:rPr>
          <w:rFonts w:ascii="微软雅黑" w:hAnsi="微软雅黑"/>
          <w:color w:val="212121"/>
          <w:sz w:val="21"/>
        </w:rPr>
        <w:t xml:space="preserve"> 27.05%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、分位</w:t>
      </w:r>
      <w:r>
        <w:rPr>
          <w:rFonts w:ascii="微软雅黑" w:hAnsi="微软雅黑"/>
          <w:color w:val="212121"/>
          <w:sz w:val="21"/>
        </w:rPr>
        <w:t xml:space="preserve"> 100%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；通信</w:t>
      </w:r>
      <w:r>
        <w:rPr>
          <w:rFonts w:ascii="微软雅黑" w:hAnsi="微软雅黑"/>
          <w:color w:val="212121"/>
          <w:sz w:val="21"/>
        </w:rPr>
        <w:t xml:space="preserve"> 8.22%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、分位</w:t>
      </w:r>
      <w:r>
        <w:rPr>
          <w:rFonts w:ascii="微软雅黑" w:hAnsi="微软雅黑"/>
          <w:color w:val="212121"/>
          <w:sz w:val="21"/>
        </w:rPr>
        <w:t xml:space="preserve"> 100%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；机械设备</w:t>
      </w:r>
      <w:r>
        <w:rPr>
          <w:rFonts w:ascii="微软雅黑" w:hAnsi="微软雅黑"/>
          <w:color w:val="212121"/>
          <w:sz w:val="21"/>
        </w:rPr>
        <w:t xml:space="preserve"> 7.84%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、分位</w:t>
      </w:r>
      <w:r>
        <w:rPr>
          <w:rFonts w:ascii="微软雅黑" w:hAnsi="微软雅黑"/>
          <w:color w:val="212121"/>
          <w:sz w:val="21"/>
        </w:rPr>
        <w:t xml:space="preserve"> 97% ——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三者均触发交易拥挤信号。医药生物、银行、非银金融、食品饮料分位均为</w:t>
      </w:r>
      <w:r>
        <w:rPr>
          <w:rFonts w:ascii="微软雅黑" w:hAnsi="微软雅黑"/>
          <w:color w:val="212121"/>
          <w:sz w:val="21"/>
        </w:rPr>
        <w:t xml:space="preserve"> 0%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5B8CE95E">
      <w:pPr>
        <w:pBdr>
          <w:left w:val="single" w:color="E8710A" w:sz="28" w:space="0"/>
        </w:pBdr>
        <w:shd w:val="clear" w:color="auto" w:fill="FFF8EC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⚠️ 诚实报告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F9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的正交化残差</w:t>
      </w:r>
      <w:r>
        <w:rPr>
          <w:rFonts w:ascii="微软雅黑" w:hAnsi="微软雅黑"/>
          <w:color w:val="212121"/>
          <w:sz w:val="21"/>
        </w:rPr>
        <w:t xml:space="preserve"> IC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仅</w:t>
      </w:r>
      <w:r>
        <w:rPr>
          <w:rFonts w:ascii="微软雅黑" w:hAnsi="微软雅黑"/>
          <w:color w:val="212121"/>
          <w:sz w:val="21"/>
        </w:rPr>
        <w:t xml:space="preserve"> −0.0155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>p = 0.7591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），本质是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价格动量的代理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高成交占比的行业往往也是近期涨幅大的行业。因此</w:t>
      </w:r>
      <w:r>
        <w:rPr>
          <w:rFonts w:ascii="微软雅黑" w:hAnsi="微软雅黑"/>
          <w:color w:val="212121"/>
          <w:sz w:val="21"/>
        </w:rPr>
        <w:t xml:space="preserve"> F9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</w:t>
      </w:r>
      <w:r>
        <w:rPr>
          <w:rFonts w:ascii="微软雅黑" w:hAnsi="微软雅黑"/>
          <w:color w:val="212121"/>
          <w:sz w:val="21"/>
        </w:rPr>
        <w:t xml:space="preserve"> v2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版中被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移出 F11 合成权重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，仅保留在因子面板中作参考。</w:t>
      </w:r>
    </w:p>
    <w:p w14:paraId="465E4ADA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2.10 F10 共振得分</w:t>
      </w:r>
    </w:p>
    <w:p w14:paraId="0CD8E851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原理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：单一指标容易误报，多重信号同时出现时风险最高。</w:t>
      </w:r>
    </w:p>
    <w:p w14:paraId="5104A3BE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公式</w:t>
      </w:r>
    </w:p>
    <w:p w14:paraId="0CC307B5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S1 持仓拥挤 = 1 若 超配比例 &gt; 扩窗P90 阈值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S2 交易拥挤 = 1 若 F9d 交易拥挤信号 = 1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S3 筹码拥挤 = 1 若 任一抱团主指标创扩窗新高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共振得分   = S1 + S2 + S3</w:t>
      </w:r>
    </w:p>
    <w:p w14:paraId="73D0FE0A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数据来源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F1 + F9 + F7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4EE65160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反映什么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：三个独立维度（持仓、交易、筹码）同时指向拥挤的行业。</w:t>
      </w:r>
    </w:p>
    <w:p w14:paraId="15810D1F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经济意义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：三个维度分别对应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机构配置行为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市场交易行为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筹码结构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。三者共振意味着不同性质的资金同时集中，反转时的流动性冲击会被放大。</w:t>
      </w:r>
    </w:p>
    <w:p w14:paraId="37DBEA61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判定标准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3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最高风险；</w:t>
      </w:r>
      <w:r>
        <w:rPr>
          <w:rFonts w:ascii="微软雅黑" w:hAnsi="微软雅黑"/>
          <w:color w:val="212121"/>
          <w:sz w:val="21"/>
        </w:rPr>
        <w:t xml:space="preserve">2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双信号；</w:t>
      </w:r>
      <w:r>
        <w:rPr>
          <w:rFonts w:ascii="微软雅黑" w:hAnsi="微软雅黑"/>
          <w:color w:val="212121"/>
          <w:sz w:val="21"/>
        </w:rPr>
        <w:t xml:space="preserve">0–1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无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弱。</w:t>
      </w:r>
    </w:p>
    <w:p w14:paraId="1957C82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阈值由来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P90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F3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保持一致；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创新高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F7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保持一致；计数合成简单透明，不做加权（避免引入无法验证的权重假设）。</w:t>
      </w:r>
    </w:p>
    <w:p w14:paraId="688DB160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当前取值（2026Q2）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电子、通信、机械设备三者共振得分均为 3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（持仓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交易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筹码三重信号同时触发）。</w:t>
      </w:r>
    </w:p>
    <w:p w14:paraId="081EBA3E">
      <w:pPr>
        <w:pBdr>
          <w:left w:val="single" w:color="E8710A" w:sz="28" w:space="0"/>
        </w:pBdr>
        <w:shd w:val="clear" w:color="auto" w:fill="FFF8EC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⚠️ 诚实报告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：事件研究显示，共振得分</w:t>
      </w:r>
      <w:r>
        <w:rPr>
          <w:rFonts w:ascii="微软雅黑" w:hAnsi="微软雅黑"/>
          <w:color w:val="212121"/>
          <w:sz w:val="21"/>
        </w:rPr>
        <w:t xml:space="preserve"> =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之后</w:t>
      </w:r>
      <w:r>
        <w:rPr>
          <w:rFonts w:ascii="微软雅黑" w:hAnsi="微软雅黑"/>
          <w:color w:val="212121"/>
          <w:sz w:val="21"/>
        </w:rPr>
        <w:t xml:space="preserve"> 12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个月的超额收益中位数为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b/>
          <w:color w:val="212121"/>
          <w:sz w:val="21"/>
        </w:rPr>
        <w:t>+10.04%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、负收益概率仅 </w:t>
      </w:r>
      <w:r>
        <w:rPr>
          <w:rFonts w:ascii="微软雅黑" w:hAnsi="微软雅黑"/>
          <w:b/>
          <w:color w:val="212121"/>
          <w:sz w:val="21"/>
        </w:rPr>
        <w:t>14.3%</w:t>
      </w:r>
      <w:r>
        <w:rPr>
          <w:rFonts w:ascii="微软雅黑" w:hAnsi="微软雅黑"/>
          <w:color w:val="212121"/>
          <w:sz w:val="21"/>
        </w:rPr>
        <w:t xml:space="preserve"> ——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三信号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最高风险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的直觉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相反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（样本仅</w:t>
      </w:r>
      <w:r>
        <w:rPr>
          <w:rFonts w:ascii="微软雅黑" w:hAnsi="微软雅黑"/>
          <w:color w:val="212121"/>
          <w:sz w:val="21"/>
        </w:rPr>
        <w:t xml:space="preserve"> 21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个，统计功效不足）。该结论必须在报告中并列呈现，不得只引用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共振</w:t>
      </w:r>
      <w:r>
        <w:rPr>
          <w:rFonts w:ascii="微软雅黑" w:hAnsi="微软雅黑"/>
          <w:color w:val="212121"/>
          <w:sz w:val="21"/>
        </w:rPr>
        <w:t>=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高风险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的直觉。</w:t>
      </w:r>
    </w:p>
    <w:p w14:paraId="3F5884B2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2.11 F12 配置系数</w:t>
      </w:r>
    </w:p>
    <w:p w14:paraId="580360FA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原理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：超配比例是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差值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（配置</w:t>
      </w:r>
      <w:r>
        <w:rPr>
          <w:rFonts w:ascii="微软雅黑" w:hAnsi="微软雅黑"/>
          <w:color w:val="212121"/>
          <w:sz w:val="21"/>
        </w:rPr>
        <w:t xml:space="preserve"> 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基准），配置系数是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倍数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（配置</w:t>
      </w:r>
      <w:r>
        <w:rPr>
          <w:rFonts w:ascii="微软雅黑" w:hAnsi="微软雅黑"/>
          <w:color w:val="212121"/>
          <w:sz w:val="21"/>
        </w:rPr>
        <w:t xml:space="preserve"> ÷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基准）。倍数在跨行业比较时更公平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一个基准权重</w:t>
      </w:r>
      <w:r>
        <w:rPr>
          <w:rFonts w:ascii="微软雅黑" w:hAnsi="微软雅黑"/>
          <w:color w:val="212121"/>
          <w:sz w:val="21"/>
        </w:rPr>
        <w:t xml:space="preserve"> 1%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的行业超配</w:t>
      </w:r>
      <w:r>
        <w:rPr>
          <w:rFonts w:ascii="微软雅黑" w:hAnsi="微软雅黑"/>
          <w:color w:val="212121"/>
          <w:sz w:val="21"/>
        </w:rPr>
        <w:t xml:space="preserve"> 5pct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，和一个基准权重</w:t>
      </w:r>
      <w:r>
        <w:rPr>
          <w:rFonts w:ascii="微软雅黑" w:hAnsi="微软雅黑"/>
          <w:color w:val="212121"/>
          <w:sz w:val="21"/>
        </w:rPr>
        <w:t xml:space="preserve"> 20%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的行业超配</w:t>
      </w:r>
      <w:r>
        <w:rPr>
          <w:rFonts w:ascii="微软雅黑" w:hAnsi="微软雅黑"/>
          <w:color w:val="212121"/>
          <w:sz w:val="21"/>
        </w:rPr>
        <w:t xml:space="preserve"> 5pct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，意义完全不同。</w:t>
      </w:r>
    </w:p>
    <w:p w14:paraId="7869137B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公式</w:t>
      </w:r>
    </w:p>
    <w:p w14:paraId="5BA10BCD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配置系数(i, t) = 配置比例(i, t) ÷ 基准权重(i, t)</w:t>
      </w:r>
    </w:p>
    <w:p w14:paraId="3402D943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基准权重为</w:t>
      </w:r>
      <w:r>
        <w:rPr>
          <w:rFonts w:ascii="微软雅黑" w:hAnsi="微软雅黑"/>
          <w:color w:val="212121"/>
          <w:sz w:val="21"/>
        </w:rPr>
        <w:t xml:space="preserve"> 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的行业（纺织服饰、轻工制造、环保、综合）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无定义 → NaN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，不填</w:t>
      </w:r>
      <w:r>
        <w:rPr>
          <w:rFonts w:ascii="微软雅黑" w:hAnsi="微软雅黑"/>
          <w:color w:val="212121"/>
          <w:sz w:val="21"/>
        </w:rPr>
        <w:t xml:space="preserve"> 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、不填无穷。</w:t>
      </w:r>
    </w:p>
    <w:p w14:paraId="7D5A26D2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数据来源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：配置比例（工作簿 </w:t>
      </w:r>
      <w:r>
        <w:rPr>
          <w:rFonts w:ascii="Consolas" w:hAnsi="Consolas"/>
          <w:color w:val="1A237E"/>
          <w:sz w:val="19"/>
        </w:rPr>
        <w:t>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</w:t>
      </w:r>
      <w:r>
        <w:rPr>
          <w:rFonts w:ascii="微软雅黑" w:hAnsi="微软雅黑"/>
          <w:color w:val="212121"/>
          <w:sz w:val="21"/>
        </w:rPr>
        <w:t xml:space="preserve">+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基准权重（动态重建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静态反解）。</w:t>
      </w:r>
    </w:p>
    <w:p w14:paraId="5B8037B1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反映什么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：机构相对于市场基准的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重配倍数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 xml:space="preserve">F12 =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意味着配置比例是基准权重的三倍。</w:t>
      </w:r>
    </w:p>
    <w:p w14:paraId="01110966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经济意义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：倍数口径直接回答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机构在这个行业上的定价权比市场平均高多少倍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。这是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边际定价权集中度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的最直接度量。</w:t>
      </w:r>
    </w:p>
    <w:p w14:paraId="25197CB0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判定标准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&gt; 2.5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极度拥挤；</w:t>
      </w:r>
      <w:r>
        <w:rPr>
          <w:rFonts w:ascii="微软雅黑" w:hAnsi="微软雅黑"/>
          <w:color w:val="212121"/>
          <w:sz w:val="21"/>
        </w:rPr>
        <w:t xml:space="preserve">1.8–2.5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拥挤；</w:t>
      </w:r>
      <w:r>
        <w:rPr>
          <w:rFonts w:ascii="微软雅黑" w:hAnsi="微软雅黑"/>
          <w:color w:val="212121"/>
          <w:sz w:val="21"/>
        </w:rPr>
        <w:t xml:space="preserve">&lt; 0.5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显著低配。</w:t>
      </w:r>
    </w:p>
    <w:p w14:paraId="741DC351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阈值由来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：等权基准下</w:t>
      </w:r>
      <w:r>
        <w:rPr>
          <w:rFonts w:ascii="微软雅黑" w:hAnsi="微软雅黑"/>
          <w:color w:val="212121"/>
          <w:sz w:val="21"/>
        </w:rPr>
        <w:t xml:space="preserve"> F12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恒为</w:t>
      </w:r>
      <w:r>
        <w:rPr>
          <w:rFonts w:ascii="微软雅黑" w:hAnsi="微软雅黑"/>
          <w:color w:val="212121"/>
          <w:sz w:val="21"/>
        </w:rPr>
        <w:t xml:space="preserve"> 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。配置比例达到基准权重的</w:t>
      </w:r>
      <w:r>
        <w:rPr>
          <w:rFonts w:ascii="微软雅黑" w:hAnsi="微软雅黑"/>
          <w:color w:val="212121"/>
          <w:sz w:val="21"/>
        </w:rPr>
        <w:t xml:space="preserve"> 2.5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倍，在</w:t>
      </w:r>
      <w:r>
        <w:rPr>
          <w:rFonts w:ascii="微软雅黑" w:hAnsi="微软雅黑"/>
          <w:color w:val="212121"/>
          <w:sz w:val="21"/>
        </w:rPr>
        <w:t xml:space="preserve"> A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股主动权益基金的历史分布中属于尾部（约</w:t>
      </w:r>
      <w:r>
        <w:rPr>
          <w:rFonts w:ascii="微软雅黑" w:hAnsi="微软雅黑"/>
          <w:color w:val="212121"/>
          <w:sz w:val="21"/>
        </w:rPr>
        <w:t xml:space="preserve"> 90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分位以上）；</w:t>
      </w:r>
      <w:r>
        <w:rPr>
          <w:rFonts w:ascii="微软雅黑" w:hAnsi="微软雅黑"/>
          <w:color w:val="212121"/>
          <w:sz w:val="21"/>
        </w:rPr>
        <w:t xml:space="preserve">1.8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倍对应约</w:t>
      </w:r>
      <w:r>
        <w:rPr>
          <w:rFonts w:ascii="微软雅黑" w:hAnsi="微软雅黑"/>
          <w:color w:val="212121"/>
          <w:sz w:val="21"/>
        </w:rPr>
        <w:t xml:space="preserve"> 75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分位；</w:t>
      </w:r>
      <w:r>
        <w:rPr>
          <w:rFonts w:ascii="微软雅黑" w:hAnsi="微软雅黑"/>
          <w:color w:val="212121"/>
          <w:sz w:val="21"/>
        </w:rPr>
        <w:t xml:space="preserve">0.5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倍对应约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分位。选择与分位阈值（</w:t>
      </w:r>
      <w:r>
        <w:rPr>
          <w:rFonts w:ascii="微软雅黑" w:hAnsi="微软雅黑"/>
          <w:color w:val="212121"/>
          <w:sz w:val="21"/>
        </w:rPr>
        <w:t>90/75/10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）同构的倍数，使两个口径在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极端程度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上可比。</w:t>
      </w:r>
    </w:p>
    <w:p w14:paraId="7E3C9A9A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当前取值（2026Q2）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医药生物 F12 = 2.51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（配置</w:t>
      </w:r>
      <w:r>
        <w:rPr>
          <w:rFonts w:ascii="微软雅黑" w:hAnsi="微软雅黑"/>
          <w:color w:val="212121"/>
          <w:sz w:val="21"/>
        </w:rPr>
        <w:t xml:space="preserve"> 10.29% ÷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基准</w:t>
      </w:r>
      <w:r>
        <w:rPr>
          <w:rFonts w:ascii="微软雅黑" w:hAnsi="微软雅黑"/>
          <w:color w:val="212121"/>
          <w:sz w:val="21"/>
        </w:rPr>
        <w:t xml:space="preserve"> 4.10%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），是全市场最高；电子</w:t>
      </w:r>
      <w:r>
        <w:rPr>
          <w:rFonts w:ascii="微软雅黑" w:hAnsi="微软雅黑"/>
          <w:color w:val="212121"/>
          <w:sz w:val="21"/>
        </w:rPr>
        <w:t xml:space="preserve"> 1.91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、机械设备</w:t>
      </w:r>
      <w:r>
        <w:rPr>
          <w:rFonts w:ascii="微软雅黑" w:hAnsi="微软雅黑"/>
          <w:color w:val="212121"/>
          <w:sz w:val="21"/>
        </w:rPr>
        <w:t xml:space="preserve"> 2.10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、通信</w:t>
      </w:r>
      <w:r>
        <w:rPr>
          <w:rFonts w:ascii="微软雅黑" w:hAnsi="微软雅黑"/>
          <w:color w:val="212121"/>
          <w:sz w:val="21"/>
        </w:rPr>
        <w:t xml:space="preserve"> 1.81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0F5B7D91">
      <w:pPr>
        <w:pBdr>
          <w:left w:val="single" w:color="E8710A" w:sz="28" w:space="0"/>
        </w:pBdr>
        <w:shd w:val="clear" w:color="auto" w:fill="FFF8EC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⚠️ 口径背离（本模型最重要的方法论发现之一）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医药生物</w:t>
      </w:r>
      <w:r>
        <w:rPr>
          <w:rFonts w:ascii="微软雅黑" w:hAnsi="微软雅黑"/>
          <w:color w:val="212121"/>
          <w:sz w:val="21"/>
        </w:rPr>
        <w:t xml:space="preserve"> 2026Q2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超配历史分位 = 0%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（相对自身历史处于极低位），但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配置系数 = 2.51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（相对基准极重配）。两个口径指向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相反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。本模型对此显式标记 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口径背离 = True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，并在看板与导出表中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并列呈现两个口径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，而不是强行合并成一个标签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合并一定会误导其中一方。</w:t>
      </w:r>
    </w:p>
    <w:p w14:paraId="6A245B8E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2.12 F13 筹码盈利比例</w:t>
      </w:r>
    </w:p>
    <w:p w14:paraId="5385E23B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原理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：衡量行业内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多少存量筹码处于盈利状态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。获利盘越重，潜在抛压越大。</w:t>
      </w:r>
    </w:p>
    <w:p w14:paraId="4664C466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目标口径 vs 本模型口径（必须区分）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7"/>
        <w:gridCol w:w="3217"/>
        <w:gridCol w:w="3218"/>
      </w:tblGrid>
      <w:tr w14:paraId="0450913B"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905AA3">
            <w:pPr>
              <w:spacing w:before="45" w:after="45" w:line="240" w:lineRule="auto"/>
              <w:jc w:val="left"/>
            </w:pP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8F231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目标口径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A88E9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本模型口径</w:t>
            </w:r>
          </w:p>
        </w:tc>
      </w:tr>
      <w:tr w14:paraId="711C1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681B5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定义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FAD36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行业成分股中「现价  &gt;  持仓成本」的市值占比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C5A30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滚动窗口内，建仓价低于现价的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成交额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占比</w:t>
            </w:r>
          </w:p>
        </w:tc>
      </w:tr>
      <w:tr w14:paraId="77592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21AE5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需要数据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013A6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逐股持仓成本  ×  现价  ×  流通市值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F67A2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行业指数季度涨跌幅  +  季度成交额</w:t>
            </w:r>
          </w:p>
        </w:tc>
      </w:tr>
      <w:tr w14:paraId="5A1F8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A2A73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可得性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05516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需持仓数据库（未获得）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62825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可从公开行情算出</w:t>
            </w:r>
          </w:p>
        </w:tc>
      </w:tr>
    </w:tbl>
    <w:p w14:paraId="35F792F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公式（本模型口径）</w:t>
      </w:r>
    </w:p>
    <w:p w14:paraId="1CADA5F0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① 行业指数相对点位  P(t) = 100 × Π_{s≤t} (1 + r_s)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② 滚动窗口 W = 12 个季度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③ 筹码盈利比例(t) = Σ_{s∈W, P(s) &lt; P(t)} T(s) ÷ Σ_{s∈W} T(s) × 100%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 xml:space="preserve">   其中 T(s) = 第 s 季度成交额</w:t>
      </w:r>
    </w:p>
    <w:p w14:paraId="17C621E5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数据来源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：申万一级行业季度涨跌幅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季度成交额（东方财富妙想，</w:t>
      </w:r>
      <w:r>
        <w:rPr>
          <w:rFonts w:ascii="微软雅黑" w:hAnsi="微软雅黑"/>
          <w:color w:val="212121"/>
          <w:sz w:val="21"/>
        </w:rPr>
        <w:t>2026-09-30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</w:p>
    <w:p w14:paraId="4EBA859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反映什么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滚动窗口内的存量筹码中，建仓成本低于现价的比重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。高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获利盘重（易有抛压）；低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深度套牢（潜在反转）。</w:t>
      </w:r>
    </w:p>
    <w:p w14:paraId="263CB6D0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经济意义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：这是抛压的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结构指标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。一个行业基本面并未恶化但获利盘高达</w:t>
      </w:r>
      <w:r>
        <w:rPr>
          <w:rFonts w:ascii="微软雅黑" w:hAnsi="微软雅黑"/>
          <w:color w:val="212121"/>
          <w:sz w:val="21"/>
        </w:rPr>
        <w:t xml:space="preserve"> 83%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，意味着任何小幅利空都可能触发获利了结，且卖压来自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赚钱的人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他们卖出意愿最强。</w:t>
      </w:r>
    </w:p>
    <w:p w14:paraId="1D2ED915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判定标准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≥ 80%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获利盘拥挤；</w:t>
      </w:r>
      <w:r>
        <w:rPr>
          <w:rFonts w:ascii="微软雅黑" w:hAnsi="微软雅黑"/>
          <w:color w:val="212121"/>
          <w:sz w:val="21"/>
        </w:rPr>
        <w:t xml:space="preserve">≤ 20%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深度套牢。</w:t>
      </w:r>
    </w:p>
    <w:p w14:paraId="4E0D9C07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阈值由来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80%/20%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对应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绝大多数筹码盈利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绝大多数筹码亏损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的直觉分界。取</w:t>
      </w:r>
      <w:r>
        <w:rPr>
          <w:rFonts w:ascii="微软雅黑" w:hAnsi="微软雅黑"/>
          <w:color w:val="212121"/>
          <w:sz w:val="21"/>
        </w:rPr>
        <w:t xml:space="preserve"> 80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而非</w:t>
      </w:r>
      <w:r>
        <w:rPr>
          <w:rFonts w:ascii="微软雅黑" w:hAnsi="微软雅黑"/>
          <w:color w:val="212121"/>
          <w:sz w:val="21"/>
        </w:rPr>
        <w:t xml:space="preserve"> 90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，是因为</w:t>
      </w:r>
      <w:r>
        <w:rPr>
          <w:rFonts w:ascii="微软雅黑" w:hAnsi="微软雅黑"/>
          <w:color w:val="212121"/>
          <w:sz w:val="21"/>
        </w:rPr>
        <w:t xml:space="preserve"> 12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季度滚动窗口下该指标对均值回归敏感，需要更早预警。</w:t>
      </w:r>
    </w:p>
    <w:p w14:paraId="4063687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当前取值（2026Q2）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：机械设备</w:t>
      </w:r>
      <w:r>
        <w:rPr>
          <w:rFonts w:ascii="微软雅黑" w:hAnsi="微软雅黑"/>
          <w:color w:val="212121"/>
          <w:sz w:val="21"/>
        </w:rPr>
        <w:t xml:space="preserve"> 82.97%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、基础化工</w:t>
      </w:r>
      <w:r>
        <w:rPr>
          <w:rFonts w:ascii="微软雅黑" w:hAnsi="微软雅黑"/>
          <w:color w:val="212121"/>
          <w:sz w:val="21"/>
        </w:rPr>
        <w:t xml:space="preserve"> 82.56%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、电力设备</w:t>
      </w:r>
      <w:r>
        <w:rPr>
          <w:rFonts w:ascii="微软雅黑" w:hAnsi="微软雅黑"/>
          <w:color w:val="212121"/>
          <w:sz w:val="21"/>
        </w:rPr>
        <w:t xml:space="preserve"> 82.32%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（三者</w:t>
      </w:r>
      <w:r>
        <w:rPr>
          <w:rFonts w:ascii="微软雅黑" w:hAnsi="微软雅黑"/>
          <w:color w:val="212121"/>
          <w:sz w:val="21"/>
        </w:rPr>
        <w:t xml:space="preserve"> ≥80%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）；医药生物仅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b/>
          <w:color w:val="212121"/>
          <w:sz w:val="21"/>
        </w:rPr>
        <w:t>15.19%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（深度套牢）。</w:t>
      </w:r>
    </w:p>
    <w:p w14:paraId="606CDA95">
      <w:pPr>
        <w:pBdr>
          <w:left w:val="single" w:color="E8710A" w:sz="28" w:space="0"/>
        </w:pBdr>
        <w:shd w:val="clear" w:color="auto" w:fill="FFF8EC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⚠️ 局限声明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：这是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指数层面代理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，不等于成分股加权口径。它是用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行业整体点位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成交额权重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近似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逐股成本分布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，在行业内部分化极大时会失真。该局限已在</w:t>
      </w:r>
      <w:r>
        <w:rPr>
          <w:rFonts w:ascii="微软雅黑" w:hAnsi="微软雅黑"/>
          <w:color w:val="212121"/>
          <w:sz w:val="21"/>
        </w:rPr>
        <w:t xml:space="preserve"> README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、看板与数据来源登记表三处标注。</w:t>
      </w:r>
    </w:p>
    <w:p w14:paraId="1D25CDAA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2.13 F14 ETF 资金流强度</w:t>
      </w:r>
    </w:p>
    <w:p w14:paraId="7CA5CBFF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原理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：季报是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存量快照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（截至披露日），</w:t>
      </w:r>
      <w:r>
        <w:rPr>
          <w:rFonts w:ascii="微软雅黑" w:hAnsi="微软雅黑"/>
          <w:color w:val="212121"/>
          <w:sz w:val="21"/>
        </w:rPr>
        <w:t xml:space="preserve">ETF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日度资金流是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增量流量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。两者时间维度不同，互补而不替代。</w:t>
      </w:r>
    </w:p>
    <w:p w14:paraId="33A9189D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公式</w:t>
      </w:r>
    </w:p>
    <w:p w14:paraId="2B7F7681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资金流强度(%) = Σ (期内净申赎金额) ÷ 期初 AUM × 100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其中 AUM = 复权份额 × 复权净值；净申赎 = Δ(复权份额) × 复权净值</w:t>
      </w:r>
    </w:p>
    <w:p w14:paraId="7E383474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数据来源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：同花顺</w:t>
      </w:r>
      <w:r>
        <w:rPr>
          <w:rFonts w:ascii="微软雅黑" w:hAnsi="微软雅黑"/>
          <w:color w:val="212121"/>
          <w:sz w:val="21"/>
        </w:rPr>
        <w:t xml:space="preserve"> iFinD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基金日度行情（场内流通份额、单位净值、累计单位净值、成交额），</w:t>
      </w:r>
      <w:r>
        <w:rPr>
          <w:rFonts w:ascii="微软雅黑" w:hAnsi="微软雅黑"/>
          <w:color w:val="212121"/>
          <w:sz w:val="21"/>
        </w:rPr>
        <w:t>2026-07-01 ~ 2026-09-29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，查询日期</w:t>
      </w:r>
      <w:r>
        <w:rPr>
          <w:rFonts w:ascii="微软雅黑" w:hAnsi="微软雅黑"/>
          <w:color w:val="212121"/>
          <w:sz w:val="21"/>
        </w:rPr>
        <w:t xml:space="preserve"> 2026-09-30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6D58DF21">
      <w:pPr>
        <w:pBdr>
          <w:left w:val="single" w:color="E8710A" w:sz="28" w:space="0"/>
        </w:pBdr>
        <w:shd w:val="clear" w:color="auto" w:fill="FFF8EC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⚠️ 份额折算必须剔除（最容易出错之处）</w:t>
      </w:r>
    </w:p>
    <w:p w14:paraId="55D622E8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份额折算（拆分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合并）会造成份额的机械跳变。若直接用份额差分计算净申赎，会把折算误计为巨额申购。正确做法：</w:t>
      </w:r>
    </w:p>
    <w:p w14:paraId="09A40F47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折算倍数 K = round( 累计单位净值环比 ÷ 单位净值环比 )</w:t>
      </w:r>
    </w:p>
    <w:p w14:paraId="79173E4D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原理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：折算把份额</w:t>
      </w:r>
      <w:r>
        <w:rPr>
          <w:rFonts w:ascii="微软雅黑" w:hAnsi="微软雅黑"/>
          <w:color w:val="212121"/>
          <w:sz w:val="21"/>
        </w:rPr>
        <w:t xml:space="preserve"> × K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、单位净值</w:t>
      </w:r>
      <w:r>
        <w:rPr>
          <w:rFonts w:ascii="微软雅黑" w:hAnsi="微软雅黑"/>
          <w:color w:val="212121"/>
          <w:sz w:val="21"/>
        </w:rPr>
        <w:t xml:space="preserve"> ÷ K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，但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累计单位净值不受影响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，故两者环比之比即为折算倍数。</w:t>
      </w:r>
    </w:p>
    <w:p w14:paraId="37C0E5B9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本期实测两次</w:t>
      </w:r>
      <w:r>
        <w:rPr>
          <w:rFonts w:ascii="微软雅黑" w:hAnsi="微软雅黑"/>
          <w:color w:val="212121"/>
          <w:sz w:val="21"/>
        </w:rPr>
        <w:t xml:space="preserve"> 1:2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折算：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608"/>
        <w:gridCol w:w="1609"/>
        <w:gridCol w:w="1609"/>
        <w:gridCol w:w="1609"/>
        <w:gridCol w:w="1609"/>
      </w:tblGrid>
      <w:tr w14:paraId="0659F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D5189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ETF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56ACF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折算日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48AB4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份额变化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A5BB0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单位净值变化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04577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若不处理的假净申购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65B19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实际净申赎</w:t>
            </w:r>
          </w:p>
        </w:tc>
      </w:tr>
      <w:tr w14:paraId="67B30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93867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512480  半导体 ETF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D86AD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2026-07-02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0CF1B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86.89 → 173.66  亿份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79C40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2.9318 → 1.3447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D5202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+116.68  亿元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644EF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−0.16 亿元</w:t>
            </w:r>
          </w:p>
        </w:tc>
      </w:tr>
      <w:tr w14:paraId="30727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58F64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515880  通信 ETF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9504B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2026-07-03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DA041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339.58 → 672.72  亿份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3CC8C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1.5774 → 0.7885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CE9D3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+248.19  亿元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04A00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−5.09 亿元</w:t>
            </w:r>
          </w:p>
        </w:tc>
      </w:tr>
    </w:tbl>
    <w:p w14:paraId="123339EE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反映什么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：增量资金在行业</w:t>
      </w:r>
      <w:r>
        <w:rPr>
          <w:rFonts w:ascii="微软雅黑" w:hAnsi="微软雅黑"/>
          <w:color w:val="212121"/>
          <w:sz w:val="21"/>
        </w:rPr>
        <w:t xml:space="preserve"> ETF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上的流向。</w:t>
      </w:r>
    </w:p>
    <w:p w14:paraId="3C5B444F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经济意义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：它捕捉的是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快层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信息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机构与散户正在实时买什么、卖什么，而季报反映的是三个月前的状态。</w:t>
      </w:r>
    </w:p>
    <w:p w14:paraId="062EFAAF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判定标准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：作为独立信号呈现（正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净申购、负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净赎回），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不与季报口径合成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，因为两者相差一个季度。</w:t>
      </w:r>
    </w:p>
    <w:p w14:paraId="5AD7BA2F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当前取值（2026Q3，与季报相差一个季度）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608"/>
        <w:gridCol w:w="1609"/>
        <w:gridCol w:w="1609"/>
        <w:gridCol w:w="1609"/>
        <w:gridCol w:w="1609"/>
      </w:tblGrid>
      <w:tr w14:paraId="7E7514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661A8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ETF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110D8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行业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0233C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期初  AUM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12BE4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累计净申赎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1A5D2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资金流强度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DDFD8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区间成交额占比</w:t>
            </w:r>
          </w:p>
        </w:tc>
      </w:tr>
      <w:tr w14:paraId="02CFA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421DA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512880  证券 ETF 国泰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E7EA9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非银金融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B4306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602.76  亿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D5E68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+61.15 亿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B1FC2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+10.14%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509C3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24.70%</w:t>
            </w:r>
          </w:p>
        </w:tc>
      </w:tr>
      <w:tr w14:paraId="1FE8D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DC424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512480  半导体 ETF 国联安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9F8AD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电子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B8DD9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254.74  亿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7EA24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+25.66  亿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4440E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+10.07%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EADE2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19.95%</w:t>
            </w:r>
          </w:p>
        </w:tc>
      </w:tr>
      <w:tr w14:paraId="76A27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F980A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515880  通信 ETF 国泰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D477A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通信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DC44B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576.26  亿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363BA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+8.41  亿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30AF5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+1.46%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20308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49.19%</w:t>
            </w:r>
          </w:p>
        </w:tc>
      </w:tr>
      <w:tr w14:paraId="3C525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ED53C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512010  医药 ETF 易方达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1A377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医药生物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5B6FC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177.03  亿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1FF17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−39.46 亿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11E93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−22.29%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0A252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6.15%</w:t>
            </w:r>
          </w:p>
        </w:tc>
      </w:tr>
    </w:tbl>
    <w:p w14:paraId="79A62AED">
      <w:pPr>
        <w:pBdr>
          <w:left w:val="single" w:color="E8710A" w:sz="28" w:space="0"/>
        </w:pBdr>
        <w:shd w:val="clear" w:color="auto" w:fill="FFF8EC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⚠️ 与季报方向的对照（这正是"快层"的价值）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：季报（</w:t>
      </w:r>
      <w:r>
        <w:rPr>
          <w:rFonts w:ascii="微软雅黑" w:hAnsi="微软雅黑"/>
          <w:color w:val="212121"/>
          <w:sz w:val="21"/>
        </w:rPr>
        <w:t>2026Q2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）把非银金融、医药生物都判为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显著低配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，把电子、通信判为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极度拥挤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；但</w:t>
      </w:r>
      <w:r>
        <w:rPr>
          <w:rFonts w:ascii="微软雅黑" w:hAnsi="微软雅黑"/>
          <w:color w:val="212121"/>
          <w:sz w:val="21"/>
        </w:rPr>
        <w:t xml:space="preserve"> 2026Q3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的资金流显示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资金在加非银、撤医药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，与季报的滞后快照方向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相反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。这不是矛盾，而是不同时间维度的信息。</w:t>
      </w:r>
    </w:p>
    <w:p w14:paraId="7BD241C5">
      <w:pPr>
        <w:pBdr>
          <w:left w:val="single" w:color="E8710A" w:sz="28" w:space="0"/>
        </w:pBdr>
        <w:shd w:val="clear" w:color="auto" w:fill="FFF8EC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⚠️ 覆盖局限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：仅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只行业</w:t>
      </w:r>
      <w:r>
        <w:rPr>
          <w:rFonts w:ascii="微软雅黑" w:hAnsi="微软雅黑"/>
          <w:color w:val="212121"/>
          <w:sz w:val="21"/>
        </w:rPr>
        <w:t xml:space="preserve"> ETF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、仅</w:t>
      </w:r>
      <w:r>
        <w:rPr>
          <w:rFonts w:ascii="微软雅黑" w:hAnsi="微软雅黑"/>
          <w:color w:val="212121"/>
          <w:sz w:val="21"/>
        </w:rPr>
        <w:t xml:space="preserve"> 2026Q3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一个季度。因此</w:t>
      </w:r>
      <w:r>
        <w:rPr>
          <w:rFonts w:ascii="微软雅黑" w:hAnsi="微软雅黑"/>
          <w:color w:val="212121"/>
          <w:sz w:val="21"/>
        </w:rPr>
        <w:t xml:space="preserve"> F14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不进入历史 F11 合成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（历史各期</w:t>
      </w:r>
      <w:r>
        <w:rPr>
          <w:rFonts w:ascii="微软雅黑" w:hAnsi="微软雅黑"/>
          <w:color w:val="212121"/>
          <w:sz w:val="21"/>
        </w:rPr>
        <w:t xml:space="preserve"> F14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为</w:t>
      </w:r>
      <w:r>
        <w:rPr>
          <w:rFonts w:ascii="微软雅黑" w:hAnsi="微软雅黑"/>
          <w:color w:val="212121"/>
          <w:sz w:val="21"/>
        </w:rPr>
        <w:t xml:space="preserve"> NaN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，权重自动重新归一化），只作为独立的当前状态信号。</w:t>
      </w:r>
    </w:p>
    <w:p w14:paraId="7145AFDE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2.14 F11 综合拥挤度</w:t>
      </w:r>
    </w:p>
    <w:p w14:paraId="2D3A4D55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原理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：把多个维度合成一个可排序的总分。</w:t>
      </w:r>
    </w:p>
    <w:p w14:paraId="10CEC093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公式</w:t>
      </w:r>
    </w:p>
    <w:p w14:paraId="008C5AD2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F11(i,t) = Σ_k [ w_k × z_cs(分量_k) ] ÷ Σ_k w_k        （仅对可用分量求和）</w:t>
      </w:r>
    </w:p>
    <w:p w14:paraId="2498D232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其中 </w:t>
      </w:r>
      <w:r>
        <w:rPr>
          <w:rFonts w:ascii="Consolas" w:hAnsi="Consolas"/>
          <w:color w:val="1A237E"/>
          <w:sz w:val="19"/>
        </w:rPr>
        <w:t>z_cs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横截面</w:t>
      </w:r>
      <w:r>
        <w:rPr>
          <w:rFonts w:ascii="微软雅黑" w:hAnsi="微软雅黑"/>
          <w:color w:val="212121"/>
          <w:sz w:val="21"/>
        </w:rPr>
        <w:t xml:space="preserve"> z-score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（每期在</w:t>
      </w:r>
      <w:r>
        <w:rPr>
          <w:rFonts w:ascii="微软雅黑" w:hAnsi="微软雅黑"/>
          <w:color w:val="212121"/>
          <w:sz w:val="21"/>
        </w:rPr>
        <w:t xml:space="preserve"> 31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个行业间标准化）。</w:t>
      </w:r>
    </w:p>
    <w:p w14:paraId="33BEF2B1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推荐权重（v2）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7"/>
        <w:gridCol w:w="3217"/>
        <w:gridCol w:w="3218"/>
      </w:tblGrid>
      <w:tr w14:paraId="57E87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21B50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分量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6A01A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权重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AF69A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选择理由</w:t>
            </w:r>
          </w:p>
        </w:tc>
      </w:tr>
      <w:tr w14:paraId="4116D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D56DF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F12  配置系数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EA528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0.25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1A7D5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倍数口径，跨行业最可比</w:t>
            </w:r>
          </w:p>
        </w:tc>
      </w:tr>
      <w:tr w14:paraId="71866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142DE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F1  超配比例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8E5B8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0.20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05798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水平口径，与工作簿逐格可核对</w:t>
            </w:r>
          </w:p>
        </w:tc>
      </w:tr>
      <w:tr w14:paraId="1D69F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5B157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F3  超配历史分位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0233D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0.15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B36F2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无量纲，不依赖分布假设</w:t>
            </w:r>
          </w:p>
        </w:tc>
      </w:tr>
      <w:tr w14:paraId="2A6BD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57ABE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F13  筹码盈利比例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1CE7E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0.15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C2656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引入抛压结构维度</w:t>
            </w:r>
          </w:p>
        </w:tc>
      </w:tr>
      <w:tr w14:paraId="2C413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0BA93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F14 ETF  资金流强度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AD194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0.15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CE937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引入增量资金维度</w:t>
            </w:r>
          </w:p>
        </w:tc>
      </w:tr>
      <w:tr w14:paraId="1BDA0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A6F51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F4b  超配动量 Z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258B6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0.10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BB166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边际变化，权重最低</w:t>
            </w:r>
          </w:p>
        </w:tc>
      </w:tr>
    </w:tbl>
    <w:p w14:paraId="700BF310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缺失分量自动重新归一化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：某期某行业若缺部分分量（如</w:t>
      </w:r>
      <w:r>
        <w:rPr>
          <w:rFonts w:ascii="微软雅黑" w:hAnsi="微软雅黑"/>
          <w:color w:val="212121"/>
          <w:sz w:val="21"/>
        </w:rPr>
        <w:t xml:space="preserve"> F14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仅有</w:t>
      </w:r>
      <w:r>
        <w:rPr>
          <w:rFonts w:ascii="微软雅黑" w:hAnsi="微软雅黑"/>
          <w:color w:val="212121"/>
          <w:sz w:val="21"/>
        </w:rPr>
        <w:t xml:space="preserve"> 2026Q3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），只在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可用分量之间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按原比例重新归一化权重；可用分量</w:t>
      </w:r>
      <w:r>
        <w:rPr>
          <w:rFonts w:ascii="微软雅黑" w:hAnsi="微软雅黑"/>
          <w:color w:val="212121"/>
          <w:sz w:val="21"/>
        </w:rPr>
        <w:t xml:space="preserve"> &lt; 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时该单元置</w:t>
      </w:r>
      <w:r>
        <w:rPr>
          <w:rFonts w:ascii="微软雅黑" w:hAnsi="微软雅黑"/>
          <w:color w:val="212121"/>
          <w:sz w:val="21"/>
        </w:rPr>
        <w:t xml:space="preserve"> NaN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，避免单分量代表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综合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1EA32783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数据来源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：各分量的来源。</w:t>
      </w:r>
    </w:p>
    <w:p w14:paraId="5A6EEB84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反映什么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：某行业在当期全市场中的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相对拥挤排名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0D57B27E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经济意义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：提供可排序的、多维度的拥挤总分，用于筛选预警清单与构建行业权重倾斜。</w:t>
      </w:r>
    </w:p>
    <w:p w14:paraId="011E3F3A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判定标准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：用于排序与预警，不设绝对阈值。</w:t>
      </w:r>
    </w:p>
    <w:p w14:paraId="39C235CA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当前取值（2026Q2）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：电子</w:t>
      </w:r>
      <w:r>
        <w:rPr>
          <w:rFonts w:ascii="微软雅黑" w:hAnsi="微软雅黑"/>
          <w:color w:val="212121"/>
          <w:sz w:val="21"/>
        </w:rPr>
        <w:t xml:space="preserve"> +2.45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（第</w:t>
      </w:r>
      <w:r>
        <w:rPr>
          <w:rFonts w:ascii="微软雅黑" w:hAnsi="微软雅黑"/>
          <w:color w:val="212121"/>
          <w:sz w:val="21"/>
        </w:rPr>
        <w:t xml:space="preserve"> 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）、通信</w:t>
      </w:r>
      <w:r>
        <w:rPr>
          <w:rFonts w:ascii="微软雅黑" w:hAnsi="微软雅黑"/>
          <w:color w:val="212121"/>
          <w:sz w:val="21"/>
        </w:rPr>
        <w:t xml:space="preserve"> +1.60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、机械设备</w:t>
      </w:r>
      <w:r>
        <w:rPr>
          <w:rFonts w:ascii="微软雅黑" w:hAnsi="微软雅黑"/>
          <w:color w:val="212121"/>
          <w:sz w:val="21"/>
        </w:rPr>
        <w:t xml:space="preserve"> +1.50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、医药生物</w:t>
      </w:r>
      <w:r>
        <w:rPr>
          <w:rFonts w:ascii="微软雅黑" w:hAnsi="微软雅黑"/>
          <w:color w:val="212121"/>
          <w:sz w:val="21"/>
        </w:rPr>
        <w:t xml:space="preserve"> +0.66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7B7E0E6F">
      <w:pPr>
        <w:pBdr>
          <w:left w:val="single" w:color="E8710A" w:sz="28" w:space="0"/>
        </w:pBdr>
        <w:shd w:val="clear" w:color="auto" w:fill="FFF8EC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⚠️ 诚实报告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F11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（推荐权重）的</w:t>
      </w:r>
      <w:r>
        <w:rPr>
          <w:rFonts w:ascii="微软雅黑" w:hAnsi="微软雅黑"/>
          <w:color w:val="212121"/>
          <w:sz w:val="21"/>
        </w:rPr>
        <w:t xml:space="preserve"> IC = +0.0203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IC_IR = 0.0694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p = 0.7097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，裁决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D 未成立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。权重调整后（</w:t>
      </w:r>
      <w:r>
        <w:rPr>
          <w:rFonts w:ascii="微软雅黑" w:hAnsi="微软雅黑"/>
          <w:color w:val="212121"/>
          <w:sz w:val="21"/>
        </w:rPr>
        <w:t xml:space="preserve">v2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权重）综合因子的</w:t>
      </w:r>
      <w:r>
        <w:rPr>
          <w:rFonts w:ascii="微软雅黑" w:hAnsi="微软雅黑"/>
          <w:color w:val="212121"/>
          <w:sz w:val="21"/>
        </w:rPr>
        <w:t xml:space="preserve"> IC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反而从旧口径的</w:t>
      </w:r>
      <w:r>
        <w:rPr>
          <w:rFonts w:ascii="微软雅黑" w:hAnsi="微软雅黑"/>
          <w:color w:val="212121"/>
          <w:sz w:val="21"/>
        </w:rPr>
        <w:t xml:space="preserve"> +0.0513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降到</w:t>
      </w:r>
      <w:r>
        <w:rPr>
          <w:rFonts w:ascii="微软雅黑" w:hAnsi="微软雅黑"/>
          <w:color w:val="212121"/>
          <w:sz w:val="21"/>
        </w:rPr>
        <w:t xml:space="preserve"> +0.0203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这一结论必须如实呈现，不做粉饰。</w:t>
      </w:r>
    </w:p>
    <w:p w14:paraId="0595D4EE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两个必须说明的技术性调整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 w14:paraId="73899F7A">
      <w:pPr>
        <w:pStyle w:val="14"/>
        <w:numPr>
          <w:ilvl w:val="0"/>
          <w:numId w:val="14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F7 已移出行业合成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（原因见</w:t>
      </w:r>
      <w:r>
        <w:rPr>
          <w:rFonts w:ascii="微软雅黑" w:hAnsi="微软雅黑"/>
          <w:color w:val="212121"/>
          <w:sz w:val="21"/>
        </w:rPr>
        <w:t xml:space="preserve"> 2.7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）；</w:t>
      </w:r>
    </w:p>
    <w:p w14:paraId="1DE43B42">
      <w:pPr>
        <w:pStyle w:val="14"/>
        <w:numPr>
          <w:ilvl w:val="0"/>
          <w:numId w:val="14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F9 已从权重中移除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（正交化后残差</w:t>
      </w:r>
      <w:r>
        <w:rPr>
          <w:rFonts w:ascii="微软雅黑" w:hAnsi="微软雅黑"/>
          <w:color w:val="212121"/>
          <w:sz w:val="21"/>
        </w:rPr>
        <w:t xml:space="preserve"> IC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仅</w:t>
      </w:r>
      <w:r>
        <w:rPr>
          <w:rFonts w:ascii="微软雅黑" w:hAnsi="微软雅黑"/>
          <w:color w:val="212121"/>
          <w:sz w:val="21"/>
        </w:rPr>
        <w:t xml:space="preserve"> −0.0155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，本质是价格动量代理，见</w:t>
      </w:r>
      <w:r>
        <w:rPr>
          <w:rFonts w:ascii="微软雅黑" w:hAnsi="微软雅黑"/>
          <w:color w:val="212121"/>
          <w:sz w:val="21"/>
        </w:rPr>
        <w:t xml:space="preserve"> 2.9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</w:p>
    <w:p w14:paraId="54EE20F1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2.15 F15 拥挤背离（本模型唯一 A− 级因子）</w:t>
      </w:r>
    </w:p>
    <w:p w14:paraId="49EBD2A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原理（源于实证发现，而非先验假设）</w:t>
      </w:r>
    </w:p>
    <w:p w14:paraId="3557A9B0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诊断显示：</w:t>
      </w:r>
    </w:p>
    <w:p w14:paraId="36155962">
      <w:pPr>
        <w:pStyle w:val="16"/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F1（超配的绝对水平）</w:t>
      </w:r>
      <w:r>
        <w:rPr>
          <w:rFonts w:ascii="微软雅黑" w:hAnsi="微软雅黑"/>
          <w:color w:val="212121"/>
          <w:sz w:val="21"/>
        </w:rPr>
        <w:t xml:space="preserve"> IC = −0.0556 ——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符合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拥挤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风险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的经济先验；</w:t>
      </w:r>
    </w:p>
    <w:p w14:paraId="4F35C6D6">
      <w:pPr>
        <w:pStyle w:val="16"/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F2（超配相对自身历史的极端度）</w:t>
      </w:r>
      <w:r>
        <w:rPr>
          <w:rFonts w:ascii="微软雅黑" w:hAnsi="微软雅黑"/>
          <w:color w:val="212121"/>
          <w:sz w:val="21"/>
        </w:rPr>
        <w:t xml:space="preserve"> IC = +0.0844 ——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符号相反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，表现为趋势延续。</w:t>
      </w:r>
    </w:p>
    <w:p w14:paraId="7F36602F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两者符号相反，说明它们刻画的是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两个不同的风险维度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。取二者之差：</w:t>
      </w:r>
    </w:p>
    <w:p w14:paraId="4FB2EDF4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F15(i,t) = z_cs( 超配比例 ) − z_cs( 超配 Z-score )</w:t>
      </w:r>
    </w:p>
    <w:p w14:paraId="33B37EAE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含义：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绝对超配高、但相对自身历史还不极端</w:t>
      </w:r>
      <w:r>
        <w:rPr>
          <w:rFonts w:ascii="微软雅黑" w:hAnsi="微软雅黑"/>
          <w:color w:val="212121"/>
          <w:sz w:val="21"/>
        </w:rPr>
        <w:t xml:space="preserve"> ——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即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新增的拥挤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（新资金刚进来，历史分位还没抬起来）。理论上这是最危险的一类。</w:t>
      </w:r>
    </w:p>
    <w:p w14:paraId="17728216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数据来源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F1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F2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的派生量。</w:t>
      </w:r>
    </w:p>
    <w:p w14:paraId="58FF3B29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反映什么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正在形成中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的拥挤，区别于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已经很拥挤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的老拥挤。</w:t>
      </w:r>
    </w:p>
    <w:p w14:paraId="43541CDA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经济意义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：老拥挤已经被定价并反映在历史分位里；新增拥挤是定价过程尚未完成的区域。这一区分解释了为什么单纯的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高拥挤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因子方向不稳定。</w:t>
      </w:r>
    </w:p>
    <w:p w14:paraId="537390A2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判定标准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：无绝对阈值，作为连续因子进入</w:t>
      </w:r>
      <w:r>
        <w:rPr>
          <w:rFonts w:ascii="微软雅黑" w:hAnsi="微软雅黑"/>
          <w:color w:val="212121"/>
          <w:sz w:val="21"/>
        </w:rPr>
        <w:t xml:space="preserve"> IC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检验与权重倾斜。</w:t>
      </w:r>
    </w:p>
    <w:p w14:paraId="3CD417F7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阈值 / 形式的由来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零自由参数</w:t>
      </w:r>
      <w:r>
        <w:rPr>
          <w:rFonts w:ascii="微软雅黑" w:hAnsi="微软雅黑"/>
          <w:color w:val="212121"/>
          <w:sz w:val="21"/>
        </w:rPr>
        <w:t xml:space="preserve">——F15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只是两个</w:t>
      </w:r>
      <w:r>
        <w:rPr>
          <w:rFonts w:ascii="微软雅黑" w:hAnsi="微软雅黑"/>
          <w:color w:val="212121"/>
          <w:sz w:val="21"/>
        </w:rPr>
        <w:t xml:space="preserve"> z-score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相减，没有任何拟合参数，因此不存在参数过拟合。唯一的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设计自由度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是选择哪两个</w:t>
      </w:r>
      <w:r>
        <w:rPr>
          <w:rFonts w:ascii="微软雅黑" w:hAnsi="微软雅黑"/>
          <w:color w:val="212121"/>
          <w:sz w:val="21"/>
        </w:rPr>
        <w:t xml:space="preserve"> z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相减。</w:t>
      </w:r>
    </w:p>
    <w:p w14:paraId="42411BB4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四项独立检验结果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2410"/>
        <w:gridCol w:w="2410"/>
        <w:gridCol w:w="2410"/>
      </w:tblGrid>
      <w:tr w14:paraId="35ADC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82F21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判据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64D74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结果</w:t>
            </w:r>
          </w:p>
        </w:tc>
        <w:tc>
          <w:tcPr>
            <w:tcW w:w="2160" w:type="dxa"/>
          </w:tcPr>
          <w:p w14:paraId="5015D1B3"/>
        </w:tc>
        <w:tc>
          <w:tcPr>
            <w:tcW w:w="2160" w:type="dxa"/>
          </w:tcPr>
          <w:p w14:paraId="7CB885DD"/>
        </w:tc>
      </w:tr>
      <w:tr w14:paraId="34A73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643CE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J1  统计显著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4F3F4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IC =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−0.1215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、 \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1B738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IC_IR\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899EA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=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0.452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、 NW p = 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0.0182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； Bootstrap 95% CI = 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[−0.2057, −0.0317]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（不含  0 ）；但  BH-FDR q = 0.1452 → 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未通过 FDR 校正</w:t>
            </w:r>
          </w:p>
        </w:tc>
      </w:tr>
      <w:tr w14:paraId="06B24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5B7EE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J2  设计期样本外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24EBD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留出期  IC = 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−0.2002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、 NW t = −3.018 、单侧  p = 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0.0054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→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通过</w:t>
            </w:r>
          </w:p>
        </w:tc>
        <w:tc>
          <w:tcPr>
            <w:tcW w:w="2160" w:type="dxa"/>
          </w:tcPr>
          <w:p w14:paraId="71759036"/>
        </w:tc>
        <w:tc>
          <w:tcPr>
            <w:tcW w:w="2160" w:type="dxa"/>
          </w:tcPr>
          <w:p w14:paraId="158EE7F0"/>
        </w:tc>
      </w:tr>
      <w:tr w14:paraId="4F8C1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4B0AA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J3  二层正交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47122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一层剔价格风格后保留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54.72%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（ R_F2  仅  4.13% 、 R_F3  仅  15.69% ） → 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通过</w:t>
            </w:r>
          </w:p>
        </w:tc>
        <w:tc>
          <w:tcPr>
            <w:tcW w:w="2160" w:type="dxa"/>
          </w:tcPr>
          <w:p w14:paraId="789D4813"/>
        </w:tc>
        <w:tc>
          <w:tcPr>
            <w:tcW w:w="2160" w:type="dxa"/>
          </w:tcPr>
          <w:p w14:paraId="0891A6A5"/>
        </w:tc>
      </w:tr>
      <w:tr w14:paraId="57D57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7184F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J4  可交易性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1DE24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扣  20bp  后对等权基准超额  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+2.63%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、对沪深 300  基准超额  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+2.76%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（ IR 1.03 ） → 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通过</w:t>
            </w:r>
          </w:p>
        </w:tc>
        <w:tc>
          <w:tcPr>
            <w:tcW w:w="2160" w:type="dxa"/>
          </w:tcPr>
          <w:p w14:paraId="55F053C4"/>
        </w:tc>
        <w:tc>
          <w:tcPr>
            <w:tcW w:w="2160" w:type="dxa"/>
          </w:tcPr>
          <w:p w14:paraId="22C92DDD"/>
        </w:tc>
      </w:tr>
    </w:tbl>
    <w:p w14:paraId="2AFA02AC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样本外方向一致性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：样本内</w:t>
      </w:r>
      <w:r>
        <w:rPr>
          <w:rFonts w:ascii="微软雅黑" w:hAnsi="微软雅黑"/>
          <w:color w:val="212121"/>
          <w:sz w:val="21"/>
        </w:rPr>
        <w:t xml:space="preserve"> IC = −0.0813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、样本外</w:t>
      </w:r>
      <w:r>
        <w:rPr>
          <w:rFonts w:ascii="微软雅黑" w:hAnsi="微软雅黑"/>
          <w:color w:val="212121"/>
          <w:sz w:val="21"/>
        </w:rPr>
        <w:t xml:space="preserve"> IC = −0.1930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（同号）。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子样本稳定性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：三段</w:t>
      </w:r>
      <w:r>
        <w:rPr>
          <w:rFonts w:ascii="微软雅黑" w:hAnsi="微软雅黑"/>
          <w:color w:val="212121"/>
          <w:sz w:val="21"/>
        </w:rPr>
        <w:t xml:space="preserve"> IC = −0.0502 / −0.1983 / −0.1248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三段全部同号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）。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NW 滞后敏感性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：滞后</w:t>
      </w:r>
      <w:r>
        <w:rPr>
          <w:rFonts w:ascii="微软雅黑" w:hAnsi="微软雅黑"/>
          <w:color w:val="212121"/>
          <w:sz w:val="21"/>
        </w:rPr>
        <w:t xml:space="preserve"> 0/1/2/4/8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阶全部同号且显著（</w:t>
      </w:r>
      <w:r>
        <w:rPr>
          <w:rFonts w:ascii="微软雅黑" w:hAnsi="微软雅黑"/>
          <w:color w:val="212121"/>
          <w:sz w:val="21"/>
        </w:rPr>
        <w:t xml:space="preserve">t = −2.31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至</w:t>
      </w:r>
      <w:r>
        <w:rPr>
          <w:rFonts w:ascii="微软雅黑" w:hAnsi="微软雅黑"/>
          <w:color w:val="212121"/>
          <w:sz w:val="21"/>
        </w:rPr>
        <w:t xml:space="preserve"> −3.14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换手率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42.9%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（全场最低，扣成本影响最小）。</w:t>
      </w:r>
    </w:p>
    <w:p w14:paraId="307ADB12">
      <w:pPr>
        <w:pBdr>
          <w:left w:val="single" w:color="E8710A" w:sz="28" w:space="0"/>
        </w:pBdr>
        <w:shd w:val="clear" w:color="auto" w:fill="FFF8EC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⚠️ 必须同时引用的限制</w:t>
      </w:r>
    </w:p>
    <w:p w14:paraId="6862B8D4">
      <w:pPr>
        <w:pStyle w:val="14"/>
        <w:numPr>
          <w:ilvl w:val="0"/>
          <w:numId w:val="15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构造依据的可得时点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F15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的构造依据（</w:t>
      </w:r>
      <w:r>
        <w:rPr>
          <w:rFonts w:ascii="微软雅黑" w:hAnsi="微软雅黑"/>
          <w:color w:val="212121"/>
          <w:sz w:val="21"/>
        </w:rPr>
        <w:t xml:space="preserve">F1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F2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IC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符号相反）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最早可得时点为 2022Q2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。在</w:t>
      </w:r>
      <w:r>
        <w:rPr>
          <w:rFonts w:ascii="微软雅黑" w:hAnsi="微软雅黑"/>
          <w:color w:val="212121"/>
          <w:sz w:val="21"/>
        </w:rPr>
        <w:t xml:space="preserve"> 2019Q4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时点，</w:t>
      </w:r>
      <w:r>
        <w:rPr>
          <w:rFonts w:ascii="微软雅黑" w:hAnsi="微软雅黑"/>
          <w:color w:val="212121"/>
          <w:sz w:val="21"/>
        </w:rPr>
        <w:t xml:space="preserve">F1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的累计</w:t>
      </w:r>
      <w:r>
        <w:rPr>
          <w:rFonts w:ascii="微软雅黑" w:hAnsi="微软雅黑"/>
          <w:color w:val="212121"/>
          <w:sz w:val="21"/>
        </w:rPr>
        <w:t xml:space="preserve"> IC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还是</w:t>
      </w:r>
      <w:r>
        <w:rPr>
          <w:rFonts w:ascii="微软雅黑" w:hAnsi="微软雅黑"/>
          <w:color w:val="212121"/>
          <w:sz w:val="21"/>
        </w:rPr>
        <w:t xml:space="preserve"> +0.042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（正号），</w:t>
      </w:r>
      <w:r>
        <w:rPr>
          <w:rFonts w:ascii="微软雅黑" w:hAnsi="微软雅黑"/>
          <w:color w:val="212121"/>
          <w:sz w:val="21"/>
        </w:rPr>
        <w:t xml:space="preserve">F2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甚至没有任何观测。因此</w:t>
      </w:r>
      <w:r>
        <w:rPr>
          <w:rFonts w:ascii="微软雅黑" w:hAnsi="微软雅黑"/>
          <w:color w:val="212121"/>
          <w:sz w:val="21"/>
        </w:rPr>
        <w:t xml:space="preserve"> F15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属于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后期归纳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而非事先设计。以</w:t>
      </w:r>
      <w:r>
        <w:rPr>
          <w:rFonts w:ascii="微软雅黑" w:hAnsi="微软雅黑"/>
          <w:color w:val="212121"/>
          <w:sz w:val="21"/>
        </w:rPr>
        <w:t xml:space="preserve"> t\* = 2022Q2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为观察截止、</w:t>
      </w:r>
      <w:r>
        <w:rPr>
          <w:rFonts w:ascii="微软雅黑" w:hAnsi="微软雅黑"/>
          <w:color w:val="212121"/>
          <w:sz w:val="21"/>
        </w:rPr>
        <w:t xml:space="preserve">2022Q3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起</w:t>
      </w:r>
      <w:r>
        <w:rPr>
          <w:rFonts w:ascii="微软雅黑" w:hAnsi="微软雅黑"/>
          <w:color w:val="212121"/>
          <w:sz w:val="21"/>
        </w:rPr>
        <w:t xml:space="preserve"> 16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个季度做一次性检验：</w:t>
      </w:r>
      <w:r>
        <w:rPr>
          <w:rFonts w:ascii="微软雅黑" w:hAnsi="微软雅黑"/>
          <w:color w:val="212121"/>
          <w:sz w:val="21"/>
        </w:rPr>
        <w:t xml:space="preserve">IC = </w:t>
      </w:r>
      <w:r>
        <w:rPr>
          <w:rFonts w:ascii="微软雅黑" w:hAnsi="微软雅黑"/>
          <w:b/>
          <w:color w:val="212121"/>
          <w:sz w:val="21"/>
        </w:rPr>
        <w:t>−0.1644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NW t = −2.521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p = </w:t>
      </w:r>
      <w:r>
        <w:rPr>
          <w:rFonts w:ascii="微软雅黑" w:hAnsi="微软雅黑"/>
          <w:b/>
          <w:color w:val="212121"/>
          <w:sz w:val="21"/>
        </w:rPr>
        <w:t>0.0245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（显著）。</w:t>
      </w:r>
    </w:p>
    <w:p w14:paraId="00B8CC5A">
      <w:pPr>
        <w:pStyle w:val="14"/>
        <w:numPr>
          <w:ilvl w:val="0"/>
          <w:numId w:val="15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流程不显著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walk-forward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检验显示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从数据里挑设定的流程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样本外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p = 0.3394，不显著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。这意味着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流程可复制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这一点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没有被证明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086CD837">
      <w:pPr>
        <w:pStyle w:val="14"/>
        <w:numPr>
          <w:ilvl w:val="0"/>
          <w:numId w:val="15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时间区块单调上升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：第</w:t>
      </w:r>
      <w:r>
        <w:rPr>
          <w:rFonts w:ascii="微软雅黑" w:hAnsi="微软雅黑"/>
          <w:color w:val="212121"/>
          <w:sz w:val="21"/>
        </w:rPr>
        <w:t xml:space="preserve"> 1/3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段</w:t>
      </w:r>
      <w:r>
        <w:rPr>
          <w:rFonts w:ascii="微软雅黑" w:hAnsi="微软雅黑"/>
          <w:color w:val="212121"/>
          <w:sz w:val="21"/>
        </w:rPr>
        <w:t xml:space="preserve"> −0.032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2/3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段</w:t>
      </w:r>
      <w:r>
        <w:rPr>
          <w:rFonts w:ascii="微软雅黑" w:hAnsi="微软雅黑"/>
          <w:color w:val="212121"/>
          <w:sz w:val="21"/>
        </w:rPr>
        <w:t xml:space="preserve"> +0.095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3/3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段</w:t>
      </w:r>
      <w:r>
        <w:rPr>
          <w:rFonts w:ascii="微软雅黑" w:hAnsi="微软雅黑"/>
          <w:color w:val="212121"/>
          <w:sz w:val="21"/>
        </w:rPr>
        <w:t xml:space="preserve"> +0.125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。表现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高度依赖时间区间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，且落在</w:t>
      </w:r>
      <w:r>
        <w:rPr>
          <w:rFonts w:ascii="微软雅黑" w:hAnsi="微软雅黑"/>
          <w:color w:val="212121"/>
          <w:sz w:val="21"/>
        </w:rPr>
        <w:t xml:space="preserve"> AI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单边行情区间内。</w:t>
      </w:r>
    </w:p>
    <w:p w14:paraId="3E478EAA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2.16 动态基准变体（F1d / F2d / F3d / F12s / F15d）</w:t>
      </w:r>
    </w:p>
    <w:p w14:paraId="24C07B91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存在的理由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：工作簿 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4-行业超配比例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使用的是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静态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沪深</w:t>
      </w:r>
      <w:r>
        <w:rPr>
          <w:rFonts w:ascii="微软雅黑" w:hAnsi="微软雅黑"/>
          <w:color w:val="212121"/>
          <w:sz w:val="21"/>
        </w:rPr>
        <w:t xml:space="preserve">300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权重（</w:t>
      </w:r>
      <w:r>
        <w:rPr>
          <w:rFonts w:ascii="微软雅黑" w:hAnsi="微软雅黑"/>
          <w:color w:val="212121"/>
          <w:sz w:val="21"/>
        </w:rPr>
        <w:t xml:space="preserve">34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期恒定）。用</w:t>
      </w:r>
      <w:r>
        <w:rPr>
          <w:rFonts w:ascii="微软雅黑" w:hAnsi="微软雅黑"/>
          <w:color w:val="212121"/>
          <w:sz w:val="21"/>
        </w:rPr>
        <w:t xml:space="preserve"> 2026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年的权重去衡量</w:t>
      </w:r>
      <w:r>
        <w:rPr>
          <w:rFonts w:ascii="微软雅黑" w:hAnsi="微软雅黑"/>
          <w:color w:val="212121"/>
          <w:sz w:val="21"/>
        </w:rPr>
        <w:t xml:space="preserve"> 2018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年的配置，会把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因价格上涨而自然上升的权重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误判为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基金经理主动加仓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7BF29CC0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动态权重的重建方法（漂移法）</w:t>
      </w:r>
    </w:p>
    <w:p w14:paraId="6D206F12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G_i(t → anchor) = Π_{s=t+1..anchor} (1 + r_i,s) / (1 + r_hs300,s)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w_i(t) ∝ w_i(anchor) ÷ G_i(t → anchor)，并归一化到 100%</w:t>
      </w:r>
    </w:p>
    <w:p w14:paraId="13EA3E78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锚点选</w:t>
      </w:r>
      <w:r>
        <w:rPr>
          <w:rFonts w:ascii="微软雅黑" w:hAnsi="微软雅黑"/>
          <w:color w:val="212121"/>
          <w:sz w:val="21"/>
        </w:rPr>
        <w:t xml:space="preserve"> 2026Q2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（该期静态权重已知）。</w:t>
      </w:r>
    </w:p>
    <w:p w14:paraId="67E61F7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自校验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：锚点处重建权重与静态权重最大偏离 </w:t>
      </w:r>
      <w:r>
        <w:rPr>
          <w:rFonts w:ascii="微软雅黑" w:hAnsi="微软雅黑"/>
          <w:b/>
          <w:color w:val="212121"/>
          <w:sz w:val="21"/>
        </w:rPr>
        <w:t>3.55×10⁻¹⁵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；逐期加总偏离 </w:t>
      </w:r>
      <w:r>
        <w:rPr>
          <w:rFonts w:ascii="微软雅黑" w:hAnsi="微软雅黑"/>
          <w:b/>
          <w:color w:val="212121"/>
          <w:sz w:val="21"/>
        </w:rPr>
        <w:t>4.26×10⁻¹⁴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0303A064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合理性验证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：重建后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电子 2018Q1 = 7.37%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（静态口径称</w:t>
      </w:r>
      <w:r>
        <w:rPr>
          <w:rFonts w:ascii="微软雅黑" w:hAnsi="微软雅黑"/>
          <w:color w:val="212121"/>
          <w:sz w:val="21"/>
        </w:rPr>
        <w:t xml:space="preserve"> 19.25%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，而沪深</w:t>
      </w:r>
      <w:r>
        <w:rPr>
          <w:rFonts w:ascii="微软雅黑" w:hAnsi="微软雅黑"/>
          <w:color w:val="212121"/>
          <w:sz w:val="21"/>
        </w:rPr>
        <w:t xml:space="preserve">300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电子当年真实权重约</w:t>
      </w:r>
      <w:r>
        <w:rPr>
          <w:rFonts w:ascii="微软雅黑" w:hAnsi="微软雅黑"/>
          <w:color w:val="212121"/>
          <w:sz w:val="21"/>
        </w:rPr>
        <w:t xml:space="preserve"> 7–8%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）；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银行 2018Q1 = 15.30%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（真实约</w:t>
      </w:r>
      <w:r>
        <w:rPr>
          <w:rFonts w:ascii="微软雅黑" w:hAnsi="微软雅黑"/>
          <w:color w:val="212121"/>
          <w:sz w:val="21"/>
        </w:rPr>
        <w:t xml:space="preserve"> 13–15%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</w:p>
    <w:p w14:paraId="0E3FB061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影响量级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：动态</w:t>
      </w:r>
      <w:r>
        <w:rPr>
          <w:rFonts w:ascii="微软雅黑" w:hAnsi="微软雅黑"/>
          <w:color w:val="212121"/>
          <w:sz w:val="21"/>
        </w:rPr>
        <w:t xml:space="preserve"> 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静态超配差的标准差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b/>
          <w:color w:val="212121"/>
          <w:sz w:val="21"/>
        </w:rPr>
        <w:t>2.688pct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，极值区间</w:t>
      </w:r>
      <w:r>
        <w:rPr>
          <w:rFonts w:ascii="微软雅黑" w:hAnsi="微软雅黑"/>
          <w:color w:val="212121"/>
          <w:sz w:val="21"/>
        </w:rPr>
        <w:t xml:space="preserve"> [−8.05, +13.34] pct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107CD784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实证结论：按因子类型分别选用，绝不混用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7"/>
        <w:gridCol w:w="3217"/>
        <w:gridCol w:w="3218"/>
      </w:tblGrid>
      <w:tr w14:paraId="3E2C9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A4AF7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因子类型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1F204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更优基准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1D040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证据</w:t>
            </w:r>
          </w:p>
        </w:tc>
      </w:tr>
      <w:tr w14:paraId="56D28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EBDCA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标准化类（ F2 、 F3 ）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88B98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动态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EE0C7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IC_IR 0.2765 → 0.4472 （ F2 ）； 0.2478 → 0.4925 （ F3 ）</w:t>
            </w:r>
          </w:p>
        </w:tc>
      </w:tr>
      <w:tr w14:paraId="01113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21F24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水平类（ F1 、 F12 、 F15 ）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467D9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静态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575A9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见  research_report  的  R2D  对照表</w:t>
            </w:r>
          </w:p>
        </w:tc>
      </w:tr>
    </w:tbl>
    <w:p w14:paraId="3B263217">
      <w:pPr>
        <w:pBdr>
          <w:left w:val="single" w:color="E8710A" w:sz="28" w:space="0"/>
        </w:pBdr>
        <w:shd w:val="clear" w:color="auto" w:fill="FFF8EC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⚠️ 局限声明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：漂移法未计半年度成分调整、自由流通市值加权下的股本变动、新股纳入。它是对真实历史权重的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近似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，不是精确复现。</w:t>
      </w:r>
    </w:p>
    <w:p w14:paraId="1C6EB28C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2.17 正交化残差因子（R_F1 / R_F2 / R_F3 / R_F4b / R_F11）</w:t>
      </w:r>
    </w:p>
    <w:p w14:paraId="1C0931C4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原理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：检验基金持仓数据是否含有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独立于价格类风格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的增量信息。</w:t>
      </w:r>
    </w:p>
    <w:p w14:paraId="19AD4703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公式（逐期横截面 OLS）</w:t>
      </w:r>
    </w:p>
    <w:p w14:paraId="58746602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第 t 期：F(i,t) = α + β₁·r(i,t) + β₂·r₄Q(i,t) + β₃·σ₄Q(i,t) + ε(i,t)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残差因子 R(i,t) = ε(i,t)</w:t>
      </w:r>
    </w:p>
    <w:p w14:paraId="19F5C8C4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控制变量（均为第</w:t>
      </w:r>
      <w:r>
        <w:rPr>
          <w:rFonts w:ascii="微软雅黑" w:hAnsi="微软雅黑"/>
          <w:color w:val="212121"/>
          <w:sz w:val="21"/>
        </w:rPr>
        <w:t xml:space="preserve"> 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可观测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，无未来信息）：</w:t>
      </w:r>
    </w:p>
    <w:p w14:paraId="5462457E">
      <w:pPr>
        <w:pStyle w:val="16"/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当期行业收益 </w:t>
      </w:r>
      <w:r>
        <w:rPr>
          <w:rFonts w:ascii="Consolas" w:hAnsi="Consolas"/>
          <w:color w:val="1A237E"/>
          <w:sz w:val="19"/>
        </w:rPr>
        <w:t>r(i,t)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</w:t>
      </w:r>
    </w:p>
    <w:p w14:paraId="6F6090E8">
      <w:pPr>
        <w:pStyle w:val="16"/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过去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季累计收益；</w:t>
      </w:r>
    </w:p>
    <w:p w14:paraId="04C54D77">
      <w:pPr>
        <w:pStyle w:val="16"/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过去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季收益波动率。</w:t>
      </w:r>
    </w:p>
    <w:p w14:paraId="03E8F02C">
      <w:pPr>
        <w:pBdr>
          <w:left w:val="single" w:color="E8710A" w:sz="28" w:space="0"/>
        </w:pBdr>
        <w:shd w:val="clear" w:color="auto" w:fill="FFF8EC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⚠️ 一个必须记住的实现陷阱</w:t>
      </w:r>
    </w:p>
    <w:p w14:paraId="33222917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若控制变量列表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为空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（例如在</w:t>
      </w:r>
      <w:r>
        <w:rPr>
          <w:rFonts w:ascii="微软雅黑" w:hAnsi="微软雅黑"/>
          <w:color w:val="212121"/>
          <w:sz w:val="21"/>
        </w:rPr>
        <w:t xml:space="preserve"> CTRL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列定义之前就构建了控制变量列表），回归会退化为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仅减去逐期截面均值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。而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Spearman 相关系数对逐期常数平移不变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，因此残差因子的</w:t>
      </w:r>
      <w:r>
        <w:rPr>
          <w:rFonts w:ascii="微软雅黑" w:hAnsi="微软雅黑"/>
          <w:color w:val="212121"/>
          <w:sz w:val="21"/>
        </w:rPr>
        <w:t xml:space="preserve"> IC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会与原始因子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完全相同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这个</w:t>
      </w:r>
      <w:r>
        <w:rPr>
          <w:rFonts w:ascii="微软雅黑" w:hAnsi="微软雅黑"/>
          <w:color w:val="212121"/>
          <w:sz w:val="21"/>
        </w:rPr>
        <w:t xml:space="preserve"> Bug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会完全静默地通过，看起来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残差因子仍有</w:t>
      </w:r>
      <w:r>
        <w:rPr>
          <w:rFonts w:ascii="微软雅黑" w:hAnsi="微软雅黑"/>
          <w:color w:val="212121"/>
          <w:sz w:val="21"/>
        </w:rPr>
        <w:t xml:space="preserve"> IC"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3D7245D0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本模型因此加入强制断言：</w:t>
      </w:r>
    </w:p>
    <w:p w14:paraId="77A5EC9D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assert len(_ctrl) == len(_ctrl_names), "正交化控制变量缺失"</w:t>
      </w:r>
    </w:p>
    <w:p w14:paraId="5ADCFF0A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修复后</w:t>
      </w:r>
      <w:r>
        <w:rPr>
          <w:rFonts w:ascii="微软雅黑" w:hAnsi="微软雅黑"/>
          <w:color w:val="212121"/>
          <w:sz w:val="21"/>
        </w:rPr>
        <w:t xml:space="preserve"> F2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R_F2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的平均绝对差为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b/>
          <w:color w:val="212121"/>
          <w:sz w:val="21"/>
        </w:rPr>
        <w:t>0.6744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（确实做了正交化）。</w:t>
      </w:r>
    </w:p>
    <w:p w14:paraId="498800B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二层正交化的关键结论（推翻了第 1 轮的判断）</w:t>
      </w:r>
    </w:p>
    <w:p w14:paraId="3F05F3DD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只做一层（剔价格风格）会得出错误结论。加上第二层（再剔同族持仓因子</w:t>
      </w:r>
      <w:r>
        <w:rPr>
          <w:rFonts w:ascii="微软雅黑" w:hAnsi="微软雅黑"/>
          <w:color w:val="212121"/>
          <w:sz w:val="21"/>
        </w:rPr>
        <w:t xml:space="preserve"> F1d/F12/F13/F15d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）后：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3"/>
        <w:gridCol w:w="2413"/>
        <w:gridCol w:w="2413"/>
        <w:gridCol w:w="2413"/>
      </w:tblGrid>
      <w:tr w14:paraId="7B66B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E9665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因子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88403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一层残差  IC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4C51B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二层残差 IC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2433A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保留比例</w:t>
            </w:r>
          </w:p>
        </w:tc>
      </w:tr>
      <w:tr w14:paraId="5E6F7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9FB81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R_F2_ 超配 Z_ 残差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AEF14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+0.0894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EF9B6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−0.0037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7AF4F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4.13%</w:t>
            </w:r>
          </w:p>
        </w:tc>
      </w:tr>
      <w:tr w14:paraId="06CD8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0F580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R_F3_ 超配分位 _ 残差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ABE8A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+0.0699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6AFE4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−0.0110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C53FF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15.69%</w:t>
            </w:r>
          </w:p>
        </w:tc>
      </w:tr>
      <w:tr w14:paraId="41271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E5B55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F15_拥挤背离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22179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−0.1215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8EBB6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−0.0665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3AD8E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54.72%</w:t>
            </w:r>
          </w:p>
        </w:tc>
      </w:tr>
    </w:tbl>
    <w:p w14:paraId="7A9A672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R_F2 与 R_F3 的"增量信息"全部来自同族，不是独立维度。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因此它们的一等因子地位应被撤销（当前裁决已降为</w:t>
      </w:r>
      <w:r>
        <w:rPr>
          <w:rFonts w:ascii="微软雅黑" w:hAnsi="微软雅黑"/>
          <w:color w:val="212121"/>
          <w:sz w:val="21"/>
        </w:rPr>
        <w:t xml:space="preserve"> B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级）。</w:t>
      </w:r>
    </w:p>
    <w:p w14:paraId="6C710CE0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2.18 FCI 因子拥挤指数</w:t>
      </w:r>
    </w:p>
    <w:p w14:paraId="6E64A0FE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原理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：拥挤度因子自己也会拥挤。当某个因子的多头或空头过于集中时，它自身会发生回撤。</w:t>
      </w:r>
    </w:p>
    <w:p w14:paraId="428D276D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公式</w:t>
      </w:r>
    </w:p>
    <w:p w14:paraId="5E2A5CD1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FCI = ( z_空头集中度 + z_ETF资金流 + z_因子相关性 ) ÷ 3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19207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BF12C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分量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42681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定义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C7E3A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含义</w:t>
            </w:r>
          </w:p>
        </w:tc>
        <w:tc>
          <w:tcPr>
            <w:tcW w:w="1728" w:type="dxa"/>
          </w:tcPr>
          <w:p w14:paraId="1657359F"/>
        </w:tc>
        <w:tc>
          <w:tcPr>
            <w:tcW w:w="1728" w:type="dxa"/>
          </w:tcPr>
          <w:p w14:paraId="1A7A042B"/>
        </w:tc>
      </w:tr>
      <w:tr w14:paraId="0341F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278CE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z_ 空头集中度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D5CF0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每期取综合拥挤度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最低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的  1/3  行业（ " 空头腿 " ），计算其配置比例的  HHI ，再做时序扩窗  z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5F1F1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空头腿越集中  → " 低拥挤 " 这一侧越拥挤  →  因子越易被反向踩踏</w:t>
            </w:r>
          </w:p>
        </w:tc>
        <w:tc>
          <w:tcPr>
            <w:tcW w:w="1728" w:type="dxa"/>
          </w:tcPr>
          <w:p w14:paraId="3297E6F4"/>
        </w:tc>
        <w:tc>
          <w:tcPr>
            <w:tcW w:w="1728" w:type="dxa"/>
          </w:tcPr>
          <w:p w14:paraId="1C6B1716"/>
        </w:tc>
      </w:tr>
      <w:tr w14:paraId="580FA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5CDC3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z_ETF 资金流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5D5C8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全市场  ETF  净申赎强度（ Σ 净申赎  ÷ Σ 期初 AUM ）的时序扩窗  z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E9B84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资金越集中涌入  →  因子越拥挤</w:t>
            </w:r>
          </w:p>
        </w:tc>
        <w:tc>
          <w:tcPr>
            <w:tcW w:w="1728" w:type="dxa"/>
          </w:tcPr>
          <w:p w14:paraId="7C533004"/>
        </w:tc>
        <w:tc>
          <w:tcPr>
            <w:tcW w:w="1728" w:type="dxa"/>
          </w:tcPr>
          <w:p w14:paraId="0DEDF78A"/>
        </w:tc>
      </w:tr>
      <w:tr w14:paraId="63E76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1F8B1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z_ 因子相关性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B2F70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F11  与其余候选因子的平均  \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D8B5D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Spearman\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89403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秩相关，再做时序扩窗  z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46C7B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与既有因子越冗余  →  因子本身越拥挤</w:t>
            </w:r>
          </w:p>
        </w:tc>
      </w:tr>
    </w:tbl>
    <w:p w14:paraId="463022BF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数据来源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F11 +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配置比例</w:t>
      </w:r>
      <w:r>
        <w:rPr>
          <w:rFonts w:ascii="微软雅黑" w:hAnsi="微软雅黑"/>
          <w:color w:val="212121"/>
          <w:sz w:val="21"/>
        </w:rPr>
        <w:t xml:space="preserve"> + ETF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日度净申赎。</w:t>
      </w:r>
    </w:p>
    <w:p w14:paraId="733F8F15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反映什么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：因子自身的拥挤风险，而非市场的拥挤程度。</w:t>
      </w:r>
    </w:p>
    <w:p w14:paraId="1D1B0A4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经济意义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：因子拥挤是因子失效的前兆。当大量资金使用同一个信号时，该信号的超额收益会被套利掉，甚至反转为亏损。</w:t>
      </w:r>
    </w:p>
    <w:p w14:paraId="57D3ABCD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判定标准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：分位越高越危险；</w:t>
      </w:r>
      <w:r>
        <w:rPr>
          <w:rFonts w:ascii="微软雅黑" w:hAnsi="微软雅黑"/>
          <w:color w:val="212121"/>
          <w:sz w:val="21"/>
        </w:rPr>
        <w:t xml:space="preserve">FCI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分位</w:t>
      </w:r>
      <w:r>
        <w:rPr>
          <w:rFonts w:ascii="微软雅黑" w:hAnsi="微软雅黑"/>
          <w:color w:val="212121"/>
          <w:sz w:val="21"/>
        </w:rPr>
        <w:t xml:space="preserve"> &gt; 90%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应触发因子降权审查。</w:t>
      </w:r>
    </w:p>
    <w:p w14:paraId="491FA2A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当前取值（2026Q2）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FCI = </w:t>
      </w:r>
      <w:r>
        <w:rPr>
          <w:rFonts w:ascii="微软雅黑" w:hAnsi="微软雅黑"/>
          <w:b/>
          <w:color w:val="212121"/>
          <w:sz w:val="21"/>
        </w:rPr>
        <w:t>−0.243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（扩窗分位</w:t>
      </w:r>
      <w:r>
        <w:rPr>
          <w:rFonts w:ascii="微软雅黑" w:hAnsi="微软雅黑"/>
          <w:color w:val="212121"/>
          <w:sz w:val="21"/>
        </w:rPr>
        <w:t xml:space="preserve"> 44%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）；分项：空头集中度</w:t>
      </w:r>
      <w:r>
        <w:rPr>
          <w:rFonts w:ascii="微软雅黑" w:hAnsi="微软雅黑"/>
          <w:color w:val="212121"/>
          <w:sz w:val="21"/>
        </w:rPr>
        <w:t xml:space="preserve"> HHI = 0.2130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、因子相关性</w:t>
      </w:r>
      <w:r>
        <w:rPr>
          <w:rFonts w:ascii="微软雅黑" w:hAnsi="微软雅黑"/>
          <w:color w:val="212121"/>
          <w:sz w:val="21"/>
        </w:rPr>
        <w:t xml:space="preserve"> = 0.6234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。历史高点为</w:t>
      </w:r>
      <w:r>
        <w:rPr>
          <w:rFonts w:ascii="微软雅黑" w:hAnsi="微软雅黑"/>
          <w:color w:val="212121"/>
          <w:sz w:val="21"/>
        </w:rPr>
        <w:t xml:space="preserve"> 2025Q3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+0.7468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（分位</w:t>
      </w:r>
      <w:r>
        <w:rPr>
          <w:rFonts w:ascii="微软雅黑" w:hAnsi="微软雅黑"/>
          <w:color w:val="212121"/>
          <w:sz w:val="21"/>
        </w:rPr>
        <w:t xml:space="preserve"> 86.4%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</w:p>
    <w:p w14:paraId="32346EC7">
      <w:pPr>
        <w:pBdr>
          <w:left w:val="single" w:color="E8710A" w:sz="28" w:space="0"/>
        </w:pBdr>
        <w:shd w:val="clear" w:color="auto" w:fill="FFF8EC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⚠️ 局限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ETF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净申赎强度仅</w:t>
      </w:r>
      <w:r>
        <w:rPr>
          <w:rFonts w:ascii="微软雅黑" w:hAnsi="微软雅黑"/>
          <w:color w:val="212121"/>
          <w:sz w:val="21"/>
        </w:rPr>
        <w:t xml:space="preserve"> 2026Q3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有数据，故历史期</w:t>
      </w:r>
      <w:r>
        <w:rPr>
          <w:rFonts w:ascii="微软雅黑" w:hAnsi="微软雅黑"/>
          <w:color w:val="212121"/>
          <w:sz w:val="21"/>
        </w:rPr>
        <w:t xml:space="preserve"> FCI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为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双分量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口径（空头集中度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因子相关性，需</w:t>
      </w:r>
      <w:r>
        <w:rPr>
          <w:rFonts w:ascii="微软雅黑" w:hAnsi="微软雅黑"/>
          <w:color w:val="212121"/>
          <w:sz w:val="21"/>
        </w:rPr>
        <w:t xml:space="preserve"> ≥2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个分量才出值）。</w:t>
      </w:r>
    </w:p>
    <w:p w14:paraId="371E64AD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需要监控的历史事实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F2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F3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的空头腿集中度</w:t>
      </w:r>
      <w:r>
        <w:rPr>
          <w:rFonts w:ascii="微软雅黑" w:hAnsi="微软雅黑"/>
          <w:color w:val="212121"/>
          <w:sz w:val="21"/>
        </w:rPr>
        <w:t xml:space="preserve"> HHI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曾达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b/>
          <w:color w:val="212121"/>
          <w:sz w:val="21"/>
        </w:rPr>
        <w:t>0.4597 / 0.4753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2026Q2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为</w:t>
      </w:r>
      <w:r>
        <w:rPr>
          <w:rFonts w:ascii="微软雅黑" w:hAnsi="微软雅黑"/>
          <w:color w:val="212121"/>
          <w:sz w:val="21"/>
        </w:rPr>
        <w:t xml:space="preserve"> 0.2130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，已回落），平均因子相关性</w:t>
      </w:r>
      <w:r>
        <w:rPr>
          <w:rFonts w:ascii="微软雅黑" w:hAnsi="微软雅黑"/>
          <w:color w:val="212121"/>
          <w:sz w:val="21"/>
        </w:rPr>
        <w:t xml:space="preserve"> 0.62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IC_IR 最高的因子，同时也是因子相关性最高的因子</w:t>
      </w:r>
      <w:r>
        <w:rPr>
          <w:rFonts w:ascii="微软雅黑" w:hAnsi="微软雅黑"/>
          <w:color w:val="212121"/>
          <w:sz w:val="21"/>
        </w:rPr>
        <w:t xml:space="preserve"> ——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这是模型自身需要持续监控的风险。</w:t>
      </w:r>
    </w:p>
    <w:p w14:paraId="783F9B2F">
      <w:pPr>
        <w:pStyle w:val="4"/>
        <w:jc w:val="left"/>
      </w:pPr>
      <w:bookmarkStart w:id="3" w:name="section-4"/>
      <w:bookmarkEnd w:id="3"/>
      <w:r>
        <w:rPr>
          <w:rFonts w:hint="eastAsia" w:ascii="微软雅黑" w:hAnsi="微软雅黑" w:eastAsia="微软雅黑" w:cs="微软雅黑"/>
          <w:b/>
          <w:color w:val="1A237E"/>
          <w:sz w:val="30"/>
          <w:lang w:eastAsia="zh-CN"/>
        </w:rPr>
        <w:t>第 3 章 统计方法与判定标准</w:t>
      </w:r>
    </w:p>
    <w:p w14:paraId="32CDD49D">
      <w:pPr>
        <w:spacing w:before="0" w:after="90"/>
        <w:jc w:val="left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本章共</w:t>
      </w:r>
      <w:r>
        <w:rPr>
          <w:rFonts w:ascii="微软雅黑" w:hAnsi="微软雅黑"/>
          <w:color w:val="616161"/>
          <w:sz w:val="18"/>
        </w:rPr>
        <w:t xml:space="preserve"> 13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节：</w:t>
      </w:r>
      <w:r>
        <w:rPr>
          <w:rFonts w:ascii="微软雅黑" w:hAnsi="微软雅黑"/>
          <w:color w:val="616161"/>
          <w:sz w:val="18"/>
        </w:rPr>
        <w:t xml:space="preserve">3.1 RankIC / IC_IR / Newey-West · 3.2 Bootstrap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置信区间（块抽样）</w:t>
      </w:r>
      <w:r>
        <w:rPr>
          <w:rFonts w:ascii="微软雅黑" w:hAnsi="微软雅黑"/>
          <w:color w:val="616161"/>
          <w:sz w:val="18"/>
        </w:rPr>
        <w:t xml:space="preserve"> · 3.3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分层回测</w:t>
      </w:r>
      <w:r>
        <w:rPr>
          <w:rFonts w:ascii="微软雅黑" w:hAnsi="微软雅黑"/>
          <w:color w:val="616161"/>
          <w:sz w:val="18"/>
        </w:rPr>
        <w:t xml:space="preserve"> · 3.4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事件研究</w:t>
      </w:r>
      <w:r>
        <w:rPr>
          <w:rFonts w:ascii="微软雅黑" w:hAnsi="微软雅黑"/>
          <w:color w:val="616161"/>
          <w:sz w:val="18"/>
        </w:rPr>
        <w:t xml:space="preserve"> · 3.5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多重检验校正：主族</w:t>
      </w:r>
      <w:r>
        <w:rPr>
          <w:rFonts w:ascii="微软雅黑" w:hAnsi="微软雅黑"/>
          <w:color w:val="616161"/>
          <w:sz w:val="18"/>
        </w:rPr>
        <w:t xml:space="preserve"> vs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扩展族</w:t>
      </w:r>
      <w:r>
        <w:rPr>
          <w:rFonts w:ascii="微软雅黑" w:hAnsi="微软雅黑"/>
          <w:color w:val="616161"/>
          <w:sz w:val="18"/>
        </w:rPr>
        <w:t xml:space="preserve"> · 3.6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设计期样本外</w:t>
      </w:r>
      <w:r>
        <w:rPr>
          <w:rFonts w:ascii="微软雅黑" w:hAnsi="微软雅黑"/>
          <w:color w:val="616161"/>
          <w:sz w:val="18"/>
        </w:rPr>
        <w:t xml:space="preserve">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与</w:t>
      </w:r>
      <w:r>
        <w:rPr>
          <w:rFonts w:ascii="微软雅黑" w:hAnsi="微软雅黑"/>
          <w:color w:val="616161"/>
          <w:sz w:val="18"/>
        </w:rPr>
        <w:t xml:space="preserve"> Walk-forward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（两个不同的问题）</w:t>
      </w:r>
      <w:r>
        <w:rPr>
          <w:rFonts w:ascii="微软雅黑" w:hAnsi="微软雅黑"/>
          <w:color w:val="616161"/>
          <w:sz w:val="18"/>
        </w:rPr>
        <w:t xml:space="preserve"> · 3.7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交易成本与容量模型</w:t>
      </w:r>
      <w:r>
        <w:rPr>
          <w:rFonts w:ascii="微软雅黑" w:hAnsi="微软雅黑"/>
          <w:color w:val="616161"/>
          <w:sz w:val="18"/>
        </w:rPr>
        <w:t xml:space="preserve"> · 3.8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因子动量检验</w:t>
      </w:r>
      <w:r>
        <w:rPr>
          <w:rFonts w:ascii="微软雅黑" w:hAnsi="微软雅黑"/>
          <w:color w:val="616161"/>
          <w:sz w:val="18"/>
        </w:rPr>
        <w:t xml:space="preserve"> · 3.9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压力测试</w:t>
      </w:r>
      <w:r>
        <w:rPr>
          <w:rFonts w:ascii="微软雅黑" w:hAnsi="微软雅黑"/>
          <w:color w:val="616161"/>
          <w:sz w:val="18"/>
        </w:rPr>
        <w:t xml:space="preserve"> · 3.10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超额收益的行业归因</w:t>
      </w:r>
      <w:r>
        <w:rPr>
          <w:rFonts w:ascii="微软雅黑" w:hAnsi="微软雅黑"/>
          <w:color w:val="616161"/>
          <w:sz w:val="18"/>
        </w:rPr>
        <w:t xml:space="preserve"> · 3.11 cap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约束</w:t>
      </w:r>
      <w:r>
        <w:rPr>
          <w:rFonts w:ascii="微软雅黑" w:hAnsi="微软雅黑"/>
          <w:color w:val="616161"/>
          <w:sz w:val="18"/>
        </w:rPr>
        <w:t xml:space="preserve"> vs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因子倾斜的分离</w:t>
      </w:r>
      <w:r>
        <w:rPr>
          <w:rFonts w:ascii="微软雅黑" w:hAnsi="微软雅黑"/>
          <w:color w:val="616161"/>
          <w:sz w:val="18"/>
        </w:rPr>
        <w:t xml:space="preserve"> · 3.12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策略起点</w:t>
      </w:r>
      <w:r>
        <w:rPr>
          <w:rFonts w:ascii="微软雅黑" w:hAnsi="微软雅黑"/>
          <w:color w:val="616161"/>
          <w:sz w:val="18"/>
        </w:rPr>
        <w:t xml:space="preserve"> ×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超额基准（四宫格）</w:t>
      </w:r>
      <w:r>
        <w:rPr>
          <w:rFonts w:ascii="微软雅黑" w:hAnsi="微软雅黑"/>
          <w:color w:val="616161"/>
          <w:sz w:val="18"/>
        </w:rPr>
        <w:t xml:space="preserve"> · 3.13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因子分级裁决（</w:t>
      </w:r>
      <w:r>
        <w:rPr>
          <w:rFonts w:ascii="微软雅黑" w:hAnsi="微软雅黑"/>
          <w:color w:val="616161"/>
          <w:sz w:val="18"/>
        </w:rPr>
        <w:t>J1–J4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）。</w:t>
      </w:r>
    </w:p>
    <w:p w14:paraId="4A5B5129">
      <w:pPr>
        <w:pStyle w:val="5"/>
        <w:jc w:val="left"/>
      </w:pPr>
      <w:r>
        <w:rPr>
          <w:rFonts w:ascii="微软雅黑" w:hAnsi="微软雅黑"/>
          <w:b/>
          <w:color w:val="1565C0"/>
          <w:sz w:val="25"/>
        </w:rPr>
        <w:t>3.1 RankIC / IC_IR / Newey-West</w:t>
      </w:r>
    </w:p>
    <w:p w14:paraId="7DABD533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定义</w:t>
      </w:r>
    </w:p>
    <w:p w14:paraId="156255CE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RankIC(t) = Spearman( 因子横截面暴露(t) , 行业超额收益(t+1) )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IC均值    = mean( RankIC )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IC_IR     = IC均值 ÷ IC标准差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IC胜率    = P(RankIC &gt; 0)</w:t>
      </w:r>
    </w:p>
    <w:p w14:paraId="74AB40E7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为什么用 RankIC 而不是 Pearson IC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：因子分布高度偏态（如超配比例少数行业极高），</w:t>
      </w:r>
      <w:r>
        <w:rPr>
          <w:rFonts w:ascii="微软雅黑" w:hAnsi="微软雅黑"/>
          <w:color w:val="212121"/>
          <w:sz w:val="21"/>
        </w:rPr>
        <w:t xml:space="preserve">Spearman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只依赖秩，对极端值稳健；且因子与收益的关系未必线性。</w:t>
      </w:r>
    </w:p>
    <w:p w14:paraId="3ED019B5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为什么用 t+1 期收益、且必须间隔一期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：第</w:t>
      </w:r>
      <w:r>
        <w:rPr>
          <w:rFonts w:ascii="微软雅黑" w:hAnsi="微软雅黑"/>
          <w:color w:val="212121"/>
          <w:sz w:val="21"/>
        </w:rPr>
        <w:t xml:space="preserve"> 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期因子只能预测</w:t>
      </w:r>
      <w:r>
        <w:rPr>
          <w:rFonts w:ascii="微软雅黑" w:hAnsi="微软雅黑"/>
          <w:color w:val="212121"/>
          <w:sz w:val="21"/>
        </w:rPr>
        <w:t xml:space="preserve"> T+1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期收益，绝不能同期对齐，否则引入未来函数。本模型同时输出</w:t>
      </w:r>
      <w:r>
        <w:rPr>
          <w:rFonts w:ascii="微软雅黑" w:hAnsi="微软雅黑"/>
          <w:color w:val="212121"/>
          <w:sz w:val="21"/>
        </w:rPr>
        <w:t xml:space="preserve"> t+1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t+2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两个</w:t>
      </w:r>
      <w:r>
        <w:rPr>
          <w:rFonts w:ascii="微软雅黑" w:hAnsi="微软雅黑"/>
          <w:color w:val="212121"/>
          <w:sz w:val="21"/>
        </w:rPr>
        <w:t xml:space="preserve"> lag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，并要求两者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方向一致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才认为稳健。</w:t>
      </w:r>
    </w:p>
    <w:p w14:paraId="22A57B1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为什么用 Newey-West 调整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IC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序列存在自相关（因子是持久变量），普通</w:t>
      </w:r>
      <w:r>
        <w:rPr>
          <w:rFonts w:ascii="微软雅黑" w:hAnsi="微软雅黑"/>
          <w:color w:val="212121"/>
          <w:sz w:val="21"/>
        </w:rPr>
        <w:t xml:space="preserve"> 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检验会低估标准误。</w:t>
      </w:r>
      <w:r>
        <w:rPr>
          <w:rFonts w:ascii="微软雅黑" w:hAnsi="微软雅黑"/>
          <w:color w:val="212121"/>
          <w:sz w:val="21"/>
        </w:rPr>
        <w:t xml:space="preserve">NW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用滞后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期做</w:t>
      </w:r>
      <w:r>
        <w:rPr>
          <w:rFonts w:ascii="微软雅黑" w:hAnsi="微软雅黑"/>
          <w:color w:val="212121"/>
          <w:sz w:val="21"/>
        </w:rPr>
        <w:t xml:space="preserve"> HAC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调整，并额外检验滞后</w:t>
      </w:r>
      <w:r>
        <w:rPr>
          <w:rFonts w:ascii="微软雅黑" w:hAnsi="微软雅黑"/>
          <w:color w:val="212121"/>
          <w:sz w:val="21"/>
        </w:rPr>
        <w:t xml:space="preserve"> 0/1/2/4/8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阶的敏感性。</w:t>
      </w:r>
    </w:p>
    <w:p w14:paraId="1DA839BD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评价标准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\|IC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均值</w:t>
      </w:r>
      <w:r>
        <w:rPr>
          <w:rFonts w:ascii="微软雅黑" w:hAnsi="微软雅黑"/>
          <w:color w:val="212121"/>
          <w:sz w:val="21"/>
        </w:rPr>
        <w:t xml:space="preserve">\| &gt; 0.03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有效；</w:t>
      </w:r>
      <w:r>
        <w:rPr>
          <w:rFonts w:ascii="微软雅黑" w:hAnsi="微软雅黑"/>
          <w:color w:val="212121"/>
          <w:sz w:val="21"/>
        </w:rPr>
        <w:t xml:space="preserve">&gt; 0.05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优秀。</w:t>
      </w:r>
      <w:r>
        <w:rPr>
          <w:rFonts w:ascii="微软雅黑" w:hAnsi="微软雅黑"/>
          <w:color w:val="212121"/>
          <w:sz w:val="21"/>
        </w:rPr>
        <w:t xml:space="preserve">IC_IR &gt; 0.5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优秀；</w:t>
      </w:r>
      <w:r>
        <w:rPr>
          <w:rFonts w:ascii="微软雅黑" w:hAnsi="微软雅黑"/>
          <w:color w:val="212121"/>
          <w:sz w:val="21"/>
        </w:rPr>
        <w:t xml:space="preserve">0.3–0.5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可用；</w:t>
      </w:r>
      <w:r>
        <w:rPr>
          <w:rFonts w:ascii="微软雅黑" w:hAnsi="微软雅黑"/>
          <w:color w:val="212121"/>
          <w:sz w:val="21"/>
        </w:rPr>
        <w:t xml:space="preserve">&lt; 0.3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无效。</w:t>
      </w:r>
      <w:r>
        <w:rPr>
          <w:rFonts w:ascii="微软雅黑" w:hAnsi="微软雅黑"/>
          <w:color w:val="212121"/>
          <w:sz w:val="21"/>
        </w:rPr>
        <w:t xml:space="preserve">IC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胜率</w:t>
      </w:r>
      <w:r>
        <w:rPr>
          <w:rFonts w:ascii="微软雅黑" w:hAnsi="微软雅黑"/>
          <w:color w:val="212121"/>
          <w:sz w:val="21"/>
        </w:rPr>
        <w:t xml:space="preserve"> ≥ 55%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较好，</w:t>
      </w:r>
      <w:r>
        <w:rPr>
          <w:rFonts w:ascii="微软雅黑" w:hAnsi="微软雅黑"/>
          <w:color w:val="212121"/>
          <w:sz w:val="21"/>
        </w:rPr>
        <w:t xml:space="preserve">≥ 60%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优秀。</w:t>
      </w:r>
    </w:p>
    <w:p w14:paraId="3F59FD28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3.2 Bootstrap 置信区间（块抽样）</w:t>
      </w:r>
    </w:p>
    <w:p w14:paraId="7F2A652F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参数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：块大小</w:t>
      </w:r>
      <w:r>
        <w:rPr>
          <w:rFonts w:ascii="微软雅黑" w:hAnsi="微软雅黑"/>
          <w:color w:val="212121"/>
          <w:sz w:val="21"/>
        </w:rPr>
        <w:t xml:space="preserve"> = 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季度（</w:t>
      </w:r>
      <w:r>
        <w:rPr>
          <w:rFonts w:ascii="微软雅黑" w:hAnsi="微软雅黑"/>
          <w:color w:val="212121"/>
          <w:sz w:val="21"/>
        </w:rPr>
        <w:t xml:space="preserve">≈1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年）、重抽样</w:t>
      </w:r>
      <w:r>
        <w:rPr>
          <w:rFonts w:ascii="微软雅黑" w:hAnsi="微软雅黑"/>
          <w:color w:val="212121"/>
          <w:sz w:val="21"/>
        </w:rPr>
        <w:t xml:space="preserve"> 1,000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次、随机种子固定为</w:t>
      </w:r>
      <w:r>
        <w:rPr>
          <w:rFonts w:ascii="微软雅黑" w:hAnsi="微软雅黑"/>
          <w:color w:val="212121"/>
          <w:sz w:val="21"/>
        </w:rPr>
        <w:t xml:space="preserve"> 20260930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（结果可复现）。</w:t>
      </w:r>
    </w:p>
    <w:p w14:paraId="02C98C37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为什么用块抽样而不是逐点抽样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RankIC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序列存在自相关，逐点重抽会破坏时序结构、低估标准误。块抽样保留块内自相关，更贴近真实抽样分布。</w:t>
      </w:r>
    </w:p>
    <w:p w14:paraId="32700ECD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结果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IC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均值</w:t>
      </w:r>
      <w:r>
        <w:rPr>
          <w:rFonts w:ascii="微软雅黑" w:hAnsi="微软雅黑"/>
          <w:color w:val="212121"/>
          <w:sz w:val="21"/>
        </w:rPr>
        <w:t xml:space="preserve"> 95%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置信区间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不包含 0 的因子数 = 5 / 23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。全候选池口径下无一通过</w:t>
      </w:r>
      <w:r>
        <w:rPr>
          <w:rFonts w:ascii="微软雅黑" w:hAnsi="微软雅黑"/>
          <w:color w:val="212121"/>
          <w:sz w:val="21"/>
        </w:rPr>
        <w:t xml:space="preserve"> FDR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校正。</w:t>
      </w:r>
    </w:p>
    <w:p w14:paraId="6BBAB7F7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3.3 分层回测</w:t>
      </w:r>
    </w:p>
    <w:p w14:paraId="201DFF7B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方法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：按因子值分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层，每层等权持有下一期，观察各层累积收益是否单调（</w:t>
      </w:r>
      <w:r>
        <w:rPr>
          <w:rFonts w:ascii="微软雅黑" w:hAnsi="微软雅黑"/>
          <w:color w:val="212121"/>
          <w:sz w:val="21"/>
        </w:rPr>
        <w:t xml:space="preserve">Spearman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秩相关</w:t>
      </w:r>
      <w:r>
        <w:rPr>
          <w:rFonts w:ascii="微软雅黑" w:hAnsi="微软雅黑"/>
          <w:color w:val="212121"/>
          <w:sz w:val="21"/>
        </w:rPr>
        <w:t xml:space="preserve"> &gt; 0.8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为佳）；多空组合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高因子组</w:t>
      </w:r>
      <w:r>
        <w:rPr>
          <w:rFonts w:ascii="微软雅黑" w:hAnsi="微软雅黑"/>
          <w:color w:val="212121"/>
          <w:sz w:val="21"/>
        </w:rPr>
        <w:t xml:space="preserve"> 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低因子组。</w:t>
      </w:r>
    </w:p>
    <w:p w14:paraId="052A9AEE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关键处理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：多空序列的索引短于全样本季度（前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期无扩窗分位），因此样本内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样本外切分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必须按季度标签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做 </w:t>
      </w:r>
      <w:r>
        <w:rPr>
          <w:rFonts w:ascii="Consolas" w:hAnsi="Consolas"/>
          <w:color w:val="1A237E"/>
          <w:sz w:val="19"/>
        </w:rPr>
        <w:t>reindex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，不能用位置切片（否则样本外为</w:t>
      </w:r>
      <w:r>
        <w:rPr>
          <w:rFonts w:ascii="微软雅黑" w:hAnsi="微软雅黑"/>
          <w:color w:val="212121"/>
          <w:sz w:val="21"/>
        </w:rPr>
        <w:t xml:space="preserve"> NaN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</w:p>
    <w:p w14:paraId="1D32AA43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3.4 事件研究</w:t>
      </w:r>
    </w:p>
    <w:p w14:paraId="1E20E71C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触发事件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：行业超配比例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首次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突破扩窗</w:t>
      </w:r>
      <w:r>
        <w:rPr>
          <w:rFonts w:ascii="微软雅黑" w:hAnsi="微软雅黑"/>
          <w:color w:val="212121"/>
          <w:sz w:val="21"/>
        </w:rPr>
        <w:t xml:space="preserve"> P90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12EF02BC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计算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：触发后</w:t>
      </w:r>
      <w:r>
        <w:rPr>
          <w:rFonts w:ascii="微软雅黑" w:hAnsi="微软雅黑"/>
          <w:color w:val="212121"/>
          <w:sz w:val="21"/>
        </w:rPr>
        <w:t xml:space="preserve"> 3 / 6 / 12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个月行业相对沪深</w:t>
      </w:r>
      <w:r>
        <w:rPr>
          <w:rFonts w:ascii="微软雅黑" w:hAnsi="微软雅黑"/>
          <w:color w:val="212121"/>
          <w:sz w:val="21"/>
        </w:rPr>
        <w:t xml:space="preserve">300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的超额收益；统计中位数、均值、负收益概率、</w:t>
      </w:r>
      <w:r>
        <w:rPr>
          <w:rFonts w:ascii="微软雅黑" w:hAnsi="微软雅黑"/>
          <w:color w:val="212121"/>
          <w:sz w:val="21"/>
        </w:rPr>
        <w:t xml:space="preserve">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检验。</w:t>
      </w:r>
    </w:p>
    <w:p w14:paraId="3627640B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判定标准（事前写死）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：若触发后</w:t>
      </w:r>
      <w:r>
        <w:rPr>
          <w:rFonts w:ascii="微软雅黑" w:hAnsi="微软雅黑"/>
          <w:color w:val="212121"/>
          <w:sz w:val="21"/>
        </w:rPr>
        <w:t xml:space="preserve"> 12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个月超额收益中位数</w:t>
      </w:r>
      <w:r>
        <w:rPr>
          <w:rFonts w:ascii="微软雅黑" w:hAnsi="微软雅黑"/>
          <w:color w:val="212121"/>
          <w:sz w:val="21"/>
        </w:rPr>
        <w:t xml:space="preserve"> &lt; 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负收益概率</w:t>
      </w:r>
      <w:r>
        <w:rPr>
          <w:rFonts w:ascii="微软雅黑" w:hAnsi="微软雅黑"/>
          <w:color w:val="212121"/>
          <w:sz w:val="21"/>
        </w:rPr>
        <w:t xml:space="preserve"> &gt; 55%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且</w:t>
      </w:r>
      <w:r>
        <w:rPr>
          <w:rFonts w:ascii="微软雅黑" w:hAnsi="微软雅黑"/>
          <w:color w:val="212121"/>
          <w:sz w:val="21"/>
        </w:rPr>
        <w:t xml:space="preserve"> 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检验</w:t>
      </w:r>
      <w:r>
        <w:rPr>
          <w:rFonts w:ascii="微软雅黑" w:hAnsi="微软雅黑"/>
          <w:color w:val="212121"/>
          <w:sz w:val="21"/>
        </w:rPr>
        <w:t xml:space="preserve"> p &lt; 0.1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，则信号有效。</w:t>
      </w:r>
    </w:p>
    <w:p w14:paraId="296308F9">
      <w:pPr>
        <w:pBdr>
          <w:left w:val="single" w:color="E8710A" w:sz="28" w:space="0"/>
        </w:pBdr>
        <w:shd w:val="clear" w:color="auto" w:fill="FFF8EC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⚠️ 结果与预期相反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55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次触发，</w:t>
      </w:r>
      <w:r>
        <w:rPr>
          <w:rFonts w:ascii="微软雅黑" w:hAnsi="微软雅黑"/>
          <w:color w:val="212121"/>
          <w:sz w:val="21"/>
        </w:rPr>
        <w:t xml:space="preserve">12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个月超额收益中位数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b/>
          <w:color w:val="212121"/>
          <w:sz w:val="21"/>
        </w:rPr>
        <w:t>+3.36%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、负收益概率 </w:t>
      </w:r>
      <w:r>
        <w:rPr>
          <w:rFonts w:ascii="微软雅黑" w:hAnsi="微软雅黑"/>
          <w:b/>
          <w:color w:val="212121"/>
          <w:sz w:val="21"/>
        </w:rPr>
        <w:t>44.0%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p = 0.242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。三项标准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全部不满足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，方向甚至与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回落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相反。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本模型如实报告：未发现支持"突破 P90 后回落"的证据。</w:t>
      </w:r>
    </w:p>
    <w:p w14:paraId="6DC787E7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"88% 魔咒"的替代检验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：原口径无法验证（工作簿的仓位列为无效列）。替代口径一（前十占净值比破扩窗</w:t>
      </w:r>
      <w:r>
        <w:rPr>
          <w:rFonts w:ascii="微软雅黑" w:hAnsi="微软雅黑"/>
          <w:color w:val="212121"/>
          <w:sz w:val="21"/>
        </w:rPr>
        <w:t xml:space="preserve"> P90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）仅触发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次；替代口径二（集中度动量转负，</w:t>
      </w:r>
      <w:r>
        <w:rPr>
          <w:rFonts w:ascii="微软雅黑" w:hAnsi="微软雅黑"/>
          <w:color w:val="212121"/>
          <w:sz w:val="21"/>
        </w:rPr>
        <w:t xml:space="preserve">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次）方向同样与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回调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相反。</w:t>
      </w:r>
    </w:p>
    <w:p w14:paraId="638BBC1F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3.5 多重检验校正：主族 vs 扩展族</w:t>
      </w:r>
    </w:p>
    <w:p w14:paraId="2B89308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统计上正确的做法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FDR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m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应为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预先声明的假设族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大小。若把一切为探索而计算的变体都塞进同一个族，</w:t>
      </w:r>
      <w:r>
        <w:rPr>
          <w:rFonts w:ascii="微软雅黑" w:hAnsi="微软雅黑"/>
          <w:color w:val="212121"/>
          <w:sz w:val="21"/>
        </w:rPr>
        <w:t xml:space="preserve">m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会被稀释、检验功效大幅下降。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7"/>
        <w:gridCol w:w="3217"/>
        <w:gridCol w:w="3218"/>
      </w:tblGrid>
      <w:tr w14:paraId="21FE8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524B7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族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A1E70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内容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54687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处理</w:t>
            </w:r>
          </w:p>
        </w:tc>
      </w:tr>
      <w:tr w14:paraId="1E409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AB4E9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主族（预注册）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997E1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模型正式提出的  8  个因子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542DE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进入  BH-FDR  校正</w:t>
            </w:r>
          </w:p>
        </w:tc>
      </w:tr>
      <w:tr w14:paraId="4504D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FB51F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扩展族（探索）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E70D1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口径对照  /  残差  /  动态变体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0DB77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仅登记  p  值，不参与主族校正</w:t>
            </w:r>
          </w:p>
        </w:tc>
      </w:tr>
    </w:tbl>
    <w:p w14:paraId="650E7D6C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主族结果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m = 8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 xml:space="preserve">BH-FDR(α=0.10)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拒绝 0 个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，最小</w:t>
      </w:r>
      <w:r>
        <w:rPr>
          <w:rFonts w:ascii="微软雅黑" w:hAnsi="微软雅黑"/>
          <w:color w:val="212121"/>
          <w:sz w:val="21"/>
        </w:rPr>
        <w:t xml:space="preserve"> q = </w:t>
      </w:r>
      <w:r>
        <w:rPr>
          <w:rFonts w:ascii="微软雅黑" w:hAnsi="微软雅黑"/>
          <w:b/>
          <w:color w:val="212121"/>
          <w:sz w:val="21"/>
        </w:rPr>
        <w:t>0.1452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</w:t>
      </w:r>
      <w:r>
        <w:rPr>
          <w:rFonts w:ascii="微软雅黑" w:hAnsi="微软雅黑"/>
          <w:color w:val="212121"/>
          <w:sz w:val="21"/>
        </w:rPr>
        <w:t xml:space="preserve">Bonferroni(0.05)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阈值</w:t>
      </w:r>
      <w:r>
        <w:rPr>
          <w:rFonts w:ascii="微软雅黑" w:hAnsi="微软雅黑"/>
          <w:color w:val="212121"/>
          <w:sz w:val="21"/>
        </w:rPr>
        <w:t xml:space="preserve"> = 0.00625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，拒绝</w:t>
      </w:r>
      <w:r>
        <w:rPr>
          <w:rFonts w:ascii="微软雅黑" w:hAnsi="微软雅黑"/>
          <w:color w:val="212121"/>
          <w:sz w:val="21"/>
        </w:rPr>
        <w:t xml:space="preserve"> 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个。</w:t>
      </w:r>
    </w:p>
    <w:p w14:paraId="29B93A3E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必须如实报告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：这意味着在预注册的主族内，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没有任何因子通过多重检验校正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6690F1E0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3.6 设计期样本外 与 Walk-forward（两个不同的问题）</w:t>
      </w:r>
    </w:p>
    <w:p w14:paraId="035B666C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设计期样本外（R2-A）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：只允许用</w:t>
      </w:r>
      <w:r>
        <w:rPr>
          <w:rFonts w:ascii="微软雅黑" w:hAnsi="微软雅黑"/>
          <w:color w:val="212121"/>
          <w:sz w:val="21"/>
        </w:rPr>
        <w:t xml:space="preserve"> ≤2023Q4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的数据决定因子形式，留出期（</w:t>
      </w:r>
      <w:r>
        <w:rPr>
          <w:rFonts w:ascii="微软雅黑" w:hAnsi="微软雅黑"/>
          <w:color w:val="212121"/>
          <w:sz w:val="21"/>
        </w:rPr>
        <w:t xml:space="preserve">2024Q1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起）在检验前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完全不可见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。三条件事前写死：</w:t>
      </w:r>
      <w:r>
        <w:rPr>
          <w:rFonts w:ascii="微软雅黑" w:hAnsi="微软雅黑"/>
          <w:color w:val="212121"/>
          <w:sz w:val="21"/>
        </w:rPr>
        <w:t xml:space="preserve">①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两段</w:t>
      </w:r>
      <w:r>
        <w:rPr>
          <w:rFonts w:ascii="微软雅黑" w:hAnsi="微软雅黑"/>
          <w:color w:val="212121"/>
          <w:sz w:val="21"/>
        </w:rPr>
        <w:t xml:space="preserve"> IC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同号；</w:t>
      </w:r>
      <w:r>
        <w:rPr>
          <w:rFonts w:ascii="微软雅黑" w:hAnsi="微软雅黑"/>
          <w:color w:val="212121"/>
          <w:sz w:val="21"/>
        </w:rPr>
        <w:t xml:space="preserve">②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留出期</w:t>
      </w:r>
      <w:r>
        <w:rPr>
          <w:rFonts w:ascii="微软雅黑" w:hAnsi="微软雅黑"/>
          <w:color w:val="212121"/>
          <w:sz w:val="21"/>
        </w:rPr>
        <w:t xml:space="preserve"> \|IC\| ≥ 0.03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</w:t>
      </w:r>
      <w:r>
        <w:rPr>
          <w:rFonts w:ascii="微软雅黑" w:hAnsi="微软雅黑"/>
          <w:color w:val="212121"/>
          <w:sz w:val="21"/>
        </w:rPr>
        <w:t xml:space="preserve">③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留出期单侧</w:t>
      </w:r>
      <w:r>
        <w:rPr>
          <w:rFonts w:ascii="微软雅黑" w:hAnsi="微软雅黑"/>
          <w:color w:val="212121"/>
          <w:sz w:val="21"/>
        </w:rPr>
        <w:t xml:space="preserve"> p &lt; 0.10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44C8722A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结果：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12 / 15 通过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F15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留出期</w:t>
      </w:r>
      <w:r>
        <w:rPr>
          <w:rFonts w:ascii="微软雅黑" w:hAnsi="微软雅黑"/>
          <w:color w:val="212121"/>
          <w:sz w:val="21"/>
        </w:rPr>
        <w:t xml:space="preserve"> IC = −0.2002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p = 0.0054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</w:p>
    <w:p w14:paraId="1CFC0751">
      <w:pPr>
        <w:pBdr>
          <w:left w:val="single" w:color="E8710A" w:sz="28" w:space="0"/>
        </w:pBdr>
        <w:shd w:val="clear" w:color="auto" w:fill="FFF8EC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⚠️ 12/15 的高通过率本身是警示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：留出期是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单一行情区间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AI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单边）。通过是必要条件，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不构成充分条件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1018D762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Walk-forward（R3-A）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：每期只用截至</w:t>
      </w:r>
      <w:r>
        <w:rPr>
          <w:rFonts w:ascii="微软雅黑" w:hAnsi="微软雅黑"/>
          <w:color w:val="212121"/>
          <w:sz w:val="21"/>
        </w:rPr>
        <w:t xml:space="preserve"> t−1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的数据挑设定，在</w:t>
      </w:r>
      <w:r>
        <w:rPr>
          <w:rFonts w:ascii="微软雅黑" w:hAnsi="微软雅黑"/>
          <w:color w:val="212121"/>
          <w:sz w:val="21"/>
        </w:rPr>
        <w:t xml:space="preserve"> 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期实现一次前瞻</w:t>
      </w:r>
      <w:r>
        <w:rPr>
          <w:rFonts w:ascii="微软雅黑" w:hAnsi="微软雅黑"/>
          <w:color w:val="212121"/>
          <w:sz w:val="21"/>
        </w:rPr>
        <w:t xml:space="preserve"> IC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，滚动</w:t>
      </w:r>
      <w:r>
        <w:rPr>
          <w:rFonts w:ascii="微软雅黑" w:hAnsi="微软雅黑"/>
          <w:color w:val="212121"/>
          <w:sz w:val="21"/>
        </w:rPr>
        <w:t xml:space="preserve"> 25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次，得到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设计期样本外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分布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而非单点。</w:t>
      </w:r>
    </w:p>
    <w:p w14:paraId="0C628508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结果：留出期</w:t>
      </w:r>
      <w:r>
        <w:rPr>
          <w:rFonts w:ascii="微软雅黑" w:hAnsi="微软雅黑"/>
          <w:color w:val="212121"/>
          <w:sz w:val="21"/>
        </w:rPr>
        <w:t xml:space="preserve"> IC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均值</w:t>
      </w:r>
      <w:r>
        <w:rPr>
          <w:rFonts w:ascii="微软雅黑" w:hAnsi="微软雅黑"/>
          <w:color w:val="212121"/>
          <w:sz w:val="21"/>
        </w:rPr>
        <w:t xml:space="preserve"> = +0.0589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NW t = </w:t>
      </w:r>
      <w:r>
        <w:rPr>
          <w:rFonts w:ascii="微软雅黑" w:hAnsi="微软雅黑"/>
          <w:b/>
          <w:color w:val="212121"/>
          <w:sz w:val="21"/>
        </w:rPr>
        <w:t>0.9748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p = </w:t>
      </w:r>
      <w:r>
        <w:rPr>
          <w:rFonts w:ascii="微软雅黑" w:hAnsi="微软雅黑"/>
          <w:b/>
          <w:color w:val="212121"/>
          <w:sz w:val="21"/>
        </w:rPr>
        <w:t>0.3394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不显著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2784A539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结论必须成对引用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 w14:paraId="328CCAA3">
      <w:pPr>
        <w:pBdr>
          <w:left w:val="single" w:color="1565C0" w:sz="28" w:space="0"/>
        </w:pBdr>
        <w:shd w:val="clear" w:color="auto" w:fill="F5F7FA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「单个事先说明的假设（</w:t>
      </w:r>
      <w:r>
        <w:rPr>
          <w:rFonts w:ascii="微软雅黑" w:hAnsi="微软雅黑"/>
          <w:color w:val="212121"/>
          <w:sz w:val="21"/>
        </w:rPr>
        <w:t>F15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）通过了检验」与「从数据里挑设定的流程通过了检验」是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两件事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。前者成立，后者不成立。</w:t>
      </w:r>
    </w:p>
    <w:p w14:paraId="7DE20320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设定搜索（R2-A2）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：在设计期（</w:t>
      </w:r>
      <w:r>
        <w:rPr>
          <w:rFonts w:ascii="微软雅黑" w:hAnsi="微软雅黑"/>
          <w:color w:val="212121"/>
          <w:sz w:val="21"/>
        </w:rPr>
        <w:t>≤2023Q4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）挑设定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留出期一次性检验。设计期选中</w:t>
      </w:r>
      <w:r>
        <w:rPr>
          <w:rFonts w:ascii="微软雅黑" w:hAnsi="微软雅黑"/>
          <w:color w:val="212121"/>
          <w:sz w:val="21"/>
        </w:rPr>
        <w:t xml:space="preserve"> F3d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，留出期</w:t>
      </w:r>
      <w:r>
        <w:rPr>
          <w:rFonts w:ascii="微软雅黑" w:hAnsi="微软雅黑"/>
          <w:color w:val="212121"/>
          <w:sz w:val="21"/>
        </w:rPr>
        <w:t xml:space="preserve"> IC = +0.1466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p = 0.0157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该流程可复制。</w:t>
      </w:r>
    </w:p>
    <w:p w14:paraId="206C55E3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3.7 交易成本与容量模型</w:t>
      </w:r>
    </w:p>
    <w:p w14:paraId="3BAB5E28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公式（sqrt 冲击模型）</w:t>
      </w:r>
    </w:p>
    <w:p w14:paraId="6A8BDB13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参与率  p_i = 调仓金额 Q_i ÷ ( 行业季度成交额 T_i × 流动性折损 h )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单边成本 c_i = k × √(p_i)          （k 取 p=1% → 15bp）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成本下限 = 5bp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双边成本 = Σ_i |Δw_i| × c_i × 2</w:t>
      </w:r>
    </w:p>
    <w:p w14:paraId="3392A0B2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为什么不设固定成本假设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：不同行业的流动性差异可达两个数量级，固定</w:t>
      </w:r>
      <w:r>
        <w:rPr>
          <w:rFonts w:ascii="微软雅黑" w:hAnsi="微软雅黑"/>
          <w:color w:val="212121"/>
          <w:sz w:val="21"/>
        </w:rPr>
        <w:t xml:space="preserve"> bp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假设会使小行业被系统性高估成本。</w:t>
      </w:r>
    </w:p>
    <w:p w14:paraId="4FDB469E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参数敏感性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h ∈ {1, 0.5, 0.2, 0.05}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k ∈ {10, 15, 20, 30}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，共</w:t>
      </w:r>
      <w:r>
        <w:rPr>
          <w:rFonts w:ascii="微软雅黑" w:hAnsi="微软雅黑"/>
          <w:color w:val="212121"/>
          <w:sz w:val="21"/>
        </w:rPr>
        <w:t xml:space="preserve"> 16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组。</w:t>
      </w:r>
    </w:p>
    <w:p w14:paraId="735993A7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结果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1"/>
        <w:gridCol w:w="1931"/>
      </w:tblGrid>
      <w:tr w14:paraId="1023D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CBFB0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组合规模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DABEF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平均单期成本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1F00A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净年化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E89CF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超额净（几何）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372AE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IR</w:t>
            </w:r>
          </w:p>
        </w:tc>
      </w:tr>
      <w:tr w14:paraId="61A32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191E0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10  亿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EBCFC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0.738 bp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D8E94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7.683%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27E67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2.626%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574A4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0.885</w:t>
            </w:r>
          </w:p>
        </w:tc>
      </w:tr>
      <w:tr w14:paraId="4F851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5A569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100  亿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3BEAC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0.738 bp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3C486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7.683%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6C820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2.626%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D45E0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0.885</w:t>
            </w:r>
          </w:p>
        </w:tc>
      </w:tr>
      <w:tr w14:paraId="2DF42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0DB58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1,000  亿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99CA2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0.738 bp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9AC12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7.683%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AB9E0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2.626%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017D0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0.885</w:t>
            </w:r>
          </w:p>
        </w:tc>
      </w:tr>
      <w:tr w14:paraId="5B813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D7B7C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3,000 亿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09B87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0.738 bp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65E0B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7.683%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842BE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2.626%</w:t>
            </w:r>
          </w:p>
        </w:tc>
        <w:tc>
          <w:tcPr>
            <w:tcW w:w="1728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7EB92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0.885</w:t>
            </w:r>
          </w:p>
        </w:tc>
      </w:tr>
    </w:tbl>
    <w:p w14:paraId="37FFD316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关键结论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：从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亿到</w:t>
      </w:r>
      <w:r>
        <w:rPr>
          <w:rFonts w:ascii="微软雅黑" w:hAnsi="微软雅黑"/>
          <w:color w:val="212121"/>
          <w:sz w:val="21"/>
        </w:rPr>
        <w:t xml:space="preserve"> 3,000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亿，成本几乎不变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容量不构成约束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。且此前固定双边</w:t>
      </w:r>
      <w:r>
        <w:rPr>
          <w:rFonts w:ascii="微软雅黑" w:hAnsi="微软雅黑"/>
          <w:color w:val="212121"/>
          <w:sz w:val="21"/>
        </w:rPr>
        <w:t xml:space="preserve"> 20bp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假设等价于约</w:t>
      </w:r>
      <w:r>
        <w:rPr>
          <w:rFonts w:ascii="微软雅黑" w:hAnsi="微软雅黑"/>
          <w:color w:val="212121"/>
          <w:sz w:val="21"/>
        </w:rPr>
        <w:t xml:space="preserve"> 2.95bp/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期，是建模成本的约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4 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，因此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此前所有扣费结论都是保守下限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27357926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3.8 因子动量检验</w:t>
      </w:r>
    </w:p>
    <w:p w14:paraId="2839D25B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方法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：逐期在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因子之间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做秩相关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过去</w:t>
      </w:r>
      <w:r>
        <w:rPr>
          <w:rFonts w:ascii="微软雅黑" w:hAnsi="微软雅黑"/>
          <w:color w:val="212121"/>
          <w:sz w:val="21"/>
        </w:rPr>
        <w:t xml:space="preserve"> 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季</w:t>
      </w:r>
      <w:r>
        <w:rPr>
          <w:rFonts w:ascii="微软雅黑" w:hAnsi="微软雅黑"/>
          <w:color w:val="212121"/>
          <w:sz w:val="21"/>
        </w:rPr>
        <w:t xml:space="preserve"> IC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高的因子，下一季</w:t>
      </w:r>
      <w:r>
        <w:rPr>
          <w:rFonts w:ascii="微软雅黑" w:hAnsi="微软雅黑"/>
          <w:color w:val="212121"/>
          <w:sz w:val="21"/>
        </w:rPr>
        <w:t xml:space="preserve"> IC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是否也高。</w:t>
      </w:r>
    </w:p>
    <w:p w14:paraId="1D3EA2C9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momIC(t) = Spearman( 各因子在 [t−N, t−1] 的 IC 均值 , 各因子在 t 期的 IC )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608"/>
        <w:gridCol w:w="1609"/>
        <w:gridCol w:w="1609"/>
        <w:gridCol w:w="1609"/>
        <w:gridCol w:w="1609"/>
      </w:tblGrid>
      <w:tr w14:paraId="78C83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C5B29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回看窗口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CB1FD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观测期数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7A7F3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momIC  均值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9E437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NW t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8EB5E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p  值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9FAAA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正比例</w:t>
            </w:r>
          </w:p>
        </w:tc>
      </w:tr>
      <w:tr w14:paraId="4AB18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D57FF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4  季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22C84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23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9FF58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+0.2159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20835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3.5613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7A77E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0.0017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C9E81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73.9%</w:t>
            </w:r>
          </w:p>
        </w:tc>
      </w:tr>
      <w:tr w14:paraId="6E3D1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40EBA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8  季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04132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23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A599A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+0.2663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D7725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3.1303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BC825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0.0049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DD311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78.3%</w:t>
            </w:r>
          </w:p>
        </w:tc>
      </w:tr>
      <w:tr w14:paraId="3F56B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E0FB1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12  季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5A313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20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3E5BC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+0.2706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64436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2.8501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68CC6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0.0102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F9CE6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75.0%</w:t>
            </w:r>
          </w:p>
        </w:tc>
      </w:tr>
    </w:tbl>
    <w:p w14:paraId="06B987A4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这是本项目唯一通过 Bonferroni 校正的信号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，也直接解释了</w:t>
      </w:r>
      <w:r>
        <w:rPr>
          <w:rFonts w:ascii="微软雅黑" w:hAnsi="微软雅黑"/>
          <w:color w:val="212121"/>
          <w:sz w:val="21"/>
        </w:rPr>
        <w:t xml:space="preserve"> walk-forward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为何单调上升。</w:t>
      </w:r>
    </w:p>
    <w:p w14:paraId="0CE0BD0E">
      <w:pPr>
        <w:pBdr>
          <w:left w:val="single" w:color="E8710A" w:sz="28" w:space="0"/>
        </w:pBdr>
        <w:shd w:val="clear" w:color="auto" w:fill="FFF8EC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⚠️ 稳健性把它拉回现实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11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个分组方向</w:t>
      </w:r>
      <w:r>
        <w:rPr>
          <w:rFonts w:ascii="微软雅黑" w:hAnsi="微软雅黑"/>
          <w:color w:val="212121"/>
          <w:sz w:val="21"/>
        </w:rPr>
        <w:t xml:space="preserve"> 11/11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为正，但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只有 5 组显著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，且集中在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近段与震荡市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（牛市</w:t>
      </w:r>
      <w:r>
        <w:rPr>
          <w:rFonts w:ascii="微软雅黑" w:hAnsi="微软雅黑"/>
          <w:color w:val="212121"/>
          <w:sz w:val="21"/>
        </w:rPr>
        <w:t xml:space="preserve"> p = 0.6897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、熊市</w:t>
      </w:r>
      <w:r>
        <w:rPr>
          <w:rFonts w:ascii="微软雅黑" w:hAnsi="微软雅黑"/>
          <w:color w:val="212121"/>
          <w:sz w:val="21"/>
        </w:rPr>
        <w:t xml:space="preserve"> p = 0.7199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，均不显著）；去掉同族冗余因子后</w:t>
      </w:r>
      <w:r>
        <w:rPr>
          <w:rFonts w:ascii="微软雅黑" w:hAnsi="微软雅黑"/>
          <w:color w:val="212121"/>
          <w:sz w:val="21"/>
        </w:rPr>
        <w:t xml:space="preserve"> 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从</w:t>
      </w:r>
      <w:r>
        <w:rPr>
          <w:rFonts w:ascii="微软雅黑" w:hAnsi="微软雅黑"/>
          <w:color w:val="212121"/>
          <w:sz w:val="21"/>
        </w:rPr>
        <w:t xml:space="preserve"> 0.0049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退化到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b/>
          <w:color w:val="212121"/>
          <w:sz w:val="21"/>
        </w:rPr>
        <w:t>0.0648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3FE5BB08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3.9 压力测试</w:t>
      </w:r>
    </w:p>
    <w:p w14:paraId="5F3A1903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方法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：假设一个按主动权益基金行业配置比例（</w:t>
      </w:r>
      <w:r>
        <w:rPr>
          <w:rFonts w:ascii="微软雅黑" w:hAnsi="微软雅黑"/>
          <w:color w:val="212121"/>
          <w:sz w:val="21"/>
        </w:rPr>
        <w:t>2026Q2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）构建的组合，对指定行业施加冲击、其余不变。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7"/>
        <w:gridCol w:w="3217"/>
        <w:gridCol w:w="3218"/>
      </w:tblGrid>
      <w:tr w14:paraId="47FA6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D5628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情景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4A29F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受影响权重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5E55E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组合冲击</w:t>
            </w:r>
          </w:p>
        </w:tc>
      </w:tr>
      <w:tr w14:paraId="7BAAC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116F1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电子回撤  30%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C0D2A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36.83%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6BE4F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−11.05%</w:t>
            </w:r>
          </w:p>
        </w:tc>
      </w:tr>
      <w:tr w14:paraId="552CEF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9D9DF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电子回撤  50%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1564B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36.83%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696D8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−18.41%</w:t>
            </w:r>
          </w:p>
        </w:tc>
      </w:tr>
      <w:tr w14:paraId="2F393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B678E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TMT  整体回撤  30%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0607E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53.31%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52C7C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−15.99%</w:t>
            </w:r>
          </w:p>
        </w:tc>
      </w:tr>
      <w:tr w14:paraId="2F054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A40D2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前三大重仓行业回撤  25%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05817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57.96%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0D0CC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−14.49%</w:t>
            </w:r>
          </w:p>
        </w:tc>
      </w:tr>
      <w:tr w14:paraId="4B044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29DE4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风格反转（拥挤行业回撤  30% ）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B833A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68.25%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A2A25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−20.48%</w:t>
            </w:r>
          </w:p>
        </w:tc>
      </w:tr>
    </w:tbl>
    <w:p w14:paraId="47642D5C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这是本模型最可落地的产出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：电子单一行业占</w:t>
      </w:r>
      <w:r>
        <w:rPr>
          <w:rFonts w:ascii="微软雅黑" w:hAnsi="微软雅黑"/>
          <w:color w:val="212121"/>
          <w:sz w:val="21"/>
        </w:rPr>
        <w:t xml:space="preserve"> 36.83%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，其回撤</w:t>
      </w:r>
      <w:r>
        <w:rPr>
          <w:rFonts w:ascii="微软雅黑" w:hAnsi="微软雅黑"/>
          <w:color w:val="212121"/>
          <w:sz w:val="21"/>
        </w:rPr>
        <w:t xml:space="preserve"> 30%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就吃掉组合</w:t>
      </w:r>
      <w:r>
        <w:rPr>
          <w:rFonts w:ascii="微软雅黑" w:hAnsi="微软雅黑"/>
          <w:color w:val="212121"/>
          <w:sz w:val="21"/>
        </w:rPr>
        <w:t xml:space="preserve"> 11%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该结论不依赖因子有效性。</w:t>
      </w:r>
    </w:p>
    <w:p w14:paraId="6687BBAB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3.10 超额收益的行业归因</w:t>
      </w:r>
    </w:p>
    <w:p w14:paraId="5C7EDEDC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公式（逐期精确分解）</w:t>
      </w:r>
    </w:p>
    <w:p w14:paraId="4FEA4FE0">
      <w:pPr>
        <w:spacing w:line="317" w:lineRule="auto"/>
        <w:jc w:val="left"/>
      </w:pPr>
      <w:r>
        <w:rPr>
          <w:rFonts w:ascii="Consolas" w:hAnsi="Consolas"/>
          <w:color w:val="1A237E"/>
          <w:sz w:val="19"/>
        </w:rPr>
        <w:t>excess(t) = Σ_i [ w_i(t) − bm_i(t) ] × r_i(t+1)</w:t>
      </w:r>
    </w:p>
    <w:p w14:paraId="6B8D6121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结果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：累计总超额</w:t>
      </w:r>
      <w:r>
        <w:rPr>
          <w:rFonts w:ascii="微软雅黑" w:hAnsi="微软雅黑"/>
          <w:color w:val="212121"/>
          <w:sz w:val="21"/>
        </w:rPr>
        <w:t xml:space="preserve"> +10.82pct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；正贡献行业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b/>
          <w:color w:val="212121"/>
          <w:sz w:val="21"/>
        </w:rPr>
        <w:t>18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负贡献行业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b/>
          <w:color w:val="212121"/>
          <w:sz w:val="21"/>
        </w:rPr>
        <w:t>13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个；最大负贡献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电子 −3.40pct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剔除该行业后超额反而升到 +14.21pct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不是"只靠低配电子"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；最大正贡献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通信</w:t>
      </w:r>
      <w:r>
        <w:rPr>
          <w:rFonts w:ascii="微软雅黑" w:hAnsi="微软雅黑"/>
          <w:color w:val="212121"/>
          <w:sz w:val="21"/>
        </w:rPr>
        <w:t xml:space="preserve"> +5.56pct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4A987633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为什么必须做这个检验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：若剔除单一行业后超额归零，说明超额本质是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低配某大牛行业的</w:t>
      </w:r>
      <w:r>
        <w:rPr>
          <w:rFonts w:ascii="微软雅黑" w:hAnsi="微软雅黑"/>
          <w:color w:val="212121"/>
          <w:sz w:val="21"/>
        </w:rPr>
        <w:t xml:space="preserve"> beta"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，不是选行业的能力。</w:t>
      </w:r>
    </w:p>
    <w:p w14:paraId="1136EA64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3.11 cap 约束 vs 因子倾斜的分离</w:t>
      </w:r>
    </w:p>
    <w:p w14:paraId="4DEFA0EC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这是组合层检验最容易被忽略的混淆项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：只要对基准施加单行业上限（例如把</w:t>
      </w:r>
      <w:r>
        <w:rPr>
          <w:rFonts w:ascii="微软雅黑" w:hAnsi="微软雅黑"/>
          <w:color w:val="212121"/>
          <w:sz w:val="21"/>
        </w:rPr>
        <w:t xml:space="preserve"> 19.25%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的持仓压到</w:t>
      </w:r>
      <w:r>
        <w:rPr>
          <w:rFonts w:ascii="微软雅黑" w:hAnsi="微软雅黑"/>
          <w:color w:val="212121"/>
          <w:sz w:val="21"/>
        </w:rPr>
        <w:t xml:space="preserve"> 10%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），就已经产生了一个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与因子无关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的主动偏离。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3"/>
        <w:gridCol w:w="2413"/>
        <w:gridCol w:w="2413"/>
        <w:gridCol w:w="2413"/>
      </w:tblGrid>
      <w:tr w14:paraId="07925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1D124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策略起点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777DC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仅  cap  约束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2687B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cap +  因子倾斜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4036C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因子倾斜净增量</w:t>
            </w:r>
          </w:p>
        </w:tc>
      </w:tr>
      <w:tr w14:paraId="6087F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93952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等权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7BADD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—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9DCAC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—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0FC63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—</w:t>
            </w:r>
          </w:p>
        </w:tc>
      </w:tr>
      <w:tr w14:paraId="3E2D1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DFE8F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沪深 300  逐期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83961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+0.65%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C601D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+2.76%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13668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+2.11%</w:t>
            </w:r>
          </w:p>
        </w:tc>
      </w:tr>
    </w:tbl>
    <w:p w14:paraId="12D4B982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不做 λ=0 对照，就会把 cap 的效果记在因子头上。</w:t>
      </w:r>
    </w:p>
    <w:p w14:paraId="209DB4A3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3.12 策略起点 × 超额基准（四宫格）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608"/>
        <w:gridCol w:w="1609"/>
        <w:gridCol w:w="1609"/>
        <w:gridCol w:w="1609"/>
        <w:gridCol w:w="1609"/>
      </w:tblGrid>
      <w:tr w14:paraId="5281E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F021A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策略起点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7C1EB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超额基准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352FF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超额净（算术）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97387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超额净（几何）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4E253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IR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78968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超额胜率</w:t>
            </w:r>
          </w:p>
        </w:tc>
      </w:tr>
      <w:tr w14:paraId="23D0B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B7187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等权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79B5A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等权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FCBFF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+2.63%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06CF2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+2.63%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D8AF4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0.90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94FE3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70.8%</w:t>
            </w:r>
          </w:p>
        </w:tc>
      </w:tr>
      <w:tr w14:paraId="3ACA8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202BA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等权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887DD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沪深 300  逐期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A7E72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+1.55%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575D0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4C684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2EFE4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—</w:t>
            </w:r>
          </w:p>
        </w:tc>
      </w:tr>
      <w:tr w14:paraId="432AF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B292E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沪深 300  逐期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2208B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等权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30959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+3.68%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F23B4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505F8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14538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—</w:t>
            </w:r>
          </w:p>
        </w:tc>
      </w:tr>
      <w:tr w14:paraId="776A2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71896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沪深300 逐期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116CC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沪深300 逐期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11088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+2.76%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941E5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C047B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1.03</w:t>
            </w:r>
          </w:p>
        </w:tc>
        <w:tc>
          <w:tcPr>
            <w:tcW w:w="144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13D70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—</w:t>
            </w:r>
          </w:p>
        </w:tc>
      </w:tr>
    </w:tbl>
    <w:p w14:paraId="372D8FD1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四种口径组合下超额全为正</w:t>
      </w:r>
      <w:r>
        <w:rPr>
          <w:rFonts w:ascii="微软雅黑" w:hAnsi="微软雅黑"/>
          <w:color w:val="212121"/>
          <w:sz w:val="21"/>
        </w:rPr>
        <w:t xml:space="preserve"> ——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说明结论对口径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不敏感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（这是正面证据）。</w:t>
      </w:r>
    </w:p>
    <w:p w14:paraId="3162073B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唯一例外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：以「沪深</w:t>
      </w:r>
      <w:r>
        <w:rPr>
          <w:rFonts w:ascii="微软雅黑" w:hAnsi="微软雅黑"/>
          <w:color w:val="212121"/>
          <w:sz w:val="21"/>
        </w:rPr>
        <w:t xml:space="preserve">300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但逐期剔除当期最大权重行业」为基准时，策略超额</w:t>
      </w:r>
      <w:r>
        <w:rPr>
          <w:rFonts w:ascii="微软雅黑" w:hAnsi="微软雅黑"/>
          <w:color w:val="212121"/>
          <w:sz w:val="21"/>
        </w:rPr>
        <w:t xml:space="preserve"> −0.91%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（该基准自身年化被推到</w:t>
      </w:r>
      <w:r>
        <w:rPr>
          <w:rFonts w:ascii="微软雅黑" w:hAnsi="微软雅黑"/>
          <w:color w:val="212121"/>
          <w:sz w:val="21"/>
        </w:rPr>
        <w:t xml:space="preserve"> 9.38%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）。此例外必须披露。</w:t>
      </w:r>
    </w:p>
    <w:p w14:paraId="7A958850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3.13 因子分级裁决（J1–J4）</w:t>
      </w:r>
    </w:p>
    <w:p w14:paraId="377F8F02">
      <w:pPr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见</w:t>
      </w:r>
      <w:r>
        <w:rPr>
          <w:rFonts w:ascii="微软雅黑" w:hAnsi="微软雅黑"/>
          <w:color w:val="212121"/>
          <w:sz w:val="21"/>
        </w:rPr>
        <w:t xml:space="preserve"> 1.5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节。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分级的意义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：避免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某因子</w:t>
      </w:r>
      <w:r>
        <w:rPr>
          <w:rFonts w:ascii="微软雅黑" w:hAnsi="微软雅黑"/>
          <w:color w:val="212121"/>
          <w:sz w:val="21"/>
        </w:rPr>
        <w:t xml:space="preserve"> IC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好看就上线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的常见错误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四项判据分别覆盖统计、时序、结构、成本四个维度，缺一不可。</w:t>
      </w:r>
    </w:p>
    <w:p w14:paraId="4D0E5572">
      <w:pPr>
        <w:pStyle w:val="4"/>
        <w:jc w:val="left"/>
      </w:pPr>
      <w:bookmarkStart w:id="4" w:name="section-5"/>
      <w:bookmarkEnd w:id="4"/>
      <w:r>
        <w:rPr>
          <w:rFonts w:hint="eastAsia" w:ascii="微软雅黑" w:hAnsi="微软雅黑" w:eastAsia="微软雅黑" w:cs="微软雅黑"/>
          <w:b/>
          <w:color w:val="1A237E"/>
          <w:sz w:val="30"/>
          <w:lang w:eastAsia="zh-CN"/>
        </w:rPr>
        <w:t>第 4 章 2026Q2 核心结论</w:t>
      </w:r>
    </w:p>
    <w:p w14:paraId="5B58A8A6">
      <w:pPr>
        <w:spacing w:before="0" w:after="90"/>
        <w:jc w:val="left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本章共</w:t>
      </w:r>
      <w:r>
        <w:rPr>
          <w:rFonts w:ascii="微软雅黑" w:hAnsi="微软雅黑"/>
          <w:color w:val="616161"/>
          <w:sz w:val="18"/>
        </w:rPr>
        <w:t xml:space="preserve"> 4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节：</w:t>
      </w:r>
      <w:r>
        <w:rPr>
          <w:rFonts w:ascii="微软雅黑" w:hAnsi="微软雅黑"/>
          <w:color w:val="616161"/>
          <w:sz w:val="18"/>
        </w:rPr>
        <w:t xml:space="preserve">4.1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市场层面</w:t>
      </w:r>
      <w:r>
        <w:rPr>
          <w:rFonts w:ascii="微软雅黑" w:hAnsi="微软雅黑"/>
          <w:color w:val="616161"/>
          <w:sz w:val="18"/>
        </w:rPr>
        <w:t xml:space="preserve"> · 4.2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行业层面（极度拥挤</w:t>
      </w:r>
      <w:r>
        <w:rPr>
          <w:rFonts w:ascii="微软雅黑" w:hAnsi="微软雅黑"/>
          <w:color w:val="616161"/>
          <w:sz w:val="18"/>
        </w:rPr>
        <w:t xml:space="preserve"> 4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个）</w:t>
      </w:r>
      <w:r>
        <w:rPr>
          <w:rFonts w:ascii="微软雅黑" w:hAnsi="微软雅黑"/>
          <w:color w:val="616161"/>
          <w:sz w:val="18"/>
        </w:rPr>
        <w:t xml:space="preserve"> · 4.3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因子层面</w:t>
      </w:r>
      <w:r>
        <w:rPr>
          <w:rFonts w:ascii="微软雅黑" w:hAnsi="微软雅黑"/>
          <w:color w:val="616161"/>
          <w:sz w:val="18"/>
        </w:rPr>
        <w:t xml:space="preserve"> · 4.4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组合层面。</w:t>
      </w:r>
    </w:p>
    <w:p w14:paraId="2D7DDBE0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4.1 市场层面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7"/>
        <w:gridCol w:w="3217"/>
        <w:gridCol w:w="3218"/>
      </w:tblGrid>
      <w:tr w14:paraId="520C6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DE972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指标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CBCDF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数值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33B44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解读</w:t>
            </w:r>
          </w:p>
        </w:tc>
      </w:tr>
      <w:tr w14:paraId="2FCAA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04E1B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市场状态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4F3F0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K 型分化极致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E6BA3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极度拥挤与显著低配同时存在</w:t>
            </w:r>
          </w:p>
        </w:tc>
      </w:tr>
      <w:tr w14:paraId="5C682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EA881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HHI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B9BEF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0.1897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（历史分位  97% 、历史均值  0.1075 ）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0DBFE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极高集中，历史最高</w:t>
            </w:r>
          </w:p>
        </w:tc>
      </w:tr>
      <w:tr w14:paraId="6A7F4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ED50C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CR3 / CR5 / CR10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A04D4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63.49% / 79.51% / 91.92%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0CB28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头部三个行业占六成以上</w:t>
            </w:r>
          </w:p>
        </w:tc>
      </w:tr>
      <w:tr w14:paraId="14CD7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65701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第一大重仓行业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D46B8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电子 36.83%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04394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单一行业超过三分之一仓位</w:t>
            </w:r>
          </w:p>
        </w:tc>
      </w:tr>
      <w:tr w14:paraId="1A0A3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FC0B8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极度拥挤行业数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83F2D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C4139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电子、通信、机械设备、医药生物</w:t>
            </w:r>
          </w:p>
        </w:tc>
      </w:tr>
      <w:tr w14:paraId="3E04C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44A12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显著低配行业数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DA005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15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717D8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农林牧渔、钢铁、食品饮料、公用事业、交通运输、商贸零售、银行、非银金融、建筑装饰、国防军工、计算机、传媒、煤炭、石油石化、美容护理</w:t>
            </w:r>
          </w:p>
        </w:tc>
      </w:tr>
      <w:tr w14:paraId="1810D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B4347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中性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09657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10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55D15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—</w:t>
            </w:r>
          </w:p>
        </w:tc>
      </w:tr>
      <w:tr w14:paraId="3D342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6BE28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样本基金数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5B780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1,074  只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C1250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—</w:t>
            </w:r>
          </w:p>
        </w:tc>
      </w:tr>
      <w:tr w14:paraId="341A2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3B840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个股集中度  Z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372B2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+2.17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BAA9A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抱团指标创历史高位</w:t>
            </w:r>
          </w:p>
        </w:tc>
      </w:tr>
      <w:tr w14:paraId="7D216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DDBA5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仓位代理  Z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FC618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+1.02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ADC1B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前十占净值比  48.53%</w:t>
            </w:r>
          </w:p>
        </w:tc>
      </w:tr>
    </w:tbl>
    <w:p w14:paraId="7673D7B8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4.2 行业层面（极度拥挤 4 个）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872"/>
        <w:gridCol w:w="933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 w14:paraId="4D038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B2E57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行业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7555C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配置 %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F6A13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超配 pct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52318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F2 Z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7274E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F3  分位 %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8E22C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F12  系数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E4158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F13  盈利 %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7D36E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成交分位 %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A4BB5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共振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D5E1C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综合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EBB38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口径背离</w:t>
            </w:r>
          </w:p>
        </w:tc>
      </w:tr>
      <w:tr w14:paraId="4591B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BA562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电子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04DE9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36.83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7FD1B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+17.58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E60D9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+5.30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55560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100.0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3EC81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1.91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BF8EA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74.13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85C8B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100.0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561B1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3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FB6B8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+2.45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0F43F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</w:tr>
      <w:tr w14:paraId="3BAF3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7160A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通信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5E775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15.41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E561E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+6.89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1EA2A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+4.76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5FD02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100.0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09BF2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1.81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9D380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77.33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0A46D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100.0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49E02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3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847AF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+1.60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AA7A0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</w:tr>
      <w:tr w14:paraId="23F52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7F96C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机械设备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67542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5.73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28BFA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+3.01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C081E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+2.48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6C25E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100.0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46F6F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2.10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20462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82.97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78285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97.0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B543E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3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62644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+1.50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7A675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否</w:t>
            </w:r>
          </w:p>
        </w:tc>
      </w:tr>
      <w:tr w14:paraId="76E93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A46B5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医药生物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199DB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10.29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4EB98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+6.19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F433A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−3.14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056EC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0.0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0ED1E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2.51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715AC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15.19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DED13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0.0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06636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EAED8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+0.66</w:t>
            </w:r>
          </w:p>
        </w:tc>
        <w:tc>
          <w:tcPr>
            <w:tcW w:w="785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CB754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是</w:t>
            </w:r>
          </w:p>
        </w:tc>
      </w:tr>
    </w:tbl>
    <w:p w14:paraId="1FEB1D08">
      <w:pPr>
        <w:pBdr>
          <w:left w:val="single" w:color="E8710A" w:sz="28" w:space="0"/>
        </w:pBdr>
        <w:shd w:val="clear" w:color="auto" w:fill="FFF8EC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⚠️ 医药生物必须单独说明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：它的超配历史分位是 </w:t>
      </w:r>
      <w:r>
        <w:rPr>
          <w:rFonts w:ascii="微软雅黑" w:hAnsi="微软雅黑"/>
          <w:b/>
          <w:color w:val="212121"/>
          <w:sz w:val="21"/>
        </w:rPr>
        <w:t>0%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（相对自身历史处于极低位），但配置系数是 </w:t>
      </w:r>
      <w:r>
        <w:rPr>
          <w:rFonts w:ascii="微软雅黑" w:hAnsi="微软雅黑"/>
          <w:b/>
          <w:color w:val="212121"/>
          <w:sz w:val="21"/>
        </w:rPr>
        <w:t>2.51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（相对沪深</w:t>
      </w:r>
      <w:r>
        <w:rPr>
          <w:rFonts w:ascii="微软雅黑" w:hAnsi="微软雅黑"/>
          <w:color w:val="212121"/>
          <w:sz w:val="21"/>
        </w:rPr>
        <w:t xml:space="preserve">300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基准极重配）。两个口径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指向相反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。这正是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口径背离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标记存在的理由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不能只给一个标签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2ACF5AAD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4.3 因子层面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6"/>
        <w:gridCol w:w="4826"/>
      </w:tblGrid>
      <w:tr w14:paraId="1E7FA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3D203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项目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4D086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结果</w:t>
            </w:r>
          </w:p>
        </w:tc>
      </w:tr>
      <w:tr w14:paraId="03420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8D87D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A/A−  级因子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6D8B3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仅 F15_拥挤背离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（ A− ，只胜等权基准）</w:t>
            </w:r>
          </w:p>
        </w:tc>
      </w:tr>
      <w:tr w14:paraId="64505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A11A0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B  级候选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FE513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11  个</w:t>
            </w:r>
          </w:p>
        </w:tc>
      </w:tr>
      <w:tr w14:paraId="1FD59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6410F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D  级未成立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89E98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11  个（含  F11  综合因子、 F9  交易拥挤度、 F4b  动量）</w:t>
            </w:r>
          </w:p>
        </w:tc>
      </w:tr>
      <w:tr w14:paraId="0C44B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2C07C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Bootstrap CI  不含  0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3DDEC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5 / 23</w:t>
            </w:r>
          </w:p>
        </w:tc>
      </w:tr>
      <w:tr w14:paraId="30D6F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DFCFD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主族  BH-FDR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D1862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拒绝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 / 8 ，最小  q = 0.1452</w:t>
            </w:r>
          </w:p>
        </w:tc>
      </w:tr>
      <w:tr w14:paraId="5A7E7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653DE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设计期样本外通过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96760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12 / 15</w:t>
            </w:r>
          </w:p>
        </w:tc>
      </w:tr>
      <w:tr w14:paraId="16B93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70AD6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Walk-forward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15585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p =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0.3394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（不显著）</w:t>
            </w:r>
          </w:p>
        </w:tc>
      </w:tr>
      <w:tr w14:paraId="66075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70827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因子动量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F9857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三档窗口  p  全部  &lt; 0.011 ，但仅近段与震荡市显著</w:t>
            </w:r>
          </w:p>
        </w:tc>
      </w:tr>
    </w:tbl>
    <w:p w14:paraId="043A9677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4.4 组合层面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6"/>
        <w:gridCol w:w="4826"/>
      </w:tblGrid>
      <w:tr w14:paraId="58DC5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F8E33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项目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38DB0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F15  行业轮动策略</w:t>
            </w:r>
          </w:p>
        </w:tc>
      </w:tr>
      <w:tr w14:paraId="028D6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D27EB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参数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E0F3E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单行业上限  10% 、 λ = 0.5 、季度调仓、扣  20bp （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全部事前固定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）</w:t>
            </w:r>
          </w:p>
        </w:tc>
      </w:tr>
      <w:tr w14:paraId="4BD0E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47D10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净年化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6B596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+8.77%</w:t>
            </w:r>
          </w:p>
        </w:tc>
      </w:tr>
      <w:tr w14:paraId="64A90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D387E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对等权基准超额（几何）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B473B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+2.63%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， IR 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+0.90</w:t>
            </w:r>
          </w:p>
        </w:tc>
      </w:tr>
      <w:tr w14:paraId="28283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3DC45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对沪深 300  基准超额（几何）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C7B2A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+2.76%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， IR 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+1.03</w:t>
            </w:r>
          </w:p>
        </w:tc>
      </w:tr>
      <w:tr w14:paraId="5FB05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32878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平均换手率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93A1E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sz w:val="18"/>
              </w:rPr>
              <w:t>7.4%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（季度调仓，极低）</w:t>
            </w:r>
          </w:p>
        </w:tc>
      </w:tr>
      <w:tr w14:paraId="6CC99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3A5AC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超额胜率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2A940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70.8%</w:t>
            </w:r>
          </w:p>
        </w:tc>
      </w:tr>
      <w:tr w14:paraId="1F43EC0C"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A980A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参数敏感性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6F26C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IR ∈ [+0.73, +0.90] ，无符号翻转</w:t>
            </w:r>
          </w:p>
        </w:tc>
      </w:tr>
      <w:tr w14:paraId="2ADF5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5A4A5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容量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12EFE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3,000  亿元规模下成本仍仅  0.74bp/ 期</w:t>
            </w:r>
          </w:p>
        </w:tc>
      </w:tr>
    </w:tbl>
    <w:p w14:paraId="093A5CA2"/>
    <w:p w14:paraId="0D3728AE">
      <w:pPr>
        <w:pBdr>
          <w:bottom w:val="single" w:color="auto" w:sz="6" w:space="1"/>
        </w:pBdr>
      </w:pPr>
    </w:p>
    <w:p w14:paraId="3E8837D5">
      <w:pPr>
        <w:pStyle w:val="4"/>
        <w:jc w:val="left"/>
      </w:pPr>
      <w:bookmarkStart w:id="5" w:name="section-6"/>
      <w:bookmarkEnd w:id="5"/>
      <w:r>
        <w:rPr>
          <w:rFonts w:hint="eastAsia" w:ascii="微软雅黑" w:hAnsi="微软雅黑" w:eastAsia="微软雅黑" w:cs="微软雅黑"/>
          <w:b/>
          <w:color w:val="1A237E"/>
          <w:sz w:val="30"/>
          <w:lang w:eastAsia="zh-CN"/>
        </w:rPr>
        <w:t>第 5 章 操作指南</w:t>
      </w:r>
    </w:p>
    <w:p w14:paraId="3DA58A79">
      <w:pPr>
        <w:spacing w:before="0" w:after="90"/>
        <w:jc w:val="left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本章共</w:t>
      </w:r>
      <w:r>
        <w:rPr>
          <w:rFonts w:ascii="微软雅黑" w:hAnsi="微软雅黑"/>
          <w:color w:val="616161"/>
          <w:sz w:val="18"/>
        </w:rPr>
        <w:t xml:space="preserve"> 4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节：</w:t>
      </w:r>
      <w:r>
        <w:rPr>
          <w:rFonts w:ascii="微软雅黑" w:hAnsi="微软雅黑"/>
          <w:color w:val="616161"/>
          <w:sz w:val="18"/>
        </w:rPr>
        <w:t xml:space="preserve">5.1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环境与启动</w:t>
      </w:r>
      <w:r>
        <w:rPr>
          <w:rFonts w:ascii="微软雅黑" w:hAnsi="微软雅黑"/>
          <w:color w:val="616161"/>
          <w:sz w:val="18"/>
        </w:rPr>
        <w:t xml:space="preserve"> · 5.2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更新下一季度数据</w:t>
      </w:r>
      <w:r>
        <w:rPr>
          <w:rFonts w:ascii="微软雅黑" w:hAnsi="微软雅黑"/>
          <w:color w:val="616161"/>
          <w:sz w:val="18"/>
        </w:rPr>
        <w:t xml:space="preserve"> · 5.3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数据质量前置闸门（</w:t>
      </w:r>
      <w:r>
        <w:rPr>
          <w:rFonts w:ascii="微软雅黑" w:hAnsi="微软雅黑"/>
          <w:color w:val="616161"/>
          <w:sz w:val="18"/>
        </w:rPr>
        <w:t xml:space="preserve">8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项硬约束，失败即中止）</w:t>
      </w:r>
      <w:r>
        <w:rPr>
          <w:rFonts w:ascii="微软雅黑" w:hAnsi="微软雅黑"/>
          <w:color w:val="616161"/>
          <w:sz w:val="18"/>
        </w:rPr>
        <w:t xml:space="preserve"> · 5.4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输出文件清单。</w:t>
      </w:r>
    </w:p>
    <w:p w14:paraId="23E56908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5.1 环境与启动</w:t>
      </w:r>
    </w:p>
    <w:p w14:paraId="65B25E83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cd fund_crowding_dashboard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pip install -r requirements.txt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python tools/seed_raw_data.py        # 首次：从源工作簿初始化 data/raw/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python src/update_pipeline.py        # 一键重算（含动态权重自动生成）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streamlit run src/app.py             # 启动看板，默认 http://localhost:8501</w:t>
      </w:r>
    </w:p>
    <w:p w14:paraId="0DD78150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看板共 8 个页面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7"/>
        <w:gridCol w:w="3217"/>
        <w:gridCol w:w="3218"/>
      </w:tblGrid>
      <w:tr w14:paraId="5AC1C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DB9BE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页面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EB312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内容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13F56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首屏耗时</w:t>
            </w:r>
          </w:p>
        </w:tc>
      </w:tr>
      <w:tr w14:paraId="3AEEE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2BBF0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①  总览仪表盘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9CD73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12  个  KPI + 7  张图  + 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7 条「结论与判断理由」卡片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3FDC7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较长（含完整研究级检验）</w:t>
            </w:r>
          </w:p>
        </w:tc>
      </w:tr>
      <w:tr w14:paraId="6E75B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0F29A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②  拥挤度总览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833E6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三栏布局；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所选行业的等级判断理由卡片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E7D9F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快</w:t>
            </w:r>
          </w:p>
        </w:tc>
      </w:tr>
      <w:tr w14:paraId="12331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03116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③  行业占比变迁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BE34D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堆叠面积图  /  热力图  /  瀑布图  /  时序对比图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D016A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快</w:t>
            </w:r>
          </w:p>
        </w:tc>
      </w:tr>
      <w:tr w14:paraId="55B84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DB029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④ ETF  资金流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D3DB0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累计资金流对比  /  单日净申赎  /  汇总与明细（含折算标记）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E88C1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快</w:t>
            </w:r>
          </w:p>
        </w:tc>
      </w:tr>
      <w:tr w14:paraId="77E02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77A61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⑤  因子研究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49758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IC  时序  +  滚动  IC_IR /  气泡图  /  压力测试  /  相关性热力图  / IC  衰减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E1EC9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中</w:t>
            </w:r>
          </w:p>
        </w:tc>
      </w:tr>
      <w:tr w14:paraId="62940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31B48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⑥  轮动策略与因子裁决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B6A9C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分级裁决表  + 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四项判据解读卡片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 +  设计期样本外  +  归因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B37E7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中</w:t>
            </w:r>
          </w:p>
        </w:tc>
      </w:tr>
      <w:tr w14:paraId="34EF1F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6776F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⑦  稳健性检验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5CA17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walk-forward /  参数敏感性  /  基准变体  / cap  与倾斜分离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7F3C2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中</w:t>
            </w:r>
          </w:p>
        </w:tc>
      </w:tr>
      <w:tr w14:paraId="516EB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8AFB8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⑧  方法说明与数据来源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B0365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数据来源登记表、日度覆盖率清单、 6  条口径与风险提示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723B8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快</w:t>
            </w:r>
          </w:p>
        </w:tc>
      </w:tr>
    </w:tbl>
    <w:p w14:paraId="66814E23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5.2 更新下一季度数据</w:t>
      </w:r>
    </w:p>
    <w:p w14:paraId="182FE5FD">
      <w:pPr>
        <w:jc w:val="both"/>
      </w:pPr>
      <w:bookmarkStart w:id="7" w:name="_GoBack"/>
      <w:bookmarkEnd w:id="7"/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只需把新数据放入 </w:t>
      </w:r>
      <w:r>
        <w:rPr>
          <w:rFonts w:ascii="Consolas" w:hAnsi="Consolas"/>
          <w:b/>
          <w:color w:val="1A237E"/>
          <w:sz w:val="19"/>
        </w:rPr>
        <w:t>data/raw/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，然后按 </w:t>
      </w:r>
      <w:r>
        <w:rPr>
          <w:rFonts w:ascii="Consolas" w:hAnsi="Consolas"/>
          <w:b/>
          <w:color w:val="1A237E"/>
          <w:sz w:val="19"/>
        </w:rPr>
        <w:t>R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或点右上角「🔄 重新读取数据」。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看板按 </w:t>
      </w:r>
      <w:r>
        <w:rPr>
          <w:rFonts w:ascii="Consolas" w:hAnsi="Consolas"/>
          <w:color w:val="1A237E"/>
          <w:sz w:val="19"/>
        </w:rPr>
        <w:t>data/raw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的文件名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大小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修改时间生成指纹，指纹一变自动失效重算，无需重启服务。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7"/>
        <w:gridCol w:w="3207"/>
        <w:gridCol w:w="3208"/>
      </w:tblGrid>
      <w:tr w14:paraId="32B7B62B"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535B1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文件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3B3EB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更新方式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56143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说明</w:t>
            </w:r>
          </w:p>
        </w:tc>
      </w:tr>
      <w:tr w14:paraId="7FA9E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14D5E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industry_allocation.xlsx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1A881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追加  1  行（新季度  × 31  行业）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F69D2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配置比例</w:t>
            </w:r>
          </w:p>
        </w:tc>
      </w:tr>
      <w:tr w14:paraId="20BD2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21492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industry_overweight.xlsx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89B0A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追加  1  行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33D76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超配比例</w:t>
            </w:r>
          </w:p>
        </w:tc>
      </w:tr>
      <w:tr w14:paraId="4AA9D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D457D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hs300_weights.xlsx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FDC68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有新成分权重时覆盖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ABB27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静态权重</w:t>
            </w:r>
          </w:p>
        </w:tc>
      </w:tr>
      <w:tr w14:paraId="56B42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28342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sw_industry_returns.xlsx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A968D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追加  31  行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232EA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行业季度涨跌幅</w:t>
            </w:r>
          </w:p>
        </w:tc>
      </w:tr>
      <w:tr w14:paraId="1A6BE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ADEB3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sw_industry_turnover.xlsx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F49F5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追加  31  行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76070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行业季度成交额</w:t>
            </w:r>
          </w:p>
        </w:tc>
      </w:tr>
      <w:tr w14:paraId="6CA2B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0DBA7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industry_cr_hhi.xlsx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85938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追加  1  行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E76AD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CR / HHI</w:t>
            </w:r>
          </w:p>
        </w:tc>
      </w:tr>
      <w:tr w14:paraId="60D0B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AAEBC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stock_crowd.xlsx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36D72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追加  1  行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3ED29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个股抱团指标</w:t>
            </w:r>
          </w:p>
        </w:tc>
      </w:tr>
      <w:tr w14:paraId="34752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AC887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position_proxy.xlsx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900F5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追加  1  行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CDC6B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仓位代理</w:t>
            </w:r>
          </w:p>
        </w:tc>
      </w:tr>
      <w:tr w14:paraId="792B3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2A835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etf_flow_daily.xlsx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5B31D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追加日度行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982E1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ETF  资金流</w:t>
            </w:r>
          </w:p>
        </w:tc>
      </w:tr>
      <w:tr w14:paraId="5BFB5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05D41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sw_industry_turnover_daily.xlsx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2B493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覆盖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6826D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行业日度成交额</w:t>
            </w:r>
          </w:p>
        </w:tc>
      </w:tr>
    </w:tbl>
    <w:p w14:paraId="3FE4BDA0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季度自动检查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（已注册自动化任务，每季度首月</w:t>
      </w:r>
      <w:r>
        <w:rPr>
          <w:rFonts w:ascii="微软雅黑" w:hAnsi="微软雅黑"/>
          <w:color w:val="212121"/>
          <w:sz w:val="21"/>
        </w:rPr>
        <w:t xml:space="preserve"> 25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日</w:t>
      </w:r>
      <w:r>
        <w:rPr>
          <w:rFonts w:ascii="微软雅黑" w:hAnsi="微软雅黑"/>
          <w:color w:val="212121"/>
          <w:sz w:val="21"/>
        </w:rPr>
        <w:t xml:space="preserve"> 09:00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）：</w:t>
      </w:r>
    </w:p>
    <w:p w14:paraId="1DA1BA99">
      <w:pPr>
        <w:spacing w:line="317" w:lineRule="auto"/>
        <w:jc w:val="left"/>
      </w:pP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python tools/scheduled_check.py --quiet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# 退出码 0 = 正常；2 = 需人工介入（调度器可据此告警）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# 报告：output/scheduled_status.md</w:t>
      </w:r>
    </w:p>
    <w:p w14:paraId="18D7CB53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5.3 数据质量前置闸门（8 项硬约束，失败即中止）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7"/>
        <w:gridCol w:w="3217"/>
        <w:gridCol w:w="3218"/>
      </w:tblGrid>
      <w:tr w14:paraId="3C4AF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FD1FA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编号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70E8E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检查项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BFBC9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容差</w:t>
            </w:r>
          </w:p>
        </w:tc>
      </w:tr>
      <w:tr w14:paraId="7CC70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ADF73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H1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7C4A0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每季度  31  行业配置比例加总  = 100%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F6733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±0.01</w:t>
            </w:r>
          </w:p>
        </w:tc>
      </w:tr>
      <w:tr w14:paraId="08F6D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5C377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H2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79E23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HHI ∈ (0, 1)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F115A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—</w:t>
            </w:r>
          </w:p>
        </w:tc>
      </w:tr>
      <w:tr w14:paraId="3FE4F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B40F4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H3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AEAE9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CR3 ≤ CR5 ≤ CR10  且均  ∈ (0, 100]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9867C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单调</w:t>
            </w:r>
          </w:p>
        </w:tc>
      </w:tr>
      <w:tr w14:paraId="5792E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3B47A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H4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4BF88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基准权重逐期加总  = 100%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0C26B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±0.01</w:t>
            </w:r>
          </w:p>
        </w:tc>
      </w:tr>
      <w:tr w14:paraId="1AD8D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67AC5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H5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AB7A0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超配口径自洽（配置  −  基准权重  ≈  工作簿超配列）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88061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1e-6</w:t>
            </w:r>
          </w:p>
        </w:tc>
      </w:tr>
      <w:tr w14:paraId="52B79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6DB03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H6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DECAB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无「未登记的全表  NaN 」因子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7C626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空因子须在白名单显式登记原因</w:t>
            </w:r>
          </w:p>
        </w:tc>
      </w:tr>
      <w:tr w14:paraId="05EF5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70F11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H7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27249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无未来函数（扩窗最小样本、 shift  检查）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62F15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—</w:t>
            </w:r>
          </w:p>
        </w:tc>
      </w:tr>
      <w:tr w14:paraId="5029B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4A687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H8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729CA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正交化控制变量齐备</w:t>
            </w:r>
          </w:p>
        </w:tc>
        <w:tc>
          <w:tcPr>
            <w:tcW w:w="288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53D70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断言</w:t>
            </w:r>
          </w:p>
        </w:tc>
      </w:tr>
    </w:tbl>
    <w:p w14:paraId="4559E2EE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实测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项硬约束全部通过（</w:t>
      </w:r>
      <w:r>
        <w:rPr>
          <w:rFonts w:ascii="微软雅黑" w:hAnsi="微软雅黑"/>
          <w:color w:val="212121"/>
          <w:sz w:val="21"/>
        </w:rPr>
        <w:t xml:space="preserve">H5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自洽误差</w:t>
      </w:r>
      <w:r>
        <w:rPr>
          <w:rFonts w:ascii="微软雅黑" w:hAnsi="微软雅黑"/>
          <w:color w:val="212121"/>
          <w:sz w:val="21"/>
        </w:rPr>
        <w:t xml:space="preserve"> 1.03×10⁻¹³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</w:p>
    <w:p w14:paraId="3D34C956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5.4 输出文件清单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6"/>
        <w:gridCol w:w="4826"/>
      </w:tblGrid>
      <w:tr w14:paraId="072E4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6F327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文件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16734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内容</w:t>
            </w:r>
          </w:p>
        </w:tc>
      </w:tr>
      <w:tr w14:paraId="7C04D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82CA3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output/factor_panel.xlsx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1A931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31  行业  × 34  季度  ×  全部因子</w:t>
            </w:r>
          </w:p>
        </w:tc>
      </w:tr>
      <w:tr w14:paraId="24312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82117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output/ic_report.xlsx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EE0E7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IC / IC_IR / NW t /  胜率  / Bootstrap CI /  结论</w:t>
            </w:r>
          </w:p>
        </w:tc>
      </w:tr>
      <w:tr w14:paraId="6F986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AC187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output/backtest_report.xlsx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ADED6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分层回测、事件研究、多信号、稳健性</w:t>
            </w:r>
          </w:p>
        </w:tc>
      </w:tr>
      <w:tr w14:paraId="1F83C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C0D9C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output/research_report.xlsx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7D734A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多重检验、设计期样本外、设定搜索、二层正交、基准对照、因子裁决</w:t>
            </w:r>
          </w:p>
        </w:tc>
      </w:tr>
      <w:tr w14:paraId="1FB19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69F97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output/research3_report.xlsx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E8B5D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walk-forward 、状态分解、构造依据可得性、双因子、 cap  分离、归因</w:t>
            </w:r>
          </w:p>
        </w:tc>
      </w:tr>
      <w:tr w14:paraId="1CF5C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2DED8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output/research4_report.xlsx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26500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冲击成本与容量、因子动量、多因子正交、 ETF  层、解除约束登记</w:t>
            </w:r>
          </w:p>
        </w:tc>
      </w:tr>
      <w:tr w14:paraId="138C9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43C476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output/signal_report.xlsx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2C148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行业层面明细、信号触发记录</w:t>
            </w:r>
          </w:p>
        </w:tc>
      </w:tr>
      <w:tr w14:paraId="7FE0C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5E311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output/strategy_report.xlsx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01ADA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双方向扫描、参数敏感性、策略净值、每期行业权重</w:t>
            </w:r>
          </w:p>
        </w:tc>
      </w:tr>
      <w:tr w14:paraId="503F6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0ED832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output/structure_analysis.xlsx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34BDD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配置比例宽表  /  环比变化  /  代表行业  /  头部集中度</w:t>
            </w:r>
          </w:p>
        </w:tc>
      </w:tr>
      <w:tr w14:paraId="2688A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1CEC2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output/fci_report.xlsx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DB0B8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FCI  时序、分量  Z 、原始值、覆盖率</w:t>
            </w:r>
          </w:p>
        </w:tc>
      </w:tr>
      <w:tr w14:paraId="6E473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CB067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output/preflight_gate.csv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9547B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数据质量闸门报告</w:t>
            </w:r>
          </w:p>
        </w:tc>
      </w:tr>
      <w:tr w14:paraId="6834C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37B69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output/data_provenance.csv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787E8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数据来源登记表</w:t>
            </w:r>
          </w:p>
        </w:tc>
      </w:tr>
      <w:tr w14:paraId="26665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763FF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1A237E"/>
                <w:sz w:val="18"/>
              </w:rPr>
              <w:t>output/dynamic_weights_report.xlsx</w:t>
            </w:r>
          </w:p>
        </w:tc>
        <w:tc>
          <w:tcPr>
            <w:tcW w:w="432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6C657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漂移法重建权重与校验</w:t>
            </w:r>
          </w:p>
        </w:tc>
      </w:tr>
    </w:tbl>
    <w:p w14:paraId="7E5EA179"/>
    <w:p w14:paraId="741F38AD">
      <w:pPr>
        <w:pBdr>
          <w:bottom w:val="single" w:color="auto" w:sz="6" w:space="1"/>
        </w:pBdr>
      </w:pPr>
    </w:p>
    <w:p w14:paraId="63DD3F3F">
      <w:pPr>
        <w:pStyle w:val="4"/>
        <w:jc w:val="left"/>
      </w:pPr>
      <w:bookmarkStart w:id="6" w:name="section-7"/>
      <w:bookmarkEnd w:id="6"/>
      <w:r>
        <w:rPr>
          <w:rFonts w:hint="eastAsia" w:ascii="微软雅黑" w:hAnsi="微软雅黑" w:eastAsia="微软雅黑" w:cs="微软雅黑"/>
          <w:b/>
          <w:color w:val="1A237E"/>
          <w:sz w:val="30"/>
          <w:lang w:eastAsia="zh-CN"/>
        </w:rPr>
        <w:t>第 6 章 风险提示与引用纪律</w:t>
      </w:r>
    </w:p>
    <w:p w14:paraId="27C499BE">
      <w:pPr>
        <w:spacing w:before="0" w:after="90"/>
        <w:jc w:val="left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本章共</w:t>
      </w:r>
      <w:r>
        <w:rPr>
          <w:rFonts w:ascii="微软雅黑" w:hAnsi="微软雅黑"/>
          <w:color w:val="616161"/>
          <w:sz w:val="18"/>
        </w:rPr>
        <w:t xml:space="preserve"> 4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节：</w:t>
      </w:r>
      <w:r>
        <w:rPr>
          <w:rFonts w:ascii="微软雅黑" w:hAnsi="微软雅黑"/>
          <w:color w:val="616161"/>
          <w:sz w:val="18"/>
        </w:rPr>
        <w:t xml:space="preserve">6.1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数据口径风险</w:t>
      </w:r>
      <w:r>
        <w:rPr>
          <w:rFonts w:ascii="微软雅黑" w:hAnsi="微软雅黑"/>
          <w:color w:val="616161"/>
          <w:sz w:val="18"/>
        </w:rPr>
        <w:t xml:space="preserve"> · 6.2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方法论风险</w:t>
      </w:r>
      <w:r>
        <w:rPr>
          <w:rFonts w:ascii="微软雅黑" w:hAnsi="微软雅黑"/>
          <w:color w:val="616161"/>
          <w:sz w:val="18"/>
        </w:rPr>
        <w:t xml:space="preserve"> · 6.3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引用纪律（四条必须成对出现的表述）</w:t>
      </w:r>
      <w:r>
        <w:rPr>
          <w:rFonts w:ascii="微软雅黑" w:hAnsi="微软雅黑"/>
          <w:color w:val="616161"/>
          <w:sz w:val="18"/>
        </w:rPr>
        <w:t xml:space="preserve"> · 6.4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一条总纲。</w:t>
      </w:r>
    </w:p>
    <w:p w14:paraId="16D9532C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6.1 数据口径风险</w:t>
      </w:r>
    </w:p>
    <w:p w14:paraId="14AC587F">
      <w:pPr>
        <w:pStyle w:val="14"/>
        <w:numPr>
          <w:ilvl w:val="0"/>
          <w:numId w:val="16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前十大重仓口径 ≠ 全部持仓。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所有行业同口径，故横向可比；绝对水平有偏。全持仓校准数据未获得，偏差幅度未标定。</w:t>
      </w:r>
    </w:p>
    <w:p w14:paraId="3643E4A9">
      <w:pPr>
        <w:pStyle w:val="14"/>
        <w:numPr>
          <w:ilvl w:val="0"/>
          <w:numId w:val="16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港股剔除。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港股及非</w:t>
      </w:r>
      <w:r>
        <w:rPr>
          <w:rFonts w:ascii="微软雅黑" w:hAnsi="微软雅黑"/>
          <w:color w:val="212121"/>
          <w:sz w:val="21"/>
        </w:rPr>
        <w:t xml:space="preserve"> A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股无法映射申万一级，剔除比例约</w:t>
      </w:r>
      <w:r>
        <w:rPr>
          <w:rFonts w:ascii="微软雅黑" w:hAnsi="微软雅黑"/>
          <w:color w:val="212121"/>
          <w:sz w:val="21"/>
        </w:rPr>
        <w:t xml:space="preserve"> 6%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1136020A">
      <w:pPr>
        <w:pStyle w:val="14"/>
        <w:numPr>
          <w:ilvl w:val="0"/>
          <w:numId w:val="16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申万分类回溯偏差。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现行分类回溯至历史期，早期数据存在分类不一致。</w:t>
      </w:r>
    </w:p>
    <w:p w14:paraId="61F1A871">
      <w:pPr>
        <w:pStyle w:val="14"/>
        <w:numPr>
          <w:ilvl w:val="0"/>
          <w:numId w:val="16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基准权重为漂移法近似。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锚点自校验</w:t>
      </w:r>
      <w:r>
        <w:rPr>
          <w:rFonts w:ascii="微软雅黑" w:hAnsi="微软雅黑"/>
          <w:color w:val="212121"/>
          <w:sz w:val="21"/>
        </w:rPr>
        <w:t xml:space="preserve"> 3.55×10⁻¹⁵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，但未计成分调整、股本变动、新股纳入。</w:t>
      </w:r>
    </w:p>
    <w:p w14:paraId="6CB745A7">
      <w:pPr>
        <w:pStyle w:val="14"/>
        <w:numPr>
          <w:ilvl w:val="0"/>
          <w:numId w:val="16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F13 为指数层面代理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，不等于成分股加权口径。</w:t>
      </w:r>
    </w:p>
    <w:p w14:paraId="48FCD4B9">
      <w:pPr>
        <w:pStyle w:val="14"/>
        <w:numPr>
          <w:ilvl w:val="0"/>
          <w:numId w:val="16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F14 仅覆盖 4 只 ETF、1 个季度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，且与季报相差一个季度，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不可直接相乘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57AC3ED9">
      <w:pPr>
        <w:pStyle w:val="14"/>
        <w:numPr>
          <w:ilvl w:val="0"/>
          <w:numId w:val="16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仓位列为无效列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。工作簿「隐含股票仓位估算均值」判定为绝对量口径，已弃用；</w:t>
      </w:r>
      <w:r>
        <w:rPr>
          <w:rFonts w:ascii="微软雅黑" w:hAnsi="微软雅黑"/>
          <w:color w:val="212121"/>
          <w:sz w:val="21"/>
        </w:rPr>
        <w:t xml:space="preserve">F8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改用「前十占净值比」，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这不是真实股票仓位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7C2A75EE">
      <w:pPr>
        <w:pStyle w:val="14"/>
        <w:numPr>
          <w:ilvl w:val="0"/>
          <w:numId w:val="16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日度成交额部分覆盖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（各行业</w:t>
      </w:r>
      <w:r>
        <w:rPr>
          <w:rFonts w:ascii="微软雅黑" w:hAnsi="微软雅黑"/>
          <w:color w:val="212121"/>
          <w:sz w:val="21"/>
        </w:rPr>
        <w:t xml:space="preserve"> 13–47 / 61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个交易日），缺失不插值。</w:t>
      </w:r>
    </w:p>
    <w:p w14:paraId="455CEB2C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6.2 方法论风险</w:t>
      </w:r>
    </w:p>
    <w:p w14:paraId="54EF8B17">
      <w:pPr>
        <w:pStyle w:val="14"/>
        <w:numPr>
          <w:ilvl w:val="0"/>
          <w:numId w:val="17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拥挤度是风险描述指标，不是择时或做空信号。</w:t>
      </w:r>
    </w:p>
    <w:p w14:paraId="1BAE408D">
      <w:pPr>
        <w:pStyle w:val="14"/>
        <w:numPr>
          <w:ilvl w:val="0"/>
          <w:numId w:val="17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事件研究未支持"突破 P90 后回落"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55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次触发，</w:t>
      </w:r>
      <w:r>
        <w:rPr>
          <w:rFonts w:ascii="微软雅黑" w:hAnsi="微软雅黑"/>
          <w:color w:val="212121"/>
          <w:sz w:val="21"/>
        </w:rPr>
        <w:t xml:space="preserve">12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个月超额中位数</w:t>
      </w:r>
      <w:r>
        <w:rPr>
          <w:rFonts w:ascii="微软雅黑" w:hAnsi="微软雅黑"/>
          <w:color w:val="212121"/>
          <w:sz w:val="21"/>
        </w:rPr>
        <w:t xml:space="preserve"> +3.36%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</w:p>
    <w:p w14:paraId="73908FAB">
      <w:pPr>
        <w:pStyle w:val="14"/>
        <w:numPr>
          <w:ilvl w:val="0"/>
          <w:numId w:val="17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多信号共振与"最高风险"相反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（得分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之后</w:t>
      </w:r>
      <w:r>
        <w:rPr>
          <w:rFonts w:ascii="微软雅黑" w:hAnsi="微软雅黑"/>
          <w:color w:val="212121"/>
          <w:sz w:val="21"/>
        </w:rPr>
        <w:t xml:space="preserve"> 12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个月中位数</w:t>
      </w:r>
      <w:r>
        <w:rPr>
          <w:rFonts w:ascii="微软雅黑" w:hAnsi="微软雅黑"/>
          <w:color w:val="212121"/>
          <w:sz w:val="21"/>
        </w:rPr>
        <w:t xml:space="preserve"> +10.04%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、负概率</w:t>
      </w:r>
      <w:r>
        <w:rPr>
          <w:rFonts w:ascii="微软雅黑" w:hAnsi="微软雅黑"/>
          <w:color w:val="212121"/>
          <w:sz w:val="21"/>
        </w:rPr>
        <w:t xml:space="preserve"> 14.3%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，样本仅</w:t>
      </w:r>
      <w:r>
        <w:rPr>
          <w:rFonts w:ascii="微软雅黑" w:hAnsi="微软雅黑"/>
          <w:color w:val="212121"/>
          <w:sz w:val="21"/>
        </w:rPr>
        <w:t xml:space="preserve"> 21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个）。</w:t>
      </w:r>
    </w:p>
    <w:p w14:paraId="2E66B8C8">
      <w:pPr>
        <w:pStyle w:val="14"/>
        <w:numPr>
          <w:ilvl w:val="0"/>
          <w:numId w:val="17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F15 属后期归纳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。构造依据最早可得时点为</w:t>
      </w:r>
      <w:r>
        <w:rPr>
          <w:rFonts w:ascii="微软雅黑" w:hAnsi="微软雅黑"/>
          <w:color w:val="212121"/>
          <w:sz w:val="21"/>
        </w:rPr>
        <w:t xml:space="preserve"> 2022Q2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</w:t>
      </w:r>
      <w:r>
        <w:rPr>
          <w:rFonts w:ascii="微软雅黑" w:hAnsi="微软雅黑"/>
          <w:color w:val="212121"/>
          <w:sz w:val="21"/>
        </w:rPr>
        <w:t xml:space="preserve">t\*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之后的</w:t>
      </w:r>
      <w:r>
        <w:rPr>
          <w:rFonts w:ascii="微软雅黑" w:hAnsi="微软雅黑"/>
          <w:color w:val="212121"/>
          <w:sz w:val="21"/>
        </w:rPr>
        <w:t xml:space="preserve"> 16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个季度检验显著（</w:t>
      </w:r>
      <w:r>
        <w:rPr>
          <w:rFonts w:ascii="微软雅黑" w:hAnsi="微软雅黑"/>
          <w:color w:val="212121"/>
          <w:sz w:val="21"/>
        </w:rPr>
        <w:t>IC = −0.1644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p = 0.0245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），但检验期落在</w:t>
      </w:r>
      <w:r>
        <w:rPr>
          <w:rFonts w:ascii="微软雅黑" w:hAnsi="微软雅黑"/>
          <w:color w:val="212121"/>
          <w:sz w:val="21"/>
        </w:rPr>
        <w:t xml:space="preserve"> AI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单边行情内，普适性未证。</w:t>
      </w:r>
    </w:p>
    <w:p w14:paraId="45F721E3">
      <w:pPr>
        <w:pStyle w:val="14"/>
        <w:numPr>
          <w:ilvl w:val="0"/>
          <w:numId w:val="17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walk-forward 流程不显著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>p = 0.3394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</w:p>
    <w:p w14:paraId="1E111D3B">
      <w:pPr>
        <w:pStyle w:val="14"/>
        <w:numPr>
          <w:ilvl w:val="0"/>
          <w:numId w:val="17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因子动量集中在近段与震荡市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（牛熊均不显著）。</w:t>
      </w:r>
    </w:p>
    <w:p w14:paraId="55DCFD9D">
      <w:pPr>
        <w:pStyle w:val="14"/>
        <w:numPr>
          <w:ilvl w:val="0"/>
          <w:numId w:val="17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无因子通过 BH-FDR 校正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（主族最小</w:t>
      </w:r>
      <w:r>
        <w:rPr>
          <w:rFonts w:ascii="微软雅黑" w:hAnsi="微软雅黑"/>
          <w:color w:val="212121"/>
          <w:sz w:val="21"/>
        </w:rPr>
        <w:t xml:space="preserve"> q = 0.1452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</w:p>
    <w:p w14:paraId="08261171">
      <w:pPr>
        <w:pStyle w:val="14"/>
        <w:numPr>
          <w:ilvl w:val="0"/>
          <w:numId w:val="17"/>
        </w:numPr>
        <w:spacing w:after="38" w:line="420" w:lineRule="auto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多因子正交组合系统性稀释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F18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IC_IR = +0.286 vs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单因子</w:t>
      </w:r>
      <w:r>
        <w:rPr>
          <w:rFonts w:ascii="微软雅黑" w:hAnsi="微软雅黑"/>
          <w:color w:val="212121"/>
          <w:sz w:val="21"/>
        </w:rPr>
        <w:t xml:space="preserve"> F15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−0.452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</w:t>
      </w:r>
      <w:r>
        <w:rPr>
          <w:rFonts w:ascii="微软雅黑" w:hAnsi="微软雅黑"/>
          <w:color w:val="212121"/>
          <w:sz w:val="21"/>
        </w:rPr>
        <w:t xml:space="preserve">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不建议合成。</w:t>
      </w:r>
    </w:p>
    <w:p w14:paraId="67F586FF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6.3 引用纪律（四条必须成对出现的表述）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2410"/>
        <w:gridCol w:w="2410"/>
        <w:gridCol w:w="2410"/>
      </w:tblGrid>
      <w:tr w14:paraId="58E3B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E790D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单独引用（会误导）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shd w:val="clear" w:color="auto" w:fill="F5F7FA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15EB2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必须并列引用</w:t>
            </w:r>
          </w:p>
        </w:tc>
        <w:tc>
          <w:tcPr>
            <w:tcW w:w="2160" w:type="dxa"/>
          </w:tcPr>
          <w:p w14:paraId="463D4491"/>
        </w:tc>
        <w:tc>
          <w:tcPr>
            <w:tcW w:w="2160" w:type="dxa"/>
          </w:tcPr>
          <w:p w14:paraId="3C09DF77"/>
        </w:tc>
      </w:tr>
      <w:tr w14:paraId="6BF709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6570C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「 4  个因子  \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9D756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IC_IR\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F5402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&gt; 0.3  且样本外同向」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D00D9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「主族  BH-FDR  拒绝  0 / 8 ，最小  q = 0.1452 」</w:t>
            </w:r>
          </w:p>
        </w:tc>
      </w:tr>
      <w:tr w14:paraId="3CEDA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5DBA0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「 F15  对基准超额  +2.63% 」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1215F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「这是对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等权行业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基准；对沪深 300  动态权重基准为  +2.76% ，但对『剔除当期最大权重行业』的基准为  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−0.91%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」</w:t>
            </w:r>
          </w:p>
        </w:tc>
        <w:tc>
          <w:tcPr>
            <w:tcW w:w="2160" w:type="dxa"/>
          </w:tcPr>
          <w:p w14:paraId="1E126AB6"/>
        </w:tc>
        <w:tc>
          <w:tcPr>
            <w:tcW w:w="2160" w:type="dxa"/>
          </w:tcPr>
          <w:p w14:paraId="6D261C7C"/>
        </w:tc>
      </w:tr>
      <w:tr w14:paraId="18EAD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9FFCF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「设计期样本外  12/15  通过」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69BDF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 xml:space="preserve">「留出期是 </w:t>
            </w:r>
            <w:r>
              <w:rPr>
                <w:rFonts w:hint="eastAsia" w:ascii="微软雅黑" w:hAnsi="微软雅黑" w:eastAsia="微软雅黑"/>
                <w:b/>
                <w:sz w:val="18"/>
              </w:rPr>
              <w:t>单一行情区间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； walk-forward  流程  p = 0.3394  不显著」</w:t>
            </w:r>
          </w:p>
        </w:tc>
        <w:tc>
          <w:tcPr>
            <w:tcW w:w="2160" w:type="dxa"/>
          </w:tcPr>
          <w:p w14:paraId="1D0DC8B3"/>
        </w:tc>
        <w:tc>
          <w:tcPr>
            <w:tcW w:w="2160" w:type="dxa"/>
          </w:tcPr>
          <w:p w14:paraId="292B0F3C"/>
        </w:tc>
      </w:tr>
      <w:tr w14:paraId="1A0DC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3AD3A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「三信号共振  =  最高风险」</w:t>
            </w:r>
          </w:p>
        </w:tc>
        <w:tc>
          <w:tcPr>
            <w:tcW w:w="2160" w:type="dxa"/>
            <w:tcBorders>
              <w:top w:val="single" w:color="D9DEE5" w:sz="58" w:space="0"/>
              <w:left w:val="single" w:color="D9DEE5" w:sz="58" w:space="0"/>
              <w:bottom w:val="single" w:color="D9DEE5" w:sz="58" w:space="0"/>
              <w:right w:val="single" w:color="D9DEE5" w:sz="58" w:space="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FA046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「实证显示共振得分  3  之后  12  个月中位数  +10.04% 、负概率  14.3% （样本  21 ，功效不足）」</w:t>
            </w:r>
          </w:p>
        </w:tc>
        <w:tc>
          <w:tcPr>
            <w:tcW w:w="2160" w:type="dxa"/>
          </w:tcPr>
          <w:p w14:paraId="482DB99D"/>
        </w:tc>
        <w:tc>
          <w:tcPr>
            <w:tcW w:w="2160" w:type="dxa"/>
          </w:tcPr>
          <w:p w14:paraId="2D2E167F"/>
        </w:tc>
      </w:tr>
    </w:tbl>
    <w:p w14:paraId="6ED1EAF8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5"/>
          <w:lang w:eastAsia="zh-CN"/>
        </w:rPr>
        <w:t>6.4 一条总纲</w:t>
      </w:r>
    </w:p>
    <w:p w14:paraId="44E107D5">
      <w:pPr>
        <w:pBdr>
          <w:left w:val="single" w:color="1565C0" w:sz="28" w:space="0"/>
        </w:pBdr>
        <w:shd w:val="clear" w:color="auto" w:fill="F5F7FA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本模型的全部结论，其证据强度是"未发现显著预测力"，而不是"已证明可预测"。</w:t>
      </w:r>
    </w:p>
    <w:p w14:paraId="1DBCFC2F">
      <w:pPr>
        <w:pBdr>
          <w:left w:val="single" w:color="1565C0" w:sz="28" w:space="0"/>
        </w:pBdr>
        <w:shd w:val="clear" w:color="auto" w:fill="F5F7FA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它的正确用法是：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风险描述 + 压力测试输入 + 新增仓位的行业集中度约束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6E04573E">
      <w:pPr>
        <w:pBdr>
          <w:left w:val="single" w:color="1565C0" w:sz="28" w:space="0"/>
        </w:pBdr>
        <w:shd w:val="clear" w:color="auto" w:fill="F5F7FA"/>
        <w:spacing w:before="105" w:after="168"/>
        <w:jc w:val="left"/>
      </w:pPr>
      <w:r>
        <w:rPr>
          <w:rFonts w:ascii="微软雅黑" w:hAnsi="微软雅黑"/>
          <w:color w:val="212121"/>
          <w:sz w:val="21"/>
        </w:rPr>
        <w:t>  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它的错误用法是：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把它当作择时信号或做空依据。</w:t>
      </w:r>
    </w:p>
    <w:p w14:paraId="0BB51185">
      <w:pPr>
        <w:jc w:val="both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文档版本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v2.4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｜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数据截止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2026Q2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｜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生成日期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2026-09-30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数据来源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：用户提供工作簿（</w:t>
      </w:r>
      <w:r>
        <w:rPr>
          <w:rFonts w:hint="eastAsia" w:ascii="微软雅黑" w:hAnsi="微软雅黑" w:eastAsia="微软雅黑" w:cs="微软雅黑"/>
          <w:color w:val="1A237E"/>
          <w:sz w:val="19"/>
          <w:lang w:eastAsia="zh-CN"/>
        </w:rPr>
        <w:t>公募基金行业拥挤度与集中度数据.xlsx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</w:t>
      </w:r>
      <w:r>
        <w:rPr>
          <w:rFonts w:ascii="微软雅黑" w:hAnsi="微软雅黑"/>
          <w:color w:val="212121"/>
          <w:sz w:val="21"/>
        </w:rPr>
        <w:t xml:space="preserve">+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东方财富妙想（申万一级行业行情）</w:t>
      </w:r>
      <w:r>
        <w:rPr>
          <w:rFonts w:ascii="微软雅黑" w:hAnsi="微软雅黑"/>
          <w:color w:val="212121"/>
          <w:sz w:val="21"/>
        </w:rPr>
        <w:t xml:space="preserve">+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同花顺</w:t>
      </w:r>
      <w:r>
        <w:rPr>
          <w:rFonts w:ascii="微软雅黑" w:hAnsi="微软雅黑"/>
          <w:color w:val="212121"/>
          <w:sz w:val="21"/>
        </w:rPr>
        <w:t xml:space="preserve"> iFinD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ETF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与行业日度行情）</w:t>
      </w:r>
    </w:p>
    <w:sectPr>
      <w:footerReference r:id="rId5" w:type="default"/>
      <w:pgSz w:w="11906" w:h="16838"/>
      <w:pgMar w:top="1247" w:right="1247" w:bottom="1247" w:left="124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C5DC1">
    <w:pPr>
      <w:pStyle w:val="24"/>
      <w:tabs>
        <w:tab w:val="center" w:pos="4706"/>
        <w:tab w:val="right" w:pos="941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57" w:lineRule="auto"/>
      </w:pPr>
      <w:r>
        <w:separator/>
      </w:r>
    </w:p>
  </w:footnote>
  <w:footnote w:type="continuationSeparator" w:id="1">
    <w:p>
      <w:pPr>
        <w:spacing w:before="0" w:after="0" w:line="35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1A394A"/>
    <w:rsid w:val="28BB52B5"/>
    <w:rsid w:val="340824FC"/>
    <w:rsid w:val="379C3687"/>
    <w:rsid w:val="3B090911"/>
    <w:rsid w:val="3B47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57" w:lineRule="auto"/>
      <w:jc w:val="both"/>
    </w:pPr>
    <w:rPr>
      <w:rFonts w:ascii="微软雅黑" w:hAnsi="微软雅黑" w:eastAsia="微软雅黑" w:cstheme="minorBidi"/>
      <w:color w:val="212121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jc w:val="left"/>
      <w:outlineLvl w:val="1"/>
    </w:pPr>
    <w:rPr>
      <w:rFonts w:ascii="微软雅黑" w:hAnsi="微软雅黑" w:eastAsia="微软雅黑"/>
      <w:b/>
      <w:bCs/>
      <w:color w:val="1A237E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jc w:val="left"/>
      <w:outlineLvl w:val="2"/>
    </w:pPr>
    <w:rPr>
      <w:rFonts w:ascii="微软雅黑" w:hAnsi="微软雅黑" w:eastAsia="微软雅黑"/>
      <w:b/>
      <w:bCs/>
      <w:color w:val="1565C0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jc w:val="left"/>
      <w:outlineLvl w:val="3"/>
    </w:pPr>
    <w:rPr>
      <w:rFonts w:ascii="微软雅黑" w:hAnsi="微软雅黑" w:eastAsia="微软雅黑"/>
      <w:b/>
      <w:bCs/>
      <w:i/>
      <w:iCs/>
      <w:color w:val="1A237E"/>
      <w:sz w:val="23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2532</Words>
  <Characters>2923</Characters>
  <Lines>0</Lines>
  <Paragraphs>0</Paragraphs>
  <TotalTime>9</TotalTime>
  <ScaleCrop>false</ScaleCrop>
  <LinksUpToDate>false</LinksUpToDate>
  <CharactersWithSpaces>3273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十七</cp:lastModifiedBy>
  <dcterms:modified xsi:type="dcterms:W3CDTF">2026-09-30T08:00:23Z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eyJoZGlkIjoiOWY0Nzg3YmE2YTgwY2Q0ZDBlNjQ5OTkwMTM0MTFkZjYiLCJ1c2VySWQiOiIxNDIyNDEyNjA0In0=</vt:lpwstr>
  </property>
  <property fmtid="{D5CDD505-2E9C-101B-9397-08002B2CF9AE}" pid="3" name="KSOProductBuildVer">
    <vt:lpwstr>2052-12.1.0.28505</vt:lpwstr>
  </property>
  <property fmtid="{D5CDD505-2E9C-101B-9397-08002B2CF9AE}" pid="4" name="ICV">
    <vt:lpwstr>DF29B32080A147FD94BE03259EF1865D_12</vt:lpwstr>
  </property>
</Properties>
</file>