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2D3D"/>
          <w:sz w:val="36"/>
        </w:rPr>
        <w:t>Streamlit Community Cloud 部署说明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B7A8C"/>
          <w:sz w:val="24"/>
        </w:rPr>
        <w:t>公募基金拥挤度与集中度仪表盘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6FEB"/>
          <w:sz w:val="26"/>
        </w:rPr>
        <w:t>一、主程序与运行命令</w:t>
      </w:r>
    </w:p>
    <w:p>
      <w:r>
        <w:rPr>
          <w:rFonts w:ascii="宋体" w:hAnsi="宋体" w:eastAsia="宋体"/>
          <w:b/>
          <w:color w:val="1F2D3D"/>
          <w:sz w:val="21"/>
        </w:rPr>
        <w:t>主程序文件：</w:t>
      </w:r>
      <w:r>
        <w:rPr>
          <w:rFonts w:ascii="宋体" w:hAnsi="宋体" w:eastAsia="宋体"/>
          <w:b w:val="0"/>
          <w:color w:val="37485C"/>
          <w:sz w:val="21"/>
        </w:rPr>
        <w:t>app.py（位于项目根目录）</w:t>
      </w:r>
    </w:p>
    <w:p>
      <w:r>
        <w:rPr>
          <w:rFonts w:ascii="宋体" w:hAnsi="宋体" w:eastAsia="宋体"/>
          <w:b/>
          <w:color w:val="1F2D3D"/>
          <w:sz w:val="21"/>
        </w:rPr>
        <w:t>本地运行命令：</w:t>
      </w:r>
      <w:r>
        <w:rPr>
          <w:rFonts w:ascii="宋体" w:hAnsi="宋体" w:eastAsia="宋体"/>
          <w:b w:val="0"/>
          <w:color w:val="37485C"/>
          <w:sz w:val="21"/>
        </w:rPr>
        <w:t>streamlit run app.py</w:t>
      </w:r>
    </w:p>
    <w:p>
      <w:r>
        <w:rPr>
          <w:rFonts w:ascii="宋体" w:hAnsi="宋体" w:eastAsia="宋体"/>
          <w:b/>
          <w:color w:val="1F2D3D"/>
          <w:sz w:val="21"/>
        </w:rPr>
        <w:t>Python 版本：</w:t>
      </w:r>
      <w:r>
        <w:rPr>
          <w:rFonts w:ascii="宋体" w:hAnsi="宋体" w:eastAsia="宋体"/>
          <w:b w:val="0"/>
          <w:color w:val="37485C"/>
          <w:sz w:val="21"/>
        </w:rPr>
        <w:t>3.13（本地已验证；3.10+ 均可）</w:t>
      </w:r>
    </w:p>
    <w:p>
      <w:r>
        <w:rPr>
          <w:rFonts w:ascii="宋体" w:hAnsi="宋体" w:eastAsia="宋体"/>
          <w:b/>
          <w:color w:val="1F2D3D"/>
          <w:sz w:val="21"/>
        </w:rPr>
        <w:t>端口：</w:t>
      </w:r>
      <w:r>
        <w:rPr>
          <w:rFonts w:ascii="宋体" w:hAnsi="宋体" w:eastAsia="宋体"/>
          <w:b w:val="0"/>
          <w:color w:val="37485C"/>
          <w:sz w:val="21"/>
        </w:rPr>
        <w:t>默认 8501（本地可用 --server.port 指定）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6FEB"/>
          <w:sz w:val="26"/>
        </w:rPr>
        <w:t>二、项目结构（上传到云端的最小集合）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app.py            —— Streamlit 主入口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src/              —— 14 个 Python 模块（config / data_loader / factor_engine 等）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data/             —— 数据文件（raw 原始 xlsx、cache 季度 JSON、wind_raw 溯源、processed）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output/           —— 运行所需的 ic_report.xlsx、data_provenance.csv（其余日志/截图已在 .gitignore 忽略）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requirements.txt  —— 依赖清单（已按本地真实版本固定）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.gitignore        —— 忽略缓存/虚拟环境/secrets/临时文件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6FEB"/>
          <w:sz w:val="26"/>
        </w:rPr>
        <w:t>三、数据文件说明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行业配置 / 超配 / 沪深300权重 / 行业涨跌幅 / 成交额：data/raw/*.xlsx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季度持仓 / 基准权重 / 收益 / 成交额（Wind 实测）：data/cache/*.json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偏股混合超配长历史（36 期）：data/wind_raw/holdings_v2/eq_series.json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ETF 资金流（快层）：data/raw/etf_flow_daily.xlsx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数据来源登记表：output/data_provenance.csv；综合判断 RankIC 证据：output/ic_report.xlsx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6FEB"/>
          <w:sz w:val="26"/>
        </w:rPr>
        <w:t>四、注意事项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应用完全离线：只读本地文件，无数据库 / 无 localhost 接口依赖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无需配置 Secrets：代码中无硬编码密钥；若未来接入外部数据源，用 st.secrets 读取并在云端 Secrets 填写</w:t>
      </w:r>
    </w:p>
    <w:p>
      <w:pPr>
        <w:spacing w:after="20"/>
      </w:pPr>
      <w:r>
        <w:rPr>
          <w:rFonts w:ascii="宋体" w:hAnsi="宋体" w:eastAsia="宋体"/>
          <w:b w:val="0"/>
          <w:color w:val="37485C"/>
          <w:sz w:val="20"/>
        </w:rPr>
        <w:t>• 首次加载较重：load_backtest 会实时计算 IC/分层/稳健性检验，约需数分钟，属正常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