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6FEB"/>
          <w:sz w:val="24"/>
        </w:rPr>
        <w:t>公募基金持仓研究</w:t>
      </w:r>
    </w:p>
    <w:p>
      <w:pPr>
        <w:jc w:val="center"/>
      </w:pPr>
      <w:r>
        <w:rPr>
          <w:rFonts w:ascii="微软雅黑" w:hAnsi="微软雅黑" w:eastAsia="微软雅黑"/>
          <w:b/>
          <w:color w:val="1F2D3D"/>
          <w:sz w:val="52"/>
        </w:rPr>
        <w:t>行业拥挤度与集中度分析报告</w:t>
      </w:r>
    </w:p>
    <w:p>
      <w:pPr>
        <w:jc w:val="center"/>
      </w:pPr>
      <w:r>
        <w:rPr>
          <w:rFonts w:ascii="微软雅黑" w:hAnsi="微软雅黑" w:eastAsia="微软雅黑"/>
          <w:color w:val="6B7A8C"/>
          <w:sz w:val="26"/>
        </w:rPr>
        <w:t>2026 年三季度 · 数据截至 2026 年 9 月 30 日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814"/>
            <w:shd w:val="clear" w:fill="F2F5F8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color w:val="1F6FEB"/>
                <w:sz w:val="18"/>
              </w:rPr>
              <w:t>样本范围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4,270 只主动权益基金（普通股票型 + 偏股混合 + 灵活配置，已剔主题基金）</w:t>
            </w:r>
          </w:p>
        </w:tc>
      </w:tr>
      <w:tr>
        <w:tc>
          <w:tcPr>
            <w:tcW w:type="dxa" w:w="1814"/>
            <w:shd w:val="clear" w:fill="F2F5F8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color w:val="1F6FEB"/>
                <w:sz w:val="18"/>
              </w:rPr>
              <w:t>行业分类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申万一级 31 个行业</w:t>
            </w:r>
          </w:p>
        </w:tc>
      </w:tr>
      <w:tr>
        <w:tc>
          <w:tcPr>
            <w:tcW w:type="dxa" w:w="1814"/>
            <w:shd w:val="clear" w:fill="F2F5F8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color w:val="1F6FEB"/>
                <w:sz w:val="18"/>
              </w:rPr>
              <w:t>数据来源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东方财富基金定期报告（季报前十大、半年报全持仓）；申万行业指数日行情</w:t>
            </w:r>
          </w:p>
        </w:tc>
      </w:tr>
      <w:tr>
        <w:tc>
          <w:tcPr>
            <w:tcW w:type="dxa" w:w="1814"/>
            <w:shd w:val="clear" w:fill="F2F5F8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color w:val="1F6FEB"/>
                <w:sz w:val="18"/>
              </w:rPr>
              <w:t>口径说明</w:t>
            </w:r>
          </w:p>
        </w:tc>
        <w:tc>
          <w:tcPr>
            <w:tcW w:type="dxa" w:w="4706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配置/广度/分位为前十大口径（2026Q2→2026Q3）；主动/被动为全持仓（2025Q4→2026Q2）</w:t>
            </w:r>
          </w:p>
        </w:tc>
      </w:tr>
    </w:tbl>
    <w:p/>
    <w:p/>
    <w:p/>
    <w:p>
      <w:pPr>
        <w:jc w:val="center"/>
      </w:pPr>
      <w:r>
        <w:rPr>
          <w:rFonts w:ascii="宋体" w:hAnsi="宋体" w:eastAsia="宋体"/>
          <w:color w:val="6B7A8C"/>
          <w:sz w:val="17"/>
        </w:rPr>
        <w:t>本报告由持仓数据自动生成，所有指标可用原始披露复算。</w:t>
        <w:br/>
        <w:t>报告为数据描述与规则输出，不构成投资建议。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摘要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本报告基于 2026Q3 全部 4,270 只主动权益基金的前十大重仓披露，从「押得多重（配置）、价格多贵（指数）、钱还在不在进（资金）」三个维度，给出 31 个申万一级行业的拥挤度评分（CSI），并拆解本季度的行业轮动与个股换手。核心结论如下。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总仓位停在 89.0%（15 个半年报期第 87 分位），较上期 -0.04pp，42% 的基金加仓。整体没有增量资金，行业配置的变化是内部换仓。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行业集中度 HHI 为 0.0982（31 期中第 97 分位），前三大行业合计 42.7%。集中度处于历史高位，组合对少数行业的依赖度高于过去多数时点。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最拥挤的三个行业是 煤炭（88）、石油石化（85）、综合（83）；最冷门的是 美容护理（3）、食品饮料（22）、钢铁（22）。31 个行业中极度拥挤 3 个、拥挤 7 个、冷门 5 个。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拥挤度上升最快的是 银行（+44）、石油石化（+38）、医药生物（+32）；回落最快的是 建筑材料（-59）、美容护理（-30）、电子（-29）。「水位已高且仍在涨」比「水位高但在退潮」更值得警惕。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按事前固定的规则，本期可以跟的行业 3 个（医药生物、公用事业、房地产），别追高 3 个（银行、煤炭、石油石化），要回避 6 个（通信、非银金融、建筑材料、机械设备、电力设备、电子）。权益仓位参考 50%–60%。</w:t>
      </w:r>
    </w:p>
    <w:p>
      <w:pPr>
        <w:spacing w:before="20" w:after="160" w:line="324" w:lineRule="auto"/>
      </w:pPr>
      <w:r>
        <w:rPr>
          <w:rFonts w:ascii="宋体" w:hAnsi="宋体" w:eastAsia="宋体"/>
          <w:color w:val="6B7A8C"/>
          <w:sz w:val="16"/>
        </w:rPr>
        <w:t>说明：本报告的「可以跟」指资金在进、多数基金在加、价格不在历史极值，是赔率与风险的组合判断，不是收益预测。因子检验显示季报指标对次季收益没有稳定预测力。</w:t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一、数据与方法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1.1 样本与三套口径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样本为 2026Q3 有完整持仓披露的主动权益基金 4,270 只。指数基金、ETF 联接的持仓是复制标的，债券与 QDII 不投 A 股，均不计入——否则被动资金会被误读成「机构观点」。单行业占前十大超过 80% 的主题基金也已剔除，其变动反映主题申赎而非行业判断。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持仓数据存在三套互不通用的口径，本报告严格区分：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口径</w:t>
            </w:r>
          </w:p>
        </w:tc>
        <w:tc>
          <w:tcPr>
            <w:tcW w:type="dxa" w:w="147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频率</w:t>
            </w:r>
          </w:p>
        </w:tc>
        <w:tc>
          <w:tcPr>
            <w:tcW w:type="dxa" w:w="2608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权重定义</w:t>
            </w:r>
          </w:p>
        </w:tc>
        <w:tc>
          <w:tcPr>
            <w:tcW w:type="dxa" w:w="238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回答什么</w:t>
            </w:r>
          </w:p>
        </w:tc>
        <w:tc>
          <w:tcPr>
            <w:tcW w:type="dxa" w:w="2268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不能回答什么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 全持仓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半年报（Q2/Q4）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占净值比，之和＝股票仓位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配置水平、超配低配、主动/被动分解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一年只有两次</w:t>
            </w:r>
          </w:p>
        </w:tc>
      </w:tr>
      <w:tr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 前十大</w:t>
            </w:r>
          </w:p>
        </w:tc>
        <w:tc>
          <w:tcPr>
            <w:tcW w:type="dxa" w:w="147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季报（Q1–Q4）</w:t>
            </w:r>
          </w:p>
        </w:tc>
        <w:tc>
          <w:tcPr>
            <w:tcW w:type="dxa" w:w="2608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每只基金取前 10 只后归一化到 100%</w:t>
            </w:r>
          </w:p>
        </w:tc>
        <w:tc>
          <w:tcPr>
            <w:tcW w:type="dxa" w:w="238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加仓广度、环比/同比、历史分位</w:t>
            </w:r>
          </w:p>
        </w:tc>
        <w:tc>
          <w:tcPr>
            <w:tcW w:type="dxa" w:w="2268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只覆盖组合一部分，绝对水平不可用</w:t>
            </w:r>
          </w:p>
        </w:tc>
      </w:tr>
      <w:tr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 个股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同披露类型两期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持有基金数、持股数、持仓市值</w:t>
            </w:r>
          </w:p>
        </w:tc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谁被建仓、谁被移出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跌出前十不等于清仓</w:t>
            </w:r>
          </w:p>
        </w:tc>
      </w:tr>
    </w:tbl>
    <w:p>
      <w:pPr>
        <w:spacing w:before="20" w:after="160" w:line="324" w:lineRule="auto"/>
      </w:pPr>
      <w:r>
        <w:rPr>
          <w:rFonts w:ascii="宋体" w:hAnsi="宋体" w:eastAsia="宋体"/>
          <w:color w:val="6B7A8C"/>
          <w:sz w:val="16"/>
        </w:rPr>
        <w:t>三套口径的分母与披露范围都不同，不能相加，也不能跨口径比较绝对水平。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1.2 拥挤度指数 CSI 的定义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CSI 把三个相互独立的维度各自换算为 0–100 的分位后等权平均：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配置分位：该行业前十大配置在自身 31 期历史中的排名——机构押得多重；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价格分位：行业指数季末点位在 2019 年以来交易日中的排名——价格有多贵；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1"/>
        </w:rPr>
        <w:t>资金分位：当期加仓占比在 31 个行业之间的排名——钱还在不在进。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等权而非加权，是因为三个维度已统一为分位、量纲一致；31 个行业 × 31 期的样本量不足以稳定估计权重，任何加权都容易过拟合。分级阈值为：≥80 极度拥挤、65–80 拥挤、45–65 中性、25–45 偏冷、&lt;25 冷门。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为什么不用 HHI：HHI＝Σw²，是**一个组合**的集中度，31 个行业最终压成一个标量，只能回答「整体分散不分散」，无法给行业排序；本报告要回答「哪个行业挤」，主指标只能是行业层面的 CSI。HHI 作为组合层面的辅助指标保留在第二章。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1.3 数据质量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覆盖率（持仓市值 ÷ 净值）异常的记录（&gt;105% 或 &lt;1%）整只剔除，不做归一化；个股代码统一为字符串，港股 5 位代码不补零（避免与 A 股撞码）。报告全部指标由 canon 统一口径层计算，12 条恒等式自检（归一化、广度分母、价格中性净额之和、GK 恒等式、分位区间、个股一致性等）全部通过。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二、总体仓位与集中度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181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1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color w:val="6B7A8C"/>
          <w:sz w:val="17"/>
        </w:rPr>
        <w:t>图 1　股票仓位中位数：15 个半年报期（阴影为 25–75 分位带）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最新全持仓期（2026Q2）股票仓位中位 89.05%，较 2025Q4 的 89.08% 变化 -0.04pp，位于 15 个半年报期的第 87 分位。42% 的基金加仓、58% 减仓。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需要说明期次：最新季报是 2026Q3，但季报只披露前十大（覆盖净值约 20%–50%），无法据此还原股票仓位；完整仓位只在半年报（Q2/Q4）可见。因此本节用的是最近一个全持仓期 2026Q2，与最新季报 2026Q3 相差一个季度——这不是数据滞后，而是披露制度决定的：季报没有全量持仓，就不存在「Q3 的股票仓位」这个数。后文的行业配置、广度、拥挤度均已更新到 2026Q3。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这条数据决定了全篇的读法：既然总仓位没有变化，行业配置的此消彼长就只能来自内部换仓。因此看到某行业占比上升，可以读成「机构更看好它」，而不必担心是「大盘上涨、水涨船高」。反过来，仓位已在 87 分位的高位，指望「全体加仓推动普涨」并不现实。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2.1 集中度指标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7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2608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备注</w:t>
            </w:r>
          </w:p>
        </w:tc>
        <w:tc>
          <w:tcPr>
            <w:tcW w:type="dxa" w:w="3402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行业集中度 HHI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0.0982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 97 分位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Σ(行业占比)²；越大越集中在少数行业</w:t>
            </w:r>
          </w:p>
        </w:tc>
      </w:tr>
      <w:tr>
        <w:tc>
          <w:tcPr>
            <w:tcW w:type="dxa" w:w="238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前三大行业合计 CR3</w:t>
            </w:r>
          </w:p>
        </w:tc>
        <w:tc>
          <w:tcPr>
            <w:tcW w:type="dxa" w:w="147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42.7%</w:t>
            </w:r>
          </w:p>
        </w:tc>
        <w:tc>
          <w:tcPr>
            <w:tcW w:type="dxa" w:w="2608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电子、通信、电力设备</w:t>
            </w:r>
          </w:p>
        </w:tc>
        <w:tc>
          <w:tcPr>
            <w:tcW w:type="dxa" w:w="3402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前三大行业占前十大组合的比重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配置最高行业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24.65%</w:t>
            </w:r>
          </w:p>
        </w:tc>
        <w:tc>
          <w:tcPr>
            <w:tcW w:type="dxa" w:w="260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电子</w:t>
            </w:r>
          </w:p>
        </w:tc>
        <w:tc>
          <w:tcPr>
            <w:tcW w:type="dxa" w:w="34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前十大口径，等权平均</w:t>
            </w:r>
          </w:p>
        </w:tc>
      </w:tr>
    </w:tbl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HHI 0.0982 处于 31 期的第 97 分位，说明主动权益基金整体的行业分布比过去多数时点更集中。集中度本身不区分方向：它只说明组合对少数行业的依赖度上升，一旦这些行业出现回调，净值波动会被放大。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三、拥挤度全景：31 个行业谁最挤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2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2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color w:val="6B7A8C"/>
          <w:sz w:val="17"/>
        </w:rPr>
        <w:t>图 2　31 个行业拥挤度指数 CSI（2026Q3）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行业数</w:t>
            </w:r>
          </w:p>
        </w:tc>
        <w:tc>
          <w:tcPr>
            <w:tcW w:type="dxa" w:w="6803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行业（前 6 个）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极度拥挤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680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煤炭、石油石化、综合</w:t>
            </w:r>
          </w:p>
        </w:tc>
      </w:tr>
      <w:tr>
        <w:tc>
          <w:tcPr>
            <w:tcW w:type="dxa" w:w="170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拥挤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6803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银行、公用事业、通信、有色金属、电子、机械设备…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中性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680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基础化工、医药生物、轻工制造、汽车、环保、家用电器…</w:t>
            </w:r>
          </w:p>
        </w:tc>
      </w:tr>
      <w:tr>
        <w:tc>
          <w:tcPr>
            <w:tcW w:type="dxa" w:w="170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偏冷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6803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房地产、农林牧渔、交通运输、商贸零售、建筑材料、传媒…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冷门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680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社会服务、非银金融、钢铁、食品饮料、美容护理</w:t>
            </w:r>
          </w:p>
        </w:tc>
      </w:tr>
    </w:tbl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最拥挤的是 煤炭（CSI 88）、石油石化（CSI 85）、综合（CSI 83）。其中煤炭、石油石化的价格分位都在 90 以上，属于「机构重仓 + 价格在历史高位」；综合虽然 CSI 高，但全市场只有几十只基金持有、前十配置不足 0.5%，属于小样本，分位噪音大，本报告在明细表中以「†」标注。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最冷门的是 美容护理（CSI 3）、食品饮料（CSI 22）、钢铁（CSI 22）。冷门不等于机会：它只说明当前没有资金关注，需要等「加仓占比回升 + 净额转正」两个信号同时出现，才构成关注理由。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3.1 小样本行业的处理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全市场持有基金数少于 150 只、或前十配置低于 0.5% 的行业标记为「小样本」。这类行业的分位与 CSI 参考价值有限：几十只基金的调仓就足以把分位推到极值，但对整个组合的影响微乎其微。本期小样本行业为：综合、环保、社会服务、钢铁、美容护理。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四、拥挤度变化：谁在变挤、谁在变松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40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0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color w:val="6B7A8C"/>
          <w:sz w:val="17"/>
        </w:rPr>
        <w:t>图 3　ΔCSI＝本期 − 上期（2026Q2→2026Q3），红＝变挤、绿＝变松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水位（CSI）说明现在挤不挤，水流（ΔCSI）说明正在往哪个方向走。两者必须一起看：水位高但正在放水，危险程度远低于「水位高且还在涨」。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本期变挤最快的是 银行（35→78，+44）、石油石化（47→85，+38）、医药生物（24→56，+32）；变松最快的是 建筑材料（89→30，-59）、美容护理（33→3，-30）、电子（100→71，-29）。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最需要警惕的是「水位 ≥80 且 ΔCSI&gt;0」的行业，本期有 3 个：石油石化、综合、煤炭。这些行业既在历史高位、资金又还在往里挤，边际买家正在耗尽。相反，已经变松的高水位行业不必急着卖——资金正在自己退潮。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五、配置 × 价格：四象限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6000" cy="3969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969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color w:val="6B7A8C"/>
          <w:sz w:val="17"/>
        </w:rPr>
        <w:t>图 4　配置分位 × 价格分位（气泡大小＝前十配置比例）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象限</w:t>
            </w:r>
          </w:p>
        </w:tc>
        <w:tc>
          <w:tcPr>
            <w:tcW w:type="dxa" w:w="113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行业数</w:t>
            </w:r>
          </w:p>
        </w:tc>
        <w:tc>
          <w:tcPr>
            <w:tcW w:type="dxa" w:w="4309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代表行业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右上　真拥挤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430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机构重仓且价格在历史高位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煤炭、电子、通信、石油石化</w:t>
            </w:r>
          </w:p>
        </w:tc>
      </w:tr>
      <w:tr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右下　抱团没赚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4309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仓位重但价格还在低位，要么机会要么判断错</w:t>
            </w:r>
          </w:p>
        </w:tc>
        <w:tc>
          <w:tcPr>
            <w:tcW w:type="dxa" w:w="2835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纺织服饰、轻工制造、环保</w:t>
            </w:r>
          </w:p>
        </w:tc>
      </w:tr>
      <w:tr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左上　机构踏空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430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价格涨了但仓位没跟上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家用电器、公用事业、电力设备</w:t>
            </w:r>
          </w:p>
        </w:tc>
      </w:tr>
      <w:tr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左下　冷门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4309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仓位轻、价格低，无资金关注</w:t>
            </w:r>
          </w:p>
        </w:tc>
        <w:tc>
          <w:tcPr>
            <w:tcW w:type="dxa" w:w="2835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农林牧渔、钢铁、食品饮料</w:t>
            </w:r>
          </w:p>
        </w:tc>
      </w:tr>
    </w:tbl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只看配置分位会高估小行业的拥挤、低估大行业的风险；只看价格分位会把「一直很重」当成「现在才拥挤」。两个分位一起看，才知道该减谁、该等谁。右上角是真拥挤——买它等于在拥挤处接棒；右下角是「闷在里面」的，不用急着卖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六、行业配置变化与个股换手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6.1 行业环比与同比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36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行业</w:t>
            </w:r>
          </w:p>
        </w:tc>
        <w:tc>
          <w:tcPr>
            <w:tcW w:type="dxa" w:w="113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前十配置%</w:t>
            </w:r>
          </w:p>
        </w:tc>
        <w:tc>
          <w:tcPr>
            <w:tcW w:type="dxa" w:w="141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环比pp(2026Q2→2026Q3)</w:t>
            </w:r>
          </w:p>
        </w:tc>
        <w:tc>
          <w:tcPr>
            <w:tcW w:type="dxa" w:w="141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同比pp(2025Q3→2026Q3)</w:t>
            </w:r>
          </w:p>
        </w:tc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当期主动pp</w:t>
            </w:r>
          </w:p>
        </w:tc>
        <w:tc>
          <w:tcPr>
            <w:tcW w:type="dxa" w:w="119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加仓占比%</w:t>
            </w:r>
          </w:p>
        </w:tc>
        <w:tc>
          <w:tcPr>
            <w:tcW w:type="dxa" w:w="1020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配置分位</w:t>
            </w:r>
          </w:p>
        </w:tc>
        <w:tc>
          <w:tcPr>
            <w:tcW w:type="dxa" w:w="1020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价格分位</w:t>
            </w:r>
          </w:p>
        </w:tc>
        <w:tc>
          <w:tcPr>
            <w:tcW w:type="dxa" w:w="113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动作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农林牧渔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1.35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-0.18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58.5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35.48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13.5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等确认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基础化工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3.83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-0.03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-0.02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51.9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74.19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66.3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中性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钢铁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0.34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-0.06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-0.24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-0.07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37.9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29.03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28.0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中性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有色金属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4.84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0.53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-2.74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0.37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56.9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64.52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88.5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观察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电子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24.65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-4.94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4.17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-2.54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43.6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96.77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94.7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要回避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汽车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4.77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-2.57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-0.05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47.6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61.29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67.3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中性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家用电器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2.62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-0.51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53.0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32.26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63.8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中性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食品饮料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3.88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0.46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-0.15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53.4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6.45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7.4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等确认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纺织服饰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54.8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67.74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13.9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中性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轻工制造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1.16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0.05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0.14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59.4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67.74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20.8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等确认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医药生物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6.22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2.86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1.36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2.17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67.0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35.48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36.8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可以跟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公用事业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1.36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0.55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0.54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0.52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66.3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48.39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81.5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可以跟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交通运输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1.96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0.44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59.1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29.03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14.5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等确认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房地产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0.67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0.29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-0.19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0.32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74.3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12.9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12.9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可以跟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商贸零售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0.53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0.13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-0.26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57.1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25.81</w:t>
            </w:r>
          </w:p>
        </w:tc>
        <w:tc>
          <w:tcPr>
            <w:tcW w:type="dxa" w:w="102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7.3</w:t>
            </w:r>
          </w:p>
        </w:tc>
        <w:tc>
          <w:tcPr>
            <w:tcW w:type="dxa" w:w="113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中性</w:t>
            </w:r>
          </w:p>
        </w:tc>
      </w:tr>
      <w:tr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社会服务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0.38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0.04</w:t>
            </w:r>
          </w:p>
        </w:tc>
        <w:tc>
          <w:tcPr>
            <w:tcW w:type="dxa" w:w="141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0.07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-0.0</w:t>
            </w:r>
          </w:p>
        </w:tc>
        <w:tc>
          <w:tcPr>
            <w:tcW w:type="dxa" w:w="119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48.9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9.68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25.4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中性</w:t>
            </w:r>
          </w:p>
        </w:tc>
      </w:tr>
    </w:tbl>
    <w:p>
      <w:pPr>
        <w:spacing w:before="20" w:after="160" w:line="324" w:lineRule="auto"/>
      </w:pPr>
      <w:r>
        <w:rPr>
          <w:rFonts w:ascii="宋体" w:hAnsi="宋体" w:eastAsia="宋体"/>
          <w:color w:val="6B7A8C"/>
          <w:sz w:val="16"/>
        </w:rPr>
        <w:t>按环比降序前 16 个行业；完整 31 行见附录。环比含价格漂移，「当期主动pp」为价格中性后的净买卖，两者不可混用。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6.2 个股：环比与同比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90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47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136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158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2026Q2持有基金数</w:t>
            </w:r>
          </w:p>
        </w:tc>
        <w:tc>
          <w:tcPr>
            <w:tcW w:type="dxa" w:w="158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2026Q3持有基金数</w:t>
            </w:r>
          </w:p>
        </w:tc>
        <w:tc>
          <w:tcPr>
            <w:tcW w:type="dxa" w:w="1020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环比Δ</w:t>
            </w:r>
          </w:p>
        </w:tc>
        <w:tc>
          <w:tcPr>
            <w:tcW w:type="dxa" w:w="170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同比Δ(2025Q3→2026Q3)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加仓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长鑫科技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电子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667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667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667</w:t>
            </w:r>
          </w:p>
        </w:tc>
      </w:tr>
      <w:tr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加仓</w:t>
            </w:r>
          </w:p>
        </w:tc>
        <w:tc>
          <w:tcPr>
            <w:tcW w:type="dxa" w:w="147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药明康德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医药生物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323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744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421</w:t>
            </w:r>
          </w:p>
        </w:tc>
        <w:tc>
          <w:tcPr>
            <w:tcW w:type="dxa" w:w="170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528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加仓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紫金矿业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有色金属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322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546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-182</w:t>
            </w:r>
          </w:p>
        </w:tc>
      </w:tr>
      <w:tr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加仓</w:t>
            </w:r>
          </w:p>
        </w:tc>
        <w:tc>
          <w:tcPr>
            <w:tcW w:type="dxa" w:w="147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松发股份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国防军工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163</w:t>
            </w:r>
          </w:p>
        </w:tc>
        <w:tc>
          <w:tcPr>
            <w:tcW w:type="dxa" w:w="170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202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加仓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天孚通信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通信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354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177</w:t>
            </w:r>
          </w:p>
        </w:tc>
      </w:tr>
      <w:tr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减仓</w:t>
            </w:r>
          </w:p>
        </w:tc>
        <w:tc>
          <w:tcPr>
            <w:tcW w:type="dxa" w:w="147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兆易创新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电子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583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164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-419</w:t>
            </w:r>
          </w:p>
        </w:tc>
        <w:tc>
          <w:tcPr>
            <w:tcW w:type="dxa" w:w="170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-167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减仓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海光信息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电子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437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211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-226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-30</w:t>
            </w:r>
          </w:p>
        </w:tc>
      </w:tr>
      <w:tr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减仓</w:t>
            </w:r>
          </w:p>
        </w:tc>
        <w:tc>
          <w:tcPr>
            <w:tcW w:type="dxa" w:w="147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宁德时代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电力设备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1041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826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-215</w:t>
            </w:r>
          </w:p>
        </w:tc>
        <w:tc>
          <w:tcPr>
            <w:tcW w:type="dxa" w:w="170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-286</w:t>
            </w:r>
          </w:p>
        </w:tc>
      </w:tr>
      <w:tr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减仓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中国巨石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建筑材料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287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72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-215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</w:t>
            </w:r>
          </w:p>
        </w:tc>
      </w:tr>
      <w:tr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减仓</w:t>
            </w:r>
          </w:p>
        </w:tc>
        <w:tc>
          <w:tcPr>
            <w:tcW w:type="dxa" w:w="147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中际旭创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通信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1528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1335</w:t>
            </w:r>
          </w:p>
        </w:tc>
        <w:tc>
          <w:tcPr>
            <w:tcW w:type="dxa" w:w="1020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-193</w:t>
            </w:r>
          </w:p>
        </w:tc>
        <w:tc>
          <w:tcPr>
            <w:tcW w:type="dxa" w:w="1701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650</w:t>
            </w:r>
          </w:p>
        </w:tc>
      </w:tr>
    </w:tbl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环比与同比经常相反。本期最典型的是中际旭创：环比 −193 家（这一季在撤），同比 +650 家（这一年被大幅加进来）——浮盈盘刚开始离场，这类最需要警惕。相反，紫金矿业环比 +224、同比 −182，是「这一年被减、这一季又被买回」，属于逆势承接，方向尚未确认。</w:t>
      </w:r>
    </w:p>
    <w:p>
      <w:pPr>
        <w:spacing w:before="20" w:after="160" w:line="324" w:lineRule="auto"/>
      </w:pPr>
      <w:r>
        <w:rPr>
          <w:rFonts w:ascii="宋体" w:hAnsi="宋体" w:eastAsia="宋体"/>
          <w:color w:val="6B7A8C"/>
          <w:sz w:val="16"/>
        </w:rPr>
        <w:t>口径：前十大（两期都只取每只基金最重的 10 只），披露范围一致才可比；已剔除两期持有基金数都不到 10 家的小样本。跌出前十不等于清仓。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七、投资含义与操作建议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规则事前固定、不看结果调参：可以跟＝当期主动≥+0.3pp 且 广度≥60% 且 配置分位≤80 且 价格分位≤85；别追高＝位置到极值但资金还在进；要回避＝资金在撤且没人接，或配置分位≥90 且广度≤50。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181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行业</w:t>
            </w:r>
          </w:p>
        </w:tc>
        <w:tc>
          <w:tcPr>
            <w:tcW w:type="dxa" w:w="90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强度</w:t>
            </w:r>
          </w:p>
        </w:tc>
        <w:tc>
          <w:tcPr>
            <w:tcW w:type="dxa" w:w="136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当期主动pp</w:t>
            </w:r>
          </w:p>
        </w:tc>
        <w:tc>
          <w:tcPr>
            <w:tcW w:type="dxa" w:w="1361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加仓占比%</w:t>
            </w:r>
          </w:p>
        </w:tc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配置分位</w:t>
            </w:r>
          </w:p>
        </w:tc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价格分位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可以跟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医药生物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强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+2.17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67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可以跟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公用事业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+0.52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66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82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可以跟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房地产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+0.32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别追高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银行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强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+1.16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94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别追高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煤炭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+0.35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64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81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97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别追高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石油石化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+0.25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87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94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要回避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通信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-0.41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46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97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94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要回避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非银金融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-0.54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要回避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建筑材料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-0.77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49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要回避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机械设备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-1.02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94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90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要回避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电力设备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-1.40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54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要回避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电子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强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-2.54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95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观察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国防军工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+0.59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62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72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观察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有色金属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+0.37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88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等确认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农林牧渔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+0.29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58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等确认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交通运输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+0.28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等确认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食品饮料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+0.20</w:t>
            </w:r>
          </w:p>
        </w:tc>
        <w:tc>
          <w:tcPr>
            <w:tcW w:type="dxa" w:w="1361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53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</w:tr>
      <w:tr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等确认</w:t>
            </w:r>
          </w:p>
        </w:tc>
        <w:tc>
          <w:tcPr>
            <w:tcW w:type="dxa" w:w="181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轻工制造</w:t>
            </w:r>
          </w:p>
        </w:tc>
        <w:tc>
          <w:tcPr>
            <w:tcW w:type="dxa" w:w="90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弱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+0.14</w:t>
            </w:r>
          </w:p>
        </w:tc>
        <w:tc>
          <w:tcPr>
            <w:tcW w:type="dxa" w:w="1361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68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</w:tr>
    </w:tbl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总仓位建议 50%–60%。仓位分位 87 已属历史高位，后续增量资金有限；离散度中位 22.7，行业之间分歧不小，仓位不宜打满。买入按三批建仓，单行业不超过权益仓位的 15%；「别追高」的行业已持有可以拿住，但不加仓。</w:t>
      </w:r>
    </w:p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需要强调：这套规则筛的是「赔率与风险的组合」，不是收益预测。因子检验显示，9 个季报因子在 29 期样本上没有一个是正向可用的，加仓广度甚至是反向的（IC −0.041，p=0.058）。它的价值在于避免在拥挤处接棒、避免在撤离处抄底，而不是抓涨幅。</w:t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八、稳健性与局限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8.1 阈值敏感性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3628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可以跟</w:t>
            </w:r>
          </w:p>
        </w:tc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要回避</w:t>
            </w:r>
          </w:p>
        </w:tc>
        <w:tc>
          <w:tcPr>
            <w:tcW w:type="dxa" w:w="158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与基准重合</w:t>
            </w:r>
          </w:p>
        </w:tc>
        <w:tc>
          <w:tcPr>
            <w:tcW w:type="dxa" w:w="124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重合率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基准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100.0</w:t>
            </w:r>
          </w:p>
        </w:tc>
      </w:tr>
      <w:tr>
        <w:tc>
          <w:tcPr>
            <w:tcW w:type="dxa" w:w="3628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跟入门槛 −20%（更宽松）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9/11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82.0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跟入门槛 +20%（更严格）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6/9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67.0</w:t>
            </w:r>
          </w:p>
        </w:tc>
      </w:tr>
      <w:tr>
        <w:tc>
          <w:tcPr>
            <w:tcW w:type="dxa" w:w="3628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回避门槛 −20%（更敏感）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58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9/9</w:t>
            </w:r>
          </w:p>
        </w:tc>
        <w:tc>
          <w:tcPr>
            <w:tcW w:type="dxa" w:w="1247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100.0</w:t>
            </w:r>
          </w:p>
        </w:tc>
      </w:tr>
      <w:tr>
        <w:tc>
          <w:tcPr>
            <w:tcW w:type="dxa" w:w="362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回避门槛 +20%（更迟钝）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4/9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44.0</w:t>
            </w:r>
          </w:p>
        </w:tc>
      </w:tr>
    </w:tbl>
    <w:p>
      <w:pPr>
        <w:spacing w:after="80" w:line="372" w:lineRule="auto"/>
        <w:ind w:firstLine="420"/>
      </w:pPr>
      <w:r>
        <w:rPr>
          <w:rFonts w:ascii="宋体" w:hAnsi="宋体" w:eastAsia="宋体"/>
          <w:color w:val="1F2D3D"/>
          <w:sz w:val="21"/>
        </w:rPr>
        <w:t>回避名单在放宽方向完全稳定、收紧方向不稳；可以跟名单在放宽方向会多出两家、严格方向会清空。这说明本期这几个「可以跟」的共识强度只是刚过 60% 这条线，不是压倒性共识——仓位应按「试探」而不是「重仓」来给。</w:t>
      </w:r>
    </w:p>
    <w:p>
      <w:pPr>
        <w:spacing w:before="120" w:after="80"/>
      </w:pPr>
      <w:r>
        <w:rPr>
          <w:rFonts w:ascii="微软雅黑" w:hAnsi="微软雅黑" w:eastAsia="微软雅黑"/>
          <w:b/>
          <w:color w:val="1F6FEB"/>
          <w:sz w:val="22"/>
        </w:rPr>
        <w:t>8.2 四条硬约束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0"/>
        </w:rPr>
        <w:t>季报只披露前十大，绝对配置水平不可用，只能算广度与变化；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0"/>
        </w:rPr>
        <w:t>数据时滞约 3–4 周（法定 15 个工作日），看到时下季度已过约 1/3；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0"/>
        </w:rPr>
        <w:t>幸存者偏差：已清盘基金不在库内，早期分位偏乐观；</w:t>
      </w:r>
    </w:p>
    <w:p>
      <w:pPr>
        <w:pStyle w:val="ListBullet"/>
        <w:spacing w:after="40" w:line="348" w:lineRule="auto"/>
      </w:pPr>
      <w:r>
        <w:rPr>
          <w:rFonts w:ascii="宋体" w:hAnsi="宋体" w:eastAsia="宋体"/>
          <w:sz w:val="20"/>
        </w:rPr>
        <w:t>只有股票，没有债券与现金，灵活配置型基金的行业占比会被系统性放大。</w:t>
      </w:r>
    </w:p>
    <w:p>
      <w:r>
        <w:br w:type="page"/>
      </w:r>
    </w:p>
    <w:p>
      <w:pPr>
        <w:spacing w:before="200" w:after="80"/>
        <w:pBdr>
          <w:bottom w:val="single" w:sz="6" w:color="1F6FEB"/>
        </w:pBdr>
      </w:pPr>
      <w:r>
        <w:rPr>
          <w:rFonts w:ascii="微软雅黑" w:hAnsi="微软雅黑" w:eastAsia="微软雅黑"/>
          <w:b/>
          <w:color w:val="1F2D3D"/>
          <w:sz w:val="26"/>
        </w:rPr>
        <w:t>附录　31 个行业完整数据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130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行业</w:t>
            </w:r>
          </w:p>
        </w:tc>
        <w:tc>
          <w:tcPr>
            <w:tcW w:type="dxa" w:w="113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前十配置%</w:t>
            </w:r>
          </w:p>
        </w:tc>
        <w:tc>
          <w:tcPr>
            <w:tcW w:type="dxa" w:w="96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环比pp</w:t>
            </w:r>
          </w:p>
        </w:tc>
        <w:tc>
          <w:tcPr>
            <w:tcW w:type="dxa" w:w="96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同比pp</w:t>
            </w:r>
          </w:p>
        </w:tc>
        <w:tc>
          <w:tcPr>
            <w:tcW w:type="dxa" w:w="113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当期主动pp</w:t>
            </w:r>
          </w:p>
        </w:tc>
        <w:tc>
          <w:tcPr>
            <w:tcW w:type="dxa" w:w="107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加仓占比%</w:t>
            </w:r>
          </w:p>
        </w:tc>
        <w:tc>
          <w:tcPr>
            <w:tcW w:type="dxa" w:w="96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配置分位</w:t>
            </w:r>
          </w:p>
        </w:tc>
        <w:tc>
          <w:tcPr>
            <w:tcW w:type="dxa" w:w="96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价格分位</w:t>
            </w:r>
          </w:p>
        </w:tc>
        <w:tc>
          <w:tcPr>
            <w:tcW w:type="dxa" w:w="737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CSI</w:t>
            </w:r>
          </w:p>
        </w:tc>
        <w:tc>
          <w:tcPr>
            <w:tcW w:type="dxa" w:w="96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等级</w:t>
            </w:r>
          </w:p>
        </w:tc>
        <w:tc>
          <w:tcPr>
            <w:tcW w:type="dxa" w:w="850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ΔCSI</w:t>
            </w:r>
          </w:p>
        </w:tc>
        <w:tc>
          <w:tcPr>
            <w:tcW w:type="dxa" w:w="794"/>
            <w:shd w:val="clear" w:fill="1F2D3D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样本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煤炭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1.51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0.47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0.87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0.36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64.5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80.64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96.6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88.1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极度拥挤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26.9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石油石化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0.41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0.98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0.25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59.3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87.1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93.9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85.1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极度拥挤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37.7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综合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0.12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-0.02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0.03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60.3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77.42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91.0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83.0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极度拥挤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30.1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小样本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银行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4.33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1.5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1.35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1.16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65.1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51.61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93.6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78.5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拥挤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43.5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公用事业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0.55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0.54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0.52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66.3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48.39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81.5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74.5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拥挤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24.3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通信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10.7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-1.0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3.41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-0.42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45.5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96.77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94.2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72.3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拥挤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-19.0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有色金属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4.84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0.53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-2.74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0.37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56.9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64.52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88.5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71.4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拥挤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16.4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电子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24.65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-4.94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4.17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-2.54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43.6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96.77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94.7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70.8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拥挤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-29.2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机械设备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5.93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-0.92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0.33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-1.02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43.6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93.55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90.1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68.2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拥挤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-25.3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国防军工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2.36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0.64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0.23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0.59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62.3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45.16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71.6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66.9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拥挤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8.6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基础化工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3.83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0.73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-0.02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51.9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74.19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66.3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61.9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中性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医药生物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6.22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2.86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1.36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2.17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67.0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35.48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36.8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56.4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中性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32.1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轻工制造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1.16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0.14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59.4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67.74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20.8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55.3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中性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17.6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汽车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4.77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-2.57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-0.05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47.6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61.29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67.3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53.6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中性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-12.3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环保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0.47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-0.01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-0.05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48.5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74.19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35.3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48.3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中性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-17.0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小样本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家用电器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2.62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-0.51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0.09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53.0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32.26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63.8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48.1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中性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-11.7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纺织服饰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0.71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0.1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0.15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0.07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54.8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67.74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13.9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45.5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中性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-6.7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房地产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0.67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0.29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-0.19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0.32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74.3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12.9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12.9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41.9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23.3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农林牧渔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1.35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0.41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-0.18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0.29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58.5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35.48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13.5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38.9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16.1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交通运输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1.96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0.44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0.34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0.28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59.1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29.03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14.5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38.2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19.6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商贸零售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0.53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-0.26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0.1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57.1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25.81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7.3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32.5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18.9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建筑材料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1.01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-0.93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0.08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-0.76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32.9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35.48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49.2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30.4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-58.9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传媒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0.7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0.06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-1.68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-0.01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46.7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9.68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48.3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29.0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8.2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电力设备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7.35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-1.52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-4.46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-1.4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41.4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19.36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54.0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28.8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-23.8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建筑装饰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0.62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-0.05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55.9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9.68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15.8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27.8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2.6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计算机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1.88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-0.94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0.01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51.0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9.68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26.9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26.2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偏冷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-21.2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社会服务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0.38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0.07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48.9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9.68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25.4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24.6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冷门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8.8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小样本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非银金融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2.19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-0.36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-0.48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-0.54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42.3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22.58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34.9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24.5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冷门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-23.0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钢铁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0.34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-0.06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-0.24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-0.07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37.9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29.03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28.0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22.2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冷门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-4.9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小样本</w:t>
            </w:r>
          </w:p>
        </w:tc>
      </w:tr>
      <w:tr>
        <w:tc>
          <w:tcPr>
            <w:tcW w:type="dxa" w:w="130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食品饮料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3.88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0.46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-0.15</w:t>
            </w:r>
          </w:p>
        </w:tc>
        <w:tc>
          <w:tcPr>
            <w:tcW w:type="dxa" w:w="113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0.2</w:t>
            </w:r>
          </w:p>
        </w:tc>
        <w:tc>
          <w:tcPr>
            <w:tcW w:type="dxa" w:w="107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53.4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6.45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7.4</w:t>
            </w:r>
          </w:p>
        </w:tc>
        <w:tc>
          <w:tcPr>
            <w:tcW w:type="dxa" w:w="737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21.8</w:t>
            </w:r>
          </w:p>
        </w:tc>
        <w:tc>
          <w:tcPr>
            <w:tcW w:type="dxa" w:w="96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冷门</w:t>
            </w:r>
          </w:p>
        </w:tc>
        <w:tc>
          <w:tcPr>
            <w:tcW w:type="dxa" w:w="850"/>
            <w:shd w:val="clear" w:fill="F7F9FB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9.7</w:t>
            </w:r>
          </w:p>
        </w:tc>
        <w:tc>
          <w:tcPr>
            <w:tcW w:type="dxa" w:w="794"/>
            <w:shd w:val="clear" w:fill="F7F9FB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正常</w:t>
            </w:r>
          </w:p>
        </w:tc>
      </w:tr>
      <w:tr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美容护理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0.13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-0.06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-0.19</w:t>
            </w:r>
          </w:p>
        </w:tc>
        <w:tc>
          <w:tcPr>
            <w:tcW w:type="dxa" w:w="113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-0.09</w:t>
            </w:r>
          </w:p>
        </w:tc>
        <w:tc>
          <w:tcPr>
            <w:tcW w:type="dxa" w:w="107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26.0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3.23</w:t>
            </w:r>
          </w:p>
        </w:tc>
        <w:tc>
          <w:tcPr>
            <w:tcW w:type="dxa" w:w="964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3.2</w:t>
            </w:r>
          </w:p>
        </w:tc>
        <w:tc>
          <w:tcPr>
            <w:tcW w:type="dxa" w:w="737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冷门</w:t>
            </w:r>
          </w:p>
        </w:tc>
        <w:tc>
          <w:tcPr>
            <w:tcW w:type="dxa" w:w="850"/>
          </w:tcPr>
          <w:p>
            <w:pPr>
              <w:spacing w:before="20" w:after="20"/>
              <w:jc w:val="righ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-29.7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小样本</w:t>
            </w:r>
          </w:p>
        </w:tc>
      </w:tr>
    </w:tbl>
    <w:p>
      <w:pPr>
        <w:spacing w:before="20" w:after="160" w:line="324" w:lineRule="auto"/>
      </w:pPr>
      <w:r>
        <w:rPr>
          <w:rFonts w:ascii="宋体" w:hAnsi="宋体" w:eastAsia="宋体"/>
          <w:color w:val="6B7A8C"/>
          <w:sz w:val="16"/>
        </w:rPr>
        <w:t>「样本」列为「小样本」的行业（持有基金数&lt;150 或前十配置&lt;0.5%）分位噪音大，仅供参考。口径：前十大归一化（2026Q2→2026Q3）；价格分位为季末指数点位在 2019 年以来交易日中的排名；CSI＝(配置分位+价格分位+资金分位)/3。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