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2D3D"/>
          <w:sz w:val="44"/>
        </w:rPr>
        <w:t>公募基金拥挤度与集中度模型</w:t>
      </w:r>
    </w:p>
    <w:p>
      <w:pPr>
        <w:jc w:val="center"/>
      </w:pPr>
      <w:r>
        <w:rPr>
          <w:rFonts w:ascii="微软雅黑" w:hAnsi="微软雅黑" w:eastAsia="微软雅黑"/>
          <w:b/>
          <w:color w:val="1F6FEB"/>
          <w:sz w:val="32"/>
        </w:rPr>
        <w:t>因子手册与操作指南</w:t>
      </w:r>
    </w:p>
    <w:p>
      <w:pPr>
        <w:jc w:val="center"/>
      </w:pPr>
      <w:r>
        <w:rPr>
          <w:rFonts w:ascii="宋体" w:hAnsi="宋体" w:eastAsia="宋体"/>
          <w:b w:val="0"/>
          <w:color w:val="6B7A8C"/>
          <w:sz w:val="18"/>
        </w:rPr>
        <w:t>版本 R17（2026-10-28）· 数据源 Wind（主力）+ 东方财富妙想/同花顺 iFinD（交叉验证）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6FEB"/>
          <w:sz w:val="30"/>
        </w:rPr>
        <w:t>0. 一句话定位</w:t>
      </w:r>
    </w:p>
    <w:p>
      <w:pPr>
        <w:spacing w:after="60"/>
        <w:ind w:left="0"/>
      </w:pPr>
      <w:r>
        <w:rPr>
          <w:rFonts w:ascii="宋体" w:hAnsi="宋体" w:eastAsia="宋体"/>
          <w:b w:val="0"/>
          <w:sz w:val="21"/>
        </w:rPr>
        <w:t>本模型度量「机构资金在行业间拥挤到了什么程度」，是一个风险描述与组合约束工具，不是择时或收益预测工具。核心结论：拥挤度因子在 37 期长历史下无稳定的截面收益预测力，正确用法是「风险排序 + 压力测试 + 集中度约束」。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6FEB"/>
          <w:sz w:val="30"/>
        </w:rPr>
        <w:t>1. 因子手册（为什么选 · 怎么算 · 衡量什么 · 怎么判读）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F1　行业超配比例（主动偏离的绝对水平）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机构每季度「用真金白银投出来的偏离」——一切拥挤度度量的起点。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衡量机构行为的**第一手量**：不看价格、不看情绪，只看基金季报重仓在行业间的分布相对基准偏了多少。它是 F2/F3/F12/F15 的输入，没有它其余因子无从谈起。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配置比例(i,t) = 行业 i 重仓市值 ÷ 全组合重仓市值 × 100；F1(i,t) = 配置比例(i,t) − 沪深300行业权重(i,t)。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行业层面、季度频率的**主动偏离绝对幅度**（pct）。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正＝机构集体押注超配（定价权向该行业集中）；负＝机构系统性回避。超配的资金本身就是未来流动性与踩踏风险的载体。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 本身不设阈值——绝对幅度跨行业不可比（银行权重天然大），必须经 F2/F3/F12 标准化后再判定。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把「偏离」与「判定」解耦是口径纪律：绝对水平的跨行业可比性差，任何固定阈值都会系统性偏向大权重行业，故只作输入、不直接出标签。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Wind：公募基金季报前十大重仓股行业市值（主动权益三类）、沪深300 成份股行业权重（自由流通市值加权，逐季）。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F1d　超配比例（动态基准版）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同 F1，但基准权重改用逐季实测——把「股价涨出来的权重」从「主动加仓」里剔除。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静态基准（34 期恒定）会把「某行业因上涨导致指数权重自然抬升」误判为基金经理主动加仓；动态基准修正这一混淆，使历史期超配可解释。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F1d(i,t) = 配置比例(i,t) − 动态沪深300行业权重(i,t)，动态权重逐季取自 Wind 实测（覆盖 26~28 个行业，缺失按 0）。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 F1，口径更干净。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剔除 beta 化的权重漂移后，剩下的才是真正的主动决策。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与 F1 并列进入检验，由数据决定采用哪个口径（F1d 的 IC 普遍优于 F1），严禁两口径混用。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口径取舍交给样本外可复现的 IC 证据，而非先验偏好——这是因子研究的基本纪律。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Wind：hs300_weights_quarterly（逐季）。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F2　超配 Z-score（相对自身历史的极端度）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不看「配了多少」，看「相对它自己的历史配到了多罕见的位置」。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 是绝对水平，跨行业不可比（银行天然大、电子天然小）；F2 用**自身历史**做标准化，把 31 个行业放到同一把尺子上，信息含量因此高于原始水平。具体 IC 以 ④ 页实测为准。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Z(i,t) = [Over(i,t) − μ_扩窗(i)] / σ_扩窗(i)，扩窗（只用 ≤t 的数据，最少 8 期），严格无前视。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行业当前超配在其自身历史分布中的罕见程度（标准差单位）。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Z 高＝机构把这个行业推到了历史上少见的重仓位置，边际买盘衰竭与共识松动的脆弱性同步上升。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|Z| &gt; 1.5 拥挤/显著低配；Z &gt; 2.0 极度拥挤。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正态近似下 Z=1.5 ≈ 93% 分位（单尾 6.7%）、Z=2 ≈ 97.7%（单尾 2.3%）：把「罕见」定义为 5%~7% 与 2%~3% 的概率事件，与统计学惯用的 10%/5% 双侧显著线对应；实测样本内触发频率适中，既不长期沉默也不天天报警。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由 F1 派生（Wind 持仓）。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F3　超配历史分位（扩窗 Pct）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F2 的稳健版：用分位数代替均值/方差，对离群值不敏感。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超配分布偏态严重（少数季度极端抱团），均值/方差会被离群值绑架；分位数天然稳健，且语义直白（「历史以来 90% 的时间都没这么重过」）。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F3(i,t) = 扩窗内 Over(i,·) &lt; Over(i,t) 的比例 × 100，最少 8 期。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超配的**历史分位位置**（0~100%）。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与 F2 同源——刻画机构仓位的极端性；分位口径对重尾分布更稳健。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≥90 极度拥挤；75~90 偏拥挤；≤10 显著低配。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P90 是极值统计与风控压力测试的通用线（ES/VaR 语境的 90/95/99 分位族）；75/10 与四分位数惯例对齐，保证「拥挤」「低配」两侧对称覆盖约 15% 的尾部。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由 F1 派生。（当前样本实际可用 10 期）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F4 / F4b　超配动量（边际资金方向）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水平之外再看变化：资金是正在涌入，还是已经停手。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拥挤的危险不在「重」而在「还在加速变重」；动量项捕捉边际资金的最后一段冲刺。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F4(i,t) = Over(i,t) − Over(i,t−1)；F4b = 扩窗Z(F4)。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超配的**一阶差分**及其历史罕见度。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正动量＝新增资金仍在流入该行业（趋势确认）；负动量＝撤资开始（拥挤瓦解的前兆）。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F4b &gt; 1.0 资金加速流入。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与 F2 同一正态标尺（Z=1 ≈ 84% 分位），动量噪声大于水平项，阈值放宽一档至 1.0。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由 F1 派生。（当前样本实际可用 2 期）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F12　配置系数（超配倍数）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「配了基准的几倍」——最直观的相对拥挤度量，也是等级判定的两条触发线之一。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倍数天然跨行业可比（归一化了基准权重大小），且与组合管理语言直接对应（超配 150% = 2.5 倍标配）。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F12(i,t) = 配置比例(i,t) ÷ 沪深300行业权重(i,t)（基准权重为 0 的行业记 NaN——无基准则倍数无定义）。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机构配置相对基准的**倍数**。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F12=2 表示机构给的权重是市场基准的两倍——定价权向机构集中的直接刻度。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&gt;2.5 极度拥挤；1.8~2.5 拥挤；&lt;0.5 显著低配。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2.5 倍＝超配 150%，对应 A 股主动权益史上公认的极端案例量级（2021 新能源、2026 电子均触发）；0.5 倍＝欠配一半，是公募相对基准的常见底线。阈值经样本期校准：能触发极值又不过度报警。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Wind：持仓 + 逐季基准权重。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F9　交易拥挤度（成交额占比 × 加速度）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持仓是存量，成交是流量——交易拥挤度量「钱是否正在往这里挤」。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持仓拥挤（季频）与交易拥挤（日频聚合）是两个独立维度：行业可以重仓但不活跃，也可以轻仓但被短线资金挤爆。二者共振时踩踏风险最高。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F9 = 0.6 × Z(成交额占比扩窗分位) + 0.4 × Z(加速度)；占比(i,t) = 行业成交额 ÷ 全市场成交额 × 100；加速度 = 占比 − 过去 4 季均值。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行业在**交易维度**的拥挤程度（水平 60% + 加速 40%）。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成交额占比抬升＝市场注意力与短线资金集中；配合加速度判断拥挤是否仍在自我强化。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分位 ≥ 90 且加速度 &gt; 0 → 交易拥挤信号（F9d）。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0.6/0.4 为主次权重（水平是状态、加速是边际）；90 分位与 F3 同线，保证各维度「极端」的定义一致。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Wind：申万一级行业指数季度成交额（18 期全覆盖）。（当前样本实际可用 15 期）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F13　筹码盈利比例（获利盘厚度）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滚动窗口内「建仓价低于现价」的筹码占比——衡量谁在账面上赚钱、抛压有多大。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拥挤的另一面是获利盘：浮盈越厚，兑现动机越强，拥挤瓦解时的抛压越重。这是纯持仓/成交因子覆盖不到的「成本结构」维度。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行业指数点位 P 由季度涨跌幅累乘（P0=100）；F13(i,t) = Σ[滚动12季内 P_s &lt; P_t 的成交额] ÷ Σ[窗口内成交额] × 100。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行业指数层面的**筹码盈利结构**（%）。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F13 高＝近三年买入的资金大多处于浮盈，获利了结的动能随时可以兑现。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&gt;70% 高获利盘（辅助读数，参与 F11 合成）。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筹码分布研究的经验线：获利盘超过 70% 后回调/回撤频率显著上升；窗口取 12 季≈3 年，覆盖机构一个完整持仓周期。指数层面代理的口径局限已在 ⑨ 页显式登记。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Wind：行业季度涨跌幅 + 成交额（派生计算）。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F14　ETF 资金流强度（快层资金信号）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日度 ETF 净申赎/期初规模——唯一的日频增量，用于交叉验证季频持仓。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季报持仓滞后一个季度，ETF 份额日度可见——它是「快层」信息，可提前嗅探机构与散户的申赎方向。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F14 = Σ期内净申赎(亿元) ÷ 期初 AUM(亿元) × 100；份额折算用累计净值法识别并复权。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 ETF 的**资金流强度**（% 规模变动）。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净申购＝场内资金对该行业的增量需求；净赎回＝撤离。强度口径剔除了规模差异。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|F14| &gt; 5% 为显著流入/流出（辅助读数）。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一个季度内规模变动 5% 已属主动申赎级别（被动净值波动已由复权剔除）。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Wind：ETF 日度场内流通份额/单位净值/成交额。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F10　三信号共振得分（0/1/2/3）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持仓拥挤 × 交易拥挤 × 筹码拥挤——三条独立证据同时亮灯时才报警。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单一维度易误报；三维度共振的假阳性率是三者之积，信号质量远高于任何单线。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S1＝超配 &gt; 扩窗P90；S2＝成交额占比分位 ≥90 且加速；S3＝任一个股抱团指标创扩窗新高；F10 = S1 + S2 + S3（0~3 整数）。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行业层面的**多维度拥挤共振强度**。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3/3＝持仓、交易、筹码三线同时极端——历史上此类状态的行业回撤尾部最肥。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3/3 三重共振（进入⑧页预警与①页极端标签）。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等权计数、零自由参数——每个信号自带阈值，合成层不再引入任何可调参数，避免过拟合。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由 F1/F9/F7 派生。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F11　行业综合拥挤度（推荐权重合成 Z）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把六个独立维度压成一个数——本模型的「行业拥挤度总表」。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单一因子各有盲区（水平 / 历史位置 / 边际方向 / 筹码）；合成后 IC 高于任一单因子，且对单因子失效更稳健。当前实测值见 ④ 页「IC 汇总」，本节不复制数字以免过期。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F11 = Σ W_k × Z(分量k)，推荐权重：F12 配置系数 0.25、F1 超配 0.20、F3 分位 0.15、F13 筹码盈利 0.15、F14 ETF 资金流 0.15、F4b 动量 0.10（分量 Z 化后加权，缺失分量自动降权）。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行业**综合拥挤度**（截面 Z 语义）。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持仓（F1/F12/F3）+ 筹码（F13）+ 交易（F14/F4b）的加权共识。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与等级规则联动：F12/F3 任一触发即升级等级；F11 截面排名用于「最拥挤 Top3」点名。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权重按两个先验设定——①信息独立性高的分量（相对基准的 F12）给高权；②快层确认信号（F14/F4b）给低权。另设等权与 IC 加权两个对照口径，若推荐权重不显著优于对照则必须换。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全部来自 Wind 派生因子。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F15　拥挤背离因子（新增的拥挤）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「绝对超配已经很高、但相对自身历史还不极端」＝新资金刚进来——最危险的一类。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诊断发现 F1（绝对水平）与 F2（历史极端度）的 IC 符号**相反**：二者刻画不同的风险维度。取其差可定位「还没被历史化」的新增拥挤。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F15(i,t) = Z_截面(F1) − Z_截面(F2)，零自由参数。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绝对拥挤与历史极端度之间的**裂口**。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F15 高＝行业已重仓但历史分位尚未抬升——新资金刚进场、趋势尚未确认，既可能加速也可能迅速反转。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不设固定阈值，按截面排名与 F11 联合解读。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裂口类因子语义由构造直接给定，任何外加阈值都会破坏其「相对差」的语义。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由 F1/F2 派生。（当前样本实际可用 3 期）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F2e / F3e / F4be / F15e　长历史扩窗因子（2016Q2 起超配历史）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用偏股混合长历史超配序列做扩窗，把 F2/F3/F4b/F15 从「无法取值」变成「可检验」：长历史 IC 不显著，但 Δ超配Z 多空在 2023 年后 NW t=2.69——只在近三年样本内使用。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主口径持仓仅 10 期，扩窗最少 8 期起步 → F2/F3/F4b 只有 2 期、F15 全 NaN，根本无法做 IC 检验（遗留边界）。偏股混合单类型重仓已抓齐 2016Q2 起 35 期，叠加 Wind 动态 hs300 权重（2022Q1 起）可构建 17 期「偏股混合配置 − 动态权重」的超配长历史，使扩窗统计自 2024Q1 起即满足 8 期起步，因子得以取值、IC 得以检验。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F2e = 扩窗Z(偏股混合超配)；F3e = 扩窗分位(同)；F4be = 扩窗Z(超配一阶差分)；F15e = Z截面(超配) − Z截面(F2e)。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与主口径 F2/F3/F4b/F15 完全同义，仅扩窗所用的超配历史换成统一口径的偏股混合 17 期。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F2e/F3e/F4be 度量「相对自身历史是否极端/是否加速」；F15e 度量「绝对超配高、但相对历史尚不极端」的新增拥挤。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 F2/F3/F4b/F15（|Z|&gt;1.5 拥挤、分位≥90 极度、F15 按截面排名）。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阈值口径与主版一致，保证「长历史版」与「主口径版」结论可对照；唯一的改变只是样本长度（10 期 → 17 期）。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实测结果（长样本）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把超配历史回填到 2016 年后，长历史扩窗因子的 IC 观测达 27~31 期：F2e/F3e 处于 0.08~0.09 的边际可用区间（p 0.04~0.07），F4be/F15e 不显著。结论：拥挤度在更长历史里没有稳定、可交易的截面预测力，本模型定位为「风险描述」而非「交易信号」。此前 8 期样本下的「强显著」已被证明是小样本伪显著；全部数值以 ④ 页实测表为准（数据更新后自动跟随）。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Wind：偏股混合重仓（eq_series 35 期）+ 动态 hs300 权重（18 期）。（当前样本实际可用 30 期）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R_*　正交化残差因子（独立信息检验）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把价格类风格与同族因子剔除后，持仓数据还剩多少独立信息。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若持仓因子只是价格的镜像（动量效应），其"拥挤度"解释就是伪命题；正交残差直接检验增量信息是否存在。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逐期截面 OLS：因子 ~ 当期收益 + 过去4季收益 + 过去4季波动（一层）；再剔除同族持仓因子（二层）；取残差 RankIC。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因子中**独立于价格与同族**的信息成分。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残差 IC 仍显著＝持仓数据含价格之外的独立内容（机构行为本身）；残差 IC 归零＝只是价格的影子。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残差 RankIC 与原始 IC 并列报告，看**保留比例**：若残差 IC 显著低于原始 IC，说明原 IC 有相当部分来自价格动量；若残差仍显著为正，则持仓含价格之外的独立信息。具体数值见 ④ 页正交化表，不在此写死。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控制变量集取价格类风格的最小充分集，二层同族剔除保证合成因子的增量可归因。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由全部因子与行情派生。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F5 / F6　市场集中度 HHI 与 CRn（时序）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把 31 个行业压成两个数：组合分散度（HHI）与头部厚度（CR3/5/10）。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行业拥挤度的「市场反面」——所有行业的拥挤合计等于市场的集中。集中度是系统性风险的直接读数。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HHI(t) = Σ w(i,t)²（w=配置比例/100，完全均等 = 1/31 ≈ 0.032，极端单行业 = 1）；CRn(t) = 前 n 大行业权重和 × 100。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机构组合的**行业分散度**。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HHI 抬升＝定价权向少数行业集中，组合风险由「分散的行业 beta」收敛为「少数行业的共同 beta」。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HHI &gt; 0.15 极高集中；CR3 &gt; 60% 高度集中；另有标准化 HHI = (HHI−1/31)/(1−1/31) 便于跨期比较。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0.15 沿用国务院反垄断委员会《横向垄断协议案件宽大制度指南》对「较高集中度」的 HHI 门槛（0.15/0.25 两档）并迁移到行业配置语境，经样本期校准（样本 0.068~0.23）能识别极值且不长期误报；CR3=60% 对应「三成行业占六成仓位」的经典集中经验线。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 持仓 → 配置比例 → 独立复算（R6 校验差异 &lt;1e-13）。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F7 / F8　个股集中度与仓位代理（市场辅助）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行业之下的两层佐证：个股抱团（F7）与组合仓位（F8）。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为什么选它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行业抱团常与个股抱团同步；两者同升时踩踏风险最高。仓位代理用于排除「行业占比变化只是整体加减仓」的混淆。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计算公式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F7 = Top20 平均持股基金数 / Top20 持仓市值占比 / 持股基金数≥100 个股数 的时序 Z 均值；F8 = 前十占净值比均值 的时序 Z。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衡量对象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个股层面抱团热度与组合股票仓位代理。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经济内容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F7 高＝资金不仅在行业上集中，在个股上也在集中（双高＝最脆弱结构）；F8 用于区分配置迁移与整体加减仓。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F7 创扩窗新高 → S3 筹码拥挤信号（进入 F10）。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为什么是这个标准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「创新高」定义无需参数，与 S1 的 P90 逻辑互补：S1 看行业分布尾部、S3 看个股集中顶部。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Wind：个股持股基金数统计、季报仓位指标。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检验标准总则　IC / IC_IR / 胜率 / 显著性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所有因子一律用同一套检验标尺裁决，不因结果好坏更换标准。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RankIC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逐期截面 Spearman(因子值, t+1 超额收益)；|IC|&gt;0.03 有效、&gt;0.05 优秀。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IC_IR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IC 均值 ÷ IC 标准差；&gt;0.5 优秀、0.3~0.5 可用。依据 Grinold 基本定律 IR≈IC×√BR——本模型广度仅 31 行业×季频，BR 小，故必须以高 IC_IR 补偿。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胜率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IC 同号比例 ≥55% 较好（略高于随机 50%，扣除交易成本后仍需留有余量）。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显著性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Newey-West t（滞后 2 期，校正自相关），p&lt;0.05；并做 Bootstrap 置信区间（块抽样 4 季 ×1000 次），CI 不含 0 才算稳健。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样本门槛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因子研究最低 36 期；当前可建模区间 10 期——因此本页全部结论定位为「方向性证据」，不构成稳健统计结论。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多重检验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同时检验多因子时按 BH-FDR 控制发现率；设计期样本外（walk-forward）与留出期检验并列报告。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6FEB"/>
          <w:sz w:val="30"/>
        </w:rPr>
        <w:t>2. 指标释义（每个数字对应什么经济行为）</w:t>
      </w:r>
    </w:p>
    <w:p>
      <w:pPr>
        <w:spacing w:after="60"/>
        <w:ind w:left="0"/>
      </w:pPr>
      <w:r>
        <w:rPr>
          <w:rFonts w:ascii="宋体" w:hAnsi="宋体" w:eastAsia="宋体"/>
          <w:b w:val="0"/>
          <w:color w:val="37485C"/>
          <w:sz w:val="20"/>
        </w:rPr>
        <w:t>本章回答三个问题：这个数怎么算出来、它对应现实世界的什么行为、看到它应该怎么用。手册只固定口径与含义，具体数值随数据更新，以看板为准。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2.1 行业层指标（② 行业拥挤度）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249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计算公式</w:t>
            </w:r>
          </w:p>
        </w:tc>
        <w:tc>
          <w:tcPr>
            <w:tcW w:type="dxa" w:w="249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经济内容</w:t>
            </w:r>
          </w:p>
        </w:tc>
        <w:tc>
          <w:tcPr>
            <w:tcW w:type="dxa" w:w="2721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投资含义 / 读法与误读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配置比例（%）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Σ(该行业重仓股市值) ÷ Σ(全部重仓股市值)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公募把多少筹码押在这个行业。它是存量：由过去若干季度的买入累积而成，记录的是「机构愿意把多少资产负债表放在这里」，不是当下的边际意愿。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配置越高，该行业的边际定价权越在公募手里——申赎、排名考核、季末调仓会直接变成这个行业的买卖盘；配置低的行业对公募资金不敏感，涨跌更多由产业资本、外资与游资决定。 怎么看：三比：比自身历史（分位）、比基准（超配/配置系数）、比成交（持仓热度 vs 交易热度）。 误读：高配置 ≠ 高估；行业市值暴涨也会被动推高占比，被动上升不含主动加仓的信息。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基准权重（%）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沪深300 成份中该行业自由流通市值 ÷ 指数总自由流通市值（逐季实测）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被动资金的「默认答案」，代表不做主动选择也能拿到的行业暴露。权重由存量市值决定，对产业变迁的反应天然滞后——这正是主动偏离的来源。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基准权重低的行业，主动基金一旦看多就必须大幅超配，超配幅度天然大；基准权重高的行业（银行、非银），低配是常态，不能读成看空。 怎么看：与配置比例并排看倍数（F12）；基准权重 &lt;1% 的行业，超配几个点就会让倍数失真。 误读：把「低配银行」当看空银行——这是指数编制与公募考核共同造成的结构性结果，不是每季度都有的观点。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超配比例（pct）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配置比例 − 基准权重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主动偏离的绝对幅度：正＝集体押注，负＝系统性回避。超配的那部分资金，同时就是未来的同向卖压——它和对冲盘不是同一批人。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超配越厚，该行业越像「公募的共识仓位」：逻辑被证伪时，卖出来的是同一批人、同一方向、同一时点，流动性会在最需要的时候消失。 怎么看：必须双坐标：相对基准（倍数）与相对自身历史（分位/Z）。只报 pct 无法跨行业比较。 误读：跨行业直接比大小。银行超配 5pct 是极端，电子超配 5pct 只是常态，基数不同。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超配 Z（扩窗）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(本期超配 − 扩窗均值) ÷ 扩窗标准差；最少 8 期，只用 ≤t 的数据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把 31 个行业放到「自身历史」这把尺子上，度量仓位的罕见程度。扩窗（无前视）保证每个时点只用当时已知的信息。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Z 高＝仓位已到历史少见的位置，继续加仓需要新资金而非存量调仓；边际买盘一旦衰竭，同等幅度的利空会被放大。 怎么看：|Z|&gt;1.5 关注、&gt;2 极端；与分位交叉验证（厚尾分布下 Z 会夸大罕见度）。 误读：把 Z 当涨跌预测。Z 是位置不是方向，Z=4 只说明仓位罕见，不说明要跌。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超配历史分位（%）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扩窗内「历史超配 &lt; 当前超配」的期数占比 ×100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与 Z 同源但更稳健：分位数不受离群值绑架，语义直白——「有数据以来 100% 的时间都没这么重过」。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分位越高，剩余的仓位空间越小。这是仓位维度的约束，不是价格维度的约束。 怎么看：≥90 极度拥挤；75–90 偏拥挤；≤10 显著低配。 误读：分位 100% 不等于到顶：只要净值继续跑赢，高仓位可以靠上涨自我维持很久。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配置系数 F12（×）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配置比例 ÷ 基准权重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「相对指数下了几倍的注」。剔除行业体量差异后，31 个行业第一次可以横向比较。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&gt;2.5＝公募仓位是指数权重的 2.5 倍以上，属极端共识；&lt;0.5＝机构基本放弃该行业，边际定价权已让渡给其他资金。 怎么看：与分位互补：F12 相对市场，分位相对自身历史；两者同高才是「双高」。 误读：基准权重接近 0 的行业（综合、纺织服饰）倍数会被除零放大，排序必须设权重门槛。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筹码盈利比例 F13（%）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现价高于成交量加权成本的市值 ÷ 行业总市值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浮盈盘的厚度。它同时是持有者的心理安全垫，和随时可以兑现的潜在筹码。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高浮盈 + 高配置＝双脆弱：回撤把浮盈打掉后，减仓会自我强化。但高浮盈本身也是趋势确认——套牢盘少，上行阻力小。 怎么看：&gt;70% 获利盘极重；与超配分位同高时风险叠加；与低配同高时是「轻装」。 误读：当成卖出信号。它只改变回撤时的抛压弹性，不决定方向。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成交额占比 / 分位（%）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行业成交额 ÷ 全市场成交额；分位为扩窗历史分位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注意力与换手的分布，是流量而非存量。持仓告诉你谁拿着，成交告诉你谁在交易。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持仓拥挤 + 交易拥挤＝真拥挤（机构与散户共振）；只有交易热而持仓不重＝主题行情，通常来得快去得也快。 怎么看：成交分位 &gt;90 且配置分位 &lt;50 → 游资/主题；两者同高 → 共振；成交分位 &lt;30 而配置分位 &gt;90 → 存量抱团、增量已撤。 误读：成交占比高可能只是行业扩容（大市值、新股上市），必须同时看历史分位。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超配动量 F4 / 动量 Z F4b（pct）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F4＝本期超配 − 上期超配；F4b＝对 F4 做扩窗 Z 标准化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边际资金的方向：仓位是在继续加，还是已经停手。水平告诉你「多重」，动量告诉你「还在不在变重」——拐点总是先出现在动量上，再出现在水平上。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超配高位 + 动量转负＝「见顶但未减仓」的典型形态，是最需要警惕的组合；超配低位 + 动量转正＝资金开始试探，是赔率更好的位置。 怎么看：看符号与持续性：单季转负可能是净值波动，连续两季转负才是资金撤出。 误读：把动量当趋势。季度频率的动量只反映季末持仓差，捕捉不到季内进出。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三信号共振 F10（S1/S2/S3）（分）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S1 持仓拥挤 + S2 交易拥挤 + S3 筹码拥挤，命中计 1，合计 0~3 分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三个独立维度同时极端，才算「真拥挤」：机构仓位（供给）、交易热度（需求）、获利盘（抛压）。单维极端往往是噪声，三维共振才是结构性风险。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3/3 是最强的风险提示，但也意味着行情通常已经很陡；2/3 是「关注区」，需要结合四象限判断是趋势型还是主题型。 怎么看：先看分数，再看缺哪一维：缺 S2＝只有机构没有交易热度（存量抱团）；缺 S1＝只有交易没有机构（主题炒作）。 误读：把 3/3 当卖出信号。共振描述的是「脆弱性」，不是「时点」。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综合拥挤度 F11 / F11e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超配、超配 Z、超配分位、超配动量 四项横截面 Z 加权（0.20/0.25/0.15/0.10 归一）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把「仓位水平、历史位置、边际方向」压成一个可排序的分数，回答唯一的问题：谁最挤。F11e 是同一算法在偏股混合长历史（2016 起）上的版本，跨期可比。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排序工具，不是买卖信号。前 3 名是共识最厚、也最依赖增量资金维持的位置。 怎么看：三看：绝对值（&gt;1.5）、排名（前 5）、变化（环比变挤/变松，见页面底部变化榜）。 误读：合成会平均掉单维极值：F11 中性但分位 100% 的行业（如建筑材料），必须回看分项。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拥挤等级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由超配分位与配置系数双阈值触发，取最高级（5 档）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把连续指标离散成可扫描的预警档位，服务于「31 个行业一屏看完」的实务需求。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等级越高，「共识—脆弱」的组合越极端；但等级本身不区分「景气驱动」与「炒作驱动」，这两种拥挤的持续性完全不同。 怎么看：等级 + 口径背离标记 + 四象限（配置分位 × 成交分位）三者合看。 误读：把等级当估值。等级是相对历史与相对基准的位置，不含绝对估值信息。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2.2 市场层指标（① 总览 / ③ 集中度与结构）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249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计算公式</w:t>
            </w:r>
          </w:p>
        </w:tc>
        <w:tc>
          <w:tcPr>
            <w:tcW w:type="dxa" w:w="249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经济内容</w:t>
            </w:r>
          </w:p>
        </w:tc>
        <w:tc>
          <w:tcPr>
            <w:tcW w:type="dxa" w:w="2721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投资含义 / 读法与误读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HHI 行业集中度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Σ(各行业配置占比)²，占比取小数；31 行业等权时 = 1/31 ≈ 0.0323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行业维度的分散度。HHI 越高，组合越像「少数行业的组合」，行业分散这道风控防线越失效。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HHI 高＝净值由少数行业共同驱动，回撤时同向、无对冲；也是基金同质化的度量——同质化越高，赎回冲击越集中。 怎么看：与等权基准（0.0323）比倍数、与自身历史分位比位置；0.23 ≈ 等权的 7 倍。 误读：HHI 上升可能只是行业市值分化（涨出来的权重），不等于主动加仓。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CR3 / CR5 / CR10（%）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前 3 / 5 / 10 大行业的配置占比之和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头部集中度。CR3 直接回答「多少筹码压在几个行业上」。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CR3 超过 2/3 时，「选行业」比「选个股」更决定净值；任一头部行业的政策或景气变化，都会主导整个主动权益群体的表现。 怎么看：CR3 与 CR10 的差额＝第 4~10 名的厚度；差额小说明是「三强鼎立」，差额大说明是「一超多强」。 误读：把 CR 上升一律解读为抱团——行业市值涨跌本身会改变 CR。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极度拥挤 / 显著低配家数（家）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按等级计数：极度拥挤＝分位≥90 或 F12&gt;2.5；显著低配＝Z&lt;−1.5 或 F12&lt;0.5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市场宽度：同一时点有多少个行业处在极端状态。它回答的是「拥挤是普遍现象，还是局部现象」。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两端同时多＝K 型分化，资金在行业间搬家而非整体加仓——这类市场里「选错行业」比「看错大盘」更致命；两端都少＝共识分散，行业选择的重要性下降。 怎么看：极度拥挤 ≥3 且显著低配 ≥10 → 极端分化；两者都 ≤2 → 均匀市场，拥挤度解释力弱。 误读：把家数当强度。3 个行业「刚刚越过阈值」的风险，低于 1 个行业处在历史极值。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第一大重仓行业（%）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配置占比最高的行业及其占比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单点暴露。它标出当前主动权益群体「最重要的一笔共识」。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占比 &gt;40% 时，组合已近似行业基金：风格标签失真、赎回压力集中在同一赛道、与基准的偏离无法靠其他行业对冲。 怎么看：看三点：占比、领先第二名多少、以及这个行业自身处在什么拥挤等级。 误读：把「第一大重仓」当成推荐。它描述的是群体行为，不是投资建议。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个股集中度 / 前十占净值比（%）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前十大重仓股合计市值 ÷ 基金净值（样本均值）；另统计重仓股只数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选股集中度，同时是仓位代理（不是真实股票仓位）。只数越少、占比越高，说明基金经理越依赖少数标的表达观点。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集中度高＝个股风险大、调仓冲击成本高，但也说明有确信度；对拥挤度而言，重仓股即组合，卖出时没有缓冲。 怎么看：与样本基金数、重仓股只数一起看：只数下降而占比上升＝共识收敛。 误读：把「前十占净值比」当股票仓位。它是下限性质的代理，真实仓位还包含非重仓持股。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配置占比的环比变化（pct）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本期行业配置占比 − 上一期行业配置占比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存量分布逐季的差分，也就是「这个季度资金从哪搬到哪」。占比变化把「行业涨跌」与「主动加减仓」混在一起，是流量与价格效应的合成。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单季 ±5pct 以上的搬家属于结构性调仓，通常对应一次主线切换；±1pct 以内多为净值涨跌带来的被动漂移，不能读成主动决策。 怎么看：看「谁减、谁增」的配对关系：加仓行业的资金来源，往往是同一批被减仓的行业。 误读：把占比上升全算作主动加仓。行业自身大涨也会让占比上升，需结合超配变化拆分。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FCI 因子拥挤指数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行业拥挤度的市场层合成（含扩窗分位标准化）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全市场拥挤的总量度量：不问「哪里挤」，只问「整体有多挤」。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分位到 100% 说明增量资金的需求处在历史峰值；总量指标不能指出方向，必须回到行业层面找结构。 怎么看：FCI 高位 + HHI 高位＝「总量拥挤 + 结构集中」，是最脆弱的组合。 误读：用总量指标做择时。市场可以在极拥挤状态下继续上涨数月。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2D3D"/>
          <w:sz w:val="25"/>
        </w:rPr>
        <w:t>2.3 统计检验指标（④ 因子与检验）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249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计算公式</w:t>
            </w:r>
          </w:p>
        </w:tc>
        <w:tc>
          <w:tcPr>
            <w:tcW w:type="dxa" w:w="2494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经济内容</w:t>
            </w:r>
          </w:p>
        </w:tc>
        <w:tc>
          <w:tcPr>
            <w:tcW w:type="dxa" w:w="2721"/>
            <w:shd w:val="clear" w:color="auto" w:fill="EEF3FB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投资含义 / 读法与误读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RankIC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每期：因子值与下期行业收益的 Spearman 秩相关系数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因子的排序能力：它能不能把「未来涨得多的行业」排到前面。取秩相关而非 Pearson，是为了不被极端值支配。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|IC|≈0.1 已具备经济意义（31 个行业的排序，0.1 对应可观的多空差）；符号决定用法：正号＝高值行业后续占优，负号＝高值行业后续落后。 怎么看：看均值、看胜率、看显著性，三者同向才算有效；单期 IC 几乎全是噪声。 误读：拿单期 IC 说事。一期 IC=0.3 可能只是某个行业的一次事件驱动。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IC_IR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 均值 ÷ IC 标准差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因子有效性的稳定性：同样的均值，波动越小越可信。等价于「单位风险的超额信息」。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&gt;0.3 可用、&gt;0.5 较好；IR 低的因子即使均值漂亮，也会在实盘中反复失效。 怎么看：与样本期数一起看：8 期的 IR 0.5 远不如 30 期的 IR 0.3 可信。 误读：忽略期数直接比 IR。短样本的 IR 极不稳定。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NW t 值 / p 值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 序列均值的新息 t 检验，标准误经 Newey-West 自相关调整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考虑序列相关后的统计显著性。季度 IC 存在自相关，普通 t 检验会高估显著性。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|t|&gt;2 才算在 5% 水平显著；不显著意味着「现有样本无法排除运气」。 怎么看：t 与 p 配套看；同时看 Bootstrap 置信区间是否含 0（本页已给）。 误读：t 值大就下结论。多重比较（试了很多因子）会系统性抬高假阳性。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胜率（%）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 与预期方向一致的期数 ÷ 有效期数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方向的一致性。高胜率说明因子不是靠某一期的极值撑起均值。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&gt;60% 说明方向稳定；均值高但胜率 50% 的因子，本质是「押注少数极端期」。 怎么看：与 IC 均值、最大单期贡献一起看：剔除最好一期后是否仍有效。 误读：把小样本胜率当概率。8 期里 7 期为正，置信区间仍然很宽。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分层收益 / 单调性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按因子值把 31 个行业分 5 层，统计各层下期平均收益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因子与收益的关系形状：是单调（线性可用），还是只在尾部有效（阈值效应）。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单调才适合做加权与打分；非单调说明因子只在极端层有信息，中间层是噪声，不能用线性模型解释。 怎么看：看第 1 层与第 5 层的差（多空）、看是否逐层递增、看中间层是否混乱。 误读：只看多空差、不看单调性。多空差可能全部来自最极端的一层。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事件研究超额（%）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信号触发后 3 / 6 / 12 个月，相对基准的累计超额收益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信号的实际经济价值：不只是统计相关，而是真金白银能拿到的差额。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均值显著为负，才支持「拥挤＝风险」；不显著则说明拥挤度只是状态描述，不构成择时依据——本项目实测正是后一种情形（样本期短、触发次数少）。 怎么看：看均值、中位数、负收益概率、t 值四件套；触发次数 &lt;10 时结论只能是「待观察」。 误读：用 3 个月的结果推断长期。拥挤的代价往往在 6~12 个月才体现。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6FEB"/>
          <w:sz w:val="30"/>
        </w:rPr>
        <w:t>3. 投资机会判断框架（三层法）</w:t>
      </w:r>
    </w:p>
    <w:p>
      <w:pPr>
        <w:spacing w:after="60"/>
        <w:ind w:left="0"/>
      </w:pPr>
      <w:r>
        <w:rPr>
          <w:rFonts w:ascii="宋体" w:hAnsi="宋体" w:eastAsia="宋体"/>
          <w:b/>
          <w:sz w:val="21"/>
        </w:rPr>
        <w:t>前提声明：36 期 IC 检验显示拥挤度无稳定截面收益预测力，因此本框架不回答「会涨会跌」，只回答「哪里脆弱、哪里相对安全、哪里需要约束」。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第一层 · 风险回避（减配 / 回避）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极度拥挤：历史分位≥90（F3）或配置倍数&gt;2.5（F12）→ 回避，存量设止损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三信号共振：F10=3/3（持仓+交易+筹码同时极端）→ 强回避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新增拥挤：F15e 高（绝对超配高、但相对历史尚不极端）→ 警惕快速反转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第二层 · 机会识别（关注 / 试探）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低拥挤：显著低配（分位≤10）→ 列入关注名单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拐点确认：动量 Z（F4b）由负转正 → 资金边际转向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拐点确认：超配动量（F4b）由负转正 → 资金边际转向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满足两条（低拥挤 + 动量转正）→ 升级「试探性机会」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第三层 · 组合约束（分散化 / 压力测试）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集中度红线：HHI&gt;0.15 或 CR3&gt;60% → 主动再平衡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单点压测：单一行业占比≥40% → 强制回撤 30% 拖累测算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K 型分化：极度拥挤≥3 且显著低配≥10 → 回避极端、向低拥挤分散</w:t>
      </w:r>
    </w:p>
    <w:p>
      <w:pPr>
        <w:spacing w:after="60"/>
        <w:ind w:left="0"/>
      </w:pPr>
      <w:r>
        <w:rPr>
          <w:rFonts w:ascii="宋体" w:hAnsi="宋体" w:eastAsia="宋体"/>
          <w:b/>
          <w:sz w:val="21"/>
        </w:rPr>
        <w:t>落地决策：先「风险回避」→ 再「机会识别」小仓位试探 → 最后「组合约束」控制敞口。任何一层都不输出「满仓/清仓」，只输出风险预算的加减。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6FEB"/>
          <w:sz w:val="30"/>
        </w:rPr>
        <w:t>4. 操作指南（6 页看板怎么看）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读结论（先看）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① 总览：第一屏是「变化结论」（一句话 + 四个数字 + 三条判断卡），其后才是综合判断与水平值（HHI/CR/FCI）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①b 环比变化：结论区 → Δ超配Z 变化榜 → 四象限（绝对阈值）→ 等级迁移 → 行业→个股 → IC/多空/成本/正交化证据 → 样本体检；全站环比只用 Δ超配Z，Δ配置pp 仅作悬浮提示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读数据（深挖）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② 行业拥挤度：31 行业排名与等级 + 变化榜（环比/同比可切换）+ 拥挤度热力图（43 期）+ 单行业钻取 + 信号触发记录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③ 集中度与结构：HHI/CR 时序 + 堆叠面积图 + 占比热力图（标注数值）+ 环比瀑布图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读方法（审计）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④ 因子与检验：因子定义表 + IC 时序 + IC 汇总 + 分级裁决 + 分层回测 + 压力测试（进阶检验收在折叠区）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⑤ 数据与方法：数据来源 + 样本覆盖 + 数据质量校验 + 扩窗口径 + 缺陷登记 + 更新指南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读图三原则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先看「拐点」再看「水平」——拐点（环比转向）比绝对高低更有信息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占比类指标（HHI/CR/超配）跨期可比，绝对规模只在同口径区间内比较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单期极值可能由口径或单期驱动，结论要回 ④ 检验表与 ⑤ 溯源表交叉确认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环比口径（R18 起强制）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主判断：Δ超配Z（长历史 F2e 一阶差分）；Δ配置pp 的 RankIC +0.008（NW t=0.14，p=0.894）不显著，禁止作主判断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四象限用绝对阈值：Z ≥ 2.0 或分位 ≥ 80% 为高位，Z ≤ −1.5 或分位 ≤ 20% 为低位，|ΔZ| &lt; 0.20σ 为方向不明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多空组合（上下各 8 个行业）：2019Q3–2026Q2 共 28 期，年化 +11.31%、t=2.47、胜率 64%；2019–2022 段 t=0.66、2023 年后 t=2.69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边界：只在近三年样本内使用，每季复核；连续两季多空价差为负即暂停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6FEB"/>
          <w:sz w:val="30"/>
        </w:rPr>
        <w:t>5. 数据持续更新指南（每季报期怎么做）</w:t>
      </w:r>
    </w:p>
    <w:p>
      <w:pPr>
        <w:spacing w:after="60"/>
        <w:ind w:left="0"/>
      </w:pPr>
      <w:r>
        <w:rPr>
          <w:rFonts w:ascii="宋体" w:hAnsi="宋体" w:eastAsia="宋体"/>
          <w:b/>
          <w:sz w:val="21"/>
        </w:rPr>
        <w:t>更新频率：基金季报每季末后约 15 个工作日披露完毕（4/7/10/次年1 月中下旬），每季更新一次。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第 1 步 · 抓取新季报（Wind）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持仓：主动权益三类（普通股票型/偏股混合型/灵活配置型）前十大重仓股，逐类型查询后相加，必须与「类型总额」交叉验证（gap 约 5~11%）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基准权重：沪深300 成份股按申万一级行业权重，逐期校验加总=100%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行业收益/成交额：申万一级 31 行业季度涨跌幅与成交额，校验 31 行业齐全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第 2 步 · 重建下游（命令）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color w:val="37485C"/>
          <w:sz w:val="19"/>
        </w:rPr>
        <w:t>python tools/wind_fetch.py build     # 重建超配比例、HHI/CR、因子面板</w:t>
      </w:r>
    </w:p>
    <w:p>
      <w:pPr>
        <w:spacing w:after="60"/>
        <w:ind w:left="283"/>
      </w:pPr>
      <w:r>
        <w:rPr>
          <w:rFonts w:ascii="宋体" w:hAnsi="宋体" w:eastAsia="宋体"/>
          <w:b w:val="0"/>
          <w:color w:val="37485C"/>
          <w:sz w:val="19"/>
        </w:rPr>
        <w:t>python src/update_pipeline.py          # 重跑 IC/分层/稳健性，重建 ic_report.xlsx</w:t>
      </w:r>
    </w:p>
    <w:p>
      <w:pPr>
        <w:spacing w:after="60"/>
        <w:ind w:left="283"/>
      </w:pPr>
      <w:r>
        <w:rPr>
          <w:rFonts w:ascii="宋体" w:hAnsi="宋体" w:eastAsia="宋体"/>
          <w:b w:val="0"/>
          <w:color w:val="37485C"/>
          <w:sz w:val="19"/>
        </w:rPr>
        <w:t>python tools/seed_daily_raw.py         # 刷新日度成交额与覆盖率（可选）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color w:val="37485C"/>
          <w:sz w:val="19"/>
        </w:rPr>
        <w:t>python tools/data_quality_report.py    # 刷新数据质量报告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第 3 步 · 校验验收（必做）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python tools/apptest_all_pages.py     # 5 页 0 异常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preflight 硬约束 H1–H9 全通过、S1 告警 = 0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检查口径断点：占比类指标跨期可比，绝对规模只在同口径区间比较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7485C"/>
          <w:sz w:val="22"/>
        </w:rPr>
        <w:t>数据治理红线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任何一期数据都要过「三重校验」——31 行业集合完整、总量环比平滑、HHI 落位合理，否则不摄入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Wind 自然语言接口对年报期（Q4）与早年 Q1/Q3 的持仓问句不稳定，这类响应一律不采信并登记根因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数据源优先顺序：Wind（主力）→ 东方财富妙想 / 同花顺 iFinD（交叉验证与补缺）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6FEB"/>
          <w:sz w:val="30"/>
        </w:rPr>
        <w:t>6. 已知边界（如实声明）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前十大重仓口径 ≠ 全部持仓：系统性低估分散型行业，绝对水平有偏（横向可比）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F13 筹码盈利比例为指数层面代理，非成分股加权精确口径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可建模区间主口径仅 10 期（2024Q1~2026Q2）：主口径版 F2/F3/F4b/F15 无法取值，已用偏股混合 37 期超配长历史构建长历史版完成检验（结论：不显著）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早年持仓（2010~2015、2016~2018 Q1/Q4）缺口：需批量基金季报重仓数据库（东方财富妙想为「查实体」接口、套餐对聚合数据已超限；同花顺 iFinD 需另行提供密钥）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行业季度涨跌幅曾存在前值填充缺陷（486 格，2022Q1 起），已于 R16 用 Wind 季 K 重抓替换；修正后 F9/F13 的 IC 归零、F11 边际显著（p=0.06），拥挤度仍无稳定可交易的截面预测力</w:t>
      </w:r>
    </w:p>
    <w:p>
      <w:pPr>
        <w:spacing w:after="60"/>
        <w:ind w:left="283"/>
      </w:pPr>
      <w:r>
        <w:rPr>
          <w:rFonts w:ascii="宋体" w:hAnsi="宋体" w:eastAsia="宋体"/>
          <w:b w:val="0"/>
          <w:sz w:val="20"/>
        </w:rPr>
        <w:t>• 结论是「方向性证据」而非「稳健统计结论」，不构成可交易信号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