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微软雅黑" w:hAnsi="微软雅黑" w:eastAsia="微软雅黑"/>
          <w:b/>
          <w:color w:val="1F6FEB"/>
          <w:sz w:val="24"/>
        </w:rPr>
        <w:t>公募基金持仓研究</w:t>
      </w:r>
    </w:p>
    <w:p>
      <w:pPr>
        <w:jc w:val="center"/>
      </w:pPr>
      <w:r>
        <w:rPr>
          <w:rFonts w:ascii="微软雅黑" w:hAnsi="微软雅黑" w:eastAsia="微软雅黑"/>
          <w:b/>
          <w:color w:val="1F2D3D"/>
          <w:sz w:val="52"/>
        </w:rPr>
        <w:t>行业拥挤度与集中度分析报告</w:t>
      </w:r>
    </w:p>
    <w:p>
      <w:pPr>
        <w:jc w:val="center"/>
      </w:pPr>
      <w:r>
        <w:rPr>
          <w:rFonts w:ascii="微软雅黑" w:hAnsi="微软雅黑" w:eastAsia="微软雅黑"/>
          <w:color w:val="6B7A8C"/>
          <w:sz w:val="26"/>
        </w:rPr>
        <w:t>2026 年三季度 · 数据截至 2026 年 9 月 30 日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F2F5F8"/>
          </w:tcPr>
          <w:p>
            <w:pPr>
              <w:spacing w:before="20" w:after="20"/>
            </w:pPr>
            <w:r/>
            <w:r>
              <w:rPr>
                <w:rFonts w:ascii="微软雅黑" w:hAnsi="微软雅黑" w:eastAsia="微软雅黑"/>
                <w:b/>
                <w:color w:val="1F6FEB"/>
                <w:sz w:val="18"/>
              </w:rPr>
              <w:t>样本范围</w:t>
            </w:r>
          </w:p>
        </w:tc>
        <w:tc>
          <w:tcPr>
            <w:tcW w:type="dxa" w:w="4706"/>
          </w:tcPr>
          <w:p>
            <w:pPr>
              <w:spacing w:before="20" w:after="2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4,270 只主动权益基金（普通股票型 + 偏股混合 + 灵活配置，已剔主题基金）</w:t>
            </w:r>
          </w:p>
        </w:tc>
      </w:tr>
      <w:tr>
        <w:tc>
          <w:tcPr>
            <w:tcW w:type="dxa" w:w="1814"/>
            <w:shd w:val="clear" w:fill="F2F5F8"/>
          </w:tcPr>
          <w:p>
            <w:pPr>
              <w:spacing w:before="20" w:after="20"/>
            </w:pPr>
            <w:r/>
            <w:r>
              <w:rPr>
                <w:rFonts w:ascii="微软雅黑" w:hAnsi="微软雅黑" w:eastAsia="微软雅黑"/>
                <w:b/>
                <w:color w:val="1F6FEB"/>
                <w:sz w:val="18"/>
              </w:rPr>
              <w:t>行业分类</w:t>
            </w:r>
          </w:p>
        </w:tc>
        <w:tc>
          <w:tcPr>
            <w:tcW w:type="dxa" w:w="4706"/>
          </w:tcPr>
          <w:p>
            <w:pPr>
              <w:spacing w:before="20" w:after="2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申万一级 31 个行业</w:t>
            </w:r>
          </w:p>
        </w:tc>
      </w:tr>
      <w:tr>
        <w:tc>
          <w:tcPr>
            <w:tcW w:type="dxa" w:w="1814"/>
            <w:shd w:val="clear" w:fill="F2F5F8"/>
          </w:tcPr>
          <w:p>
            <w:pPr>
              <w:spacing w:before="20" w:after="20"/>
            </w:pPr>
            <w:r/>
            <w:r>
              <w:rPr>
                <w:rFonts w:ascii="微软雅黑" w:hAnsi="微软雅黑" w:eastAsia="微软雅黑"/>
                <w:b/>
                <w:color w:val="1F6FEB"/>
                <w:sz w:val="18"/>
              </w:rPr>
              <w:t>数据来源</w:t>
            </w:r>
          </w:p>
        </w:tc>
        <w:tc>
          <w:tcPr>
            <w:tcW w:type="dxa" w:w="4706"/>
          </w:tcPr>
          <w:p>
            <w:pPr>
              <w:spacing w:before="20" w:after="2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东方财富基金定期报告（季报前十大、半年报全持仓）；申万行业指数日行情</w:t>
            </w:r>
          </w:p>
        </w:tc>
      </w:tr>
      <w:tr>
        <w:tc>
          <w:tcPr>
            <w:tcW w:type="dxa" w:w="1814"/>
            <w:shd w:val="clear" w:fill="F2F5F8"/>
          </w:tcPr>
          <w:p>
            <w:pPr>
              <w:spacing w:before="20" w:after="20"/>
            </w:pPr>
            <w:r/>
            <w:r>
              <w:rPr>
                <w:rFonts w:ascii="微软雅黑" w:hAnsi="微软雅黑" w:eastAsia="微软雅黑"/>
                <w:b/>
                <w:color w:val="1F6FEB"/>
                <w:sz w:val="18"/>
              </w:rPr>
              <w:t>口径说明</w:t>
            </w:r>
          </w:p>
        </w:tc>
        <w:tc>
          <w:tcPr>
            <w:tcW w:type="dxa" w:w="4706"/>
          </w:tcPr>
          <w:p>
            <w:pPr>
              <w:spacing w:before="20" w:after="2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配置/广度/分位为前十大口径（2026Q2→2026Q3）；主动/被动为全持仓（2025Q4→2026Q2）</w:t>
            </w:r>
          </w:p>
        </w:tc>
      </w:tr>
    </w:tbl>
    <w:p/>
    <w:p/>
    <w:p/>
    <w:p>
      <w:pPr>
        <w:jc w:val="center"/>
      </w:pPr>
      <w:r>
        <w:rPr>
          <w:rFonts w:ascii="宋体" w:hAnsi="宋体" w:eastAsia="宋体"/>
          <w:color w:val="6B7A8C"/>
          <w:sz w:val="17"/>
        </w:rPr>
        <w:t>本报告由持仓数据自动生成，所有指标可用原始披露复算。</w:t>
        <w:br/>
        <w:t>报告为数据描述与规则输出，不构成投资建议。</w:t>
      </w:r>
    </w:p>
    <w:p>
      <w:r>
        <w:br w:type="page"/>
      </w:r>
    </w:p>
    <w:p>
      <w:pPr>
        <w:spacing w:before="200" w:after="80"/>
        <w:pBdr>
          <w:bottom w:val="single" w:sz="6" w:color="1F6FEB"/>
        </w:pBdr>
      </w:pPr>
      <w:r>
        <w:rPr>
          <w:rFonts w:ascii="微软雅黑" w:hAnsi="微软雅黑" w:eastAsia="微软雅黑"/>
          <w:b/>
          <w:color w:val="1F2D3D"/>
          <w:sz w:val="26"/>
        </w:rPr>
        <w:t>摘要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本报告基于 2026Q3 全部 4,270 只主动权益基金的前十大重仓披露，从「押得多重（配置）、价格多贵（指数）、钱还在不在进（资金）」三个维度，给出 31 个申万一级行业的拥挤度评分（CSI），并拆解本季度的行业轮动与个股换手。核心结论如下。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1"/>
        </w:rPr>
        <w:t>总仓位停在 89.0%（15 个半年报期第 87 分位），较上期 -0.04pp，42% 的基金加仓。整体没有增量资金，行业配置的变化是内部换仓。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1"/>
        </w:rPr>
        <w:t>行业集中度 HHI 为 0.0982（31 期中第 97 分位），前三大行业合计 42.7%。集中度处于历史高位，组合对少数行业的依赖度高于过去多数时点。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1"/>
        </w:rPr>
        <w:t>最拥挤的三个行业是 煤炭（88）、石油石化（85）、银行（78）；CSI 最低的三个是 食品饮料（22）、非银金融（24）、计算机（26）。31 个行业中极度拥挤 2 个、拥挤 7 个、冷门 2 个；另有 5 个行业因持有基金数不足 150 只、或前十配置不足 0.5%，一律不评级，不计入上述任何一档。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1"/>
        </w:rPr>
        <w:t>拥挤度上升最快的是 银行（+44）、石油石化（+38）、医药生物（+32）；回落最快的是 建筑材料（-59）、美容护理（-30）、电子（-29）。「水位已高且仍在涨」比「水位高但在退潮」更值得警惕。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1"/>
        </w:rPr>
        <w:t>按事前固定的规则，本期可以跟的行业 3 个（医药生物、公用事业、房地产），别追高 3 个（银行、煤炭、石油石化），要回避 6 个（通信、非银金融、建筑材料、机械设备、电力设备、电子）。权益仓位参考 50%–60%。</w:t>
      </w:r>
    </w:p>
    <w:p>
      <w:pPr>
        <w:spacing w:before="20" w:after="160" w:line="324" w:lineRule="auto"/>
      </w:pPr>
      <w:r>
        <w:rPr>
          <w:rFonts w:ascii="宋体" w:hAnsi="宋体" w:eastAsia="宋体"/>
          <w:color w:val="6B7A8C"/>
          <w:sz w:val="16"/>
        </w:rPr>
        <w:t>说明：本报告的「可以跟」指资金在进、多数基金在加、价格不在历史极值，是赔率与风险的组合判断，不是收益预测。因子检验显示季报指标对次季收益没有稳定预测力。</w:t>
      </w:r>
    </w:p>
    <w:p>
      <w:pPr>
        <w:spacing w:before="200" w:after="80"/>
        <w:pBdr>
          <w:bottom w:val="single" w:sz="6" w:color="1F6FEB"/>
        </w:pBdr>
      </w:pPr>
      <w:r>
        <w:rPr>
          <w:rFonts w:ascii="微软雅黑" w:hAnsi="微软雅黑" w:eastAsia="微软雅黑"/>
          <w:b/>
          <w:color w:val="1F2D3D"/>
          <w:sz w:val="26"/>
        </w:rPr>
        <w:t>一、数据与方法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1F6FEB"/>
          <w:sz w:val="22"/>
        </w:rPr>
        <w:t>1.1 样本与三套口径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样本为 2026Q3 有完整持仓披露的主动权益基金 4,270 只。指数基金、ETF 联接的持仓是复制标的，债券与 QDII 不投 A 股，均不计入——否则被动资金会被误读成「机构观点」。单行业占前十大超过 80% 的主题基金也已剔除，其变动反映主题申赎而非行业判断。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先说清披露制度，否则后面的口径会看起来互相矛盾：按《公开募集证券投资基金信息披露管理办法》，基金季报（Q1、Q3）只披露前十大重仓股；半年报（Q2）与年报（Q4）披露全部持仓。所以「前十大」不是只有半年报才有——季报本身就是前十大，半年报虽然给了全部持仓，我们同样只取最重的 10 只，四个季度的披露范围就对齐了，环比（Q2→Q3）与同比（Q3→去年Q3）都能算。这也是本报告「个股环比」成立的原因：不是把全持仓与季报混算，而是把全持仓截到前十大，与季报同口径。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持仓数据存在三套互不通用的口径，本报告严格区分：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13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口径</w:t>
            </w:r>
          </w:p>
        </w:tc>
        <w:tc>
          <w:tcPr>
            <w:tcW w:type="dxa" w:w="147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频率</w:t>
            </w:r>
          </w:p>
        </w:tc>
        <w:tc>
          <w:tcPr>
            <w:tcW w:type="dxa" w:w="2608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权重定义</w:t>
            </w:r>
          </w:p>
        </w:tc>
        <w:tc>
          <w:tcPr>
            <w:tcW w:type="dxa" w:w="2381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回答什么</w:t>
            </w:r>
          </w:p>
        </w:tc>
        <w:tc>
          <w:tcPr>
            <w:tcW w:type="dxa" w:w="2268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不能回答什么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 全持仓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半年报（Q2/Q4）</w:t>
            </w:r>
          </w:p>
        </w:tc>
        <w:tc>
          <w:tcPr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占净值比，之和＝股票仓位</w:t>
            </w:r>
          </w:p>
        </w:tc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配置水平、超配低配、主动/被动分解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一年只有两次</w:t>
            </w:r>
          </w:p>
        </w:tc>
      </w:tr>
      <w:tr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B 前十大</w:t>
            </w:r>
          </w:p>
        </w:tc>
        <w:tc>
          <w:tcPr>
            <w:tcW w:type="dxa" w:w="147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季报（Q1–Q4）</w:t>
            </w:r>
          </w:p>
        </w:tc>
        <w:tc>
          <w:tcPr>
            <w:tcW w:type="dxa" w:w="2608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每只基金取前 10 只后归一化到 100%</w:t>
            </w:r>
          </w:p>
        </w:tc>
        <w:tc>
          <w:tcPr>
            <w:tcW w:type="dxa" w:w="238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加仓广度、环比/同比、历史分位</w:t>
            </w:r>
          </w:p>
        </w:tc>
        <w:tc>
          <w:tcPr>
            <w:tcW w:type="dxa" w:w="2268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只覆盖组合一部分，绝对水平不可用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 个股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同披露类型两期</w:t>
            </w:r>
          </w:p>
        </w:tc>
        <w:tc>
          <w:tcPr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持有基金数、持股数、持仓市值</w:t>
            </w:r>
          </w:p>
        </w:tc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谁被建仓、谁被移出</w:t>
            </w:r>
          </w:p>
        </w:tc>
        <w:tc>
          <w:tcPr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跌出前十不等于清仓</w:t>
            </w:r>
          </w:p>
        </w:tc>
      </w:tr>
    </w:tbl>
    <w:p>
      <w:pPr>
        <w:spacing w:before="20" w:after="160" w:line="324" w:lineRule="auto"/>
      </w:pPr>
      <w:r>
        <w:rPr>
          <w:rFonts w:ascii="宋体" w:hAnsi="宋体" w:eastAsia="宋体"/>
          <w:color w:val="6B7A8C"/>
          <w:sz w:val="16"/>
        </w:rPr>
        <w:t>三套口径的分母与披露范围都不同，不能相加，也不能跨口径比较绝对水平。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1F6FEB"/>
          <w:sz w:val="22"/>
        </w:rPr>
        <w:t>1.2 拥挤度指数 CSI 的定义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CSI 把三个相互独立的维度各自换算为 0–100 的分位后等权平均：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1"/>
        </w:rPr>
        <w:t>配置分位：该行业前十大配置在自身 31 期历史中的排名——机构押得多重；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1"/>
        </w:rPr>
        <w:t>价格分位：行业指数季末点位在 2019 年以来交易日中的排名——价格有多贵；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1"/>
        </w:rPr>
        <w:t>资金分位：当期加仓占比在 31 个行业之间的排名——钱还在不在进。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等权而非加权，是因为三个维度已统一为分位、量纲一致；31 个行业 × 31 期的样本量不足以稳定估计权重，任何加权都容易过拟合。分级阈值为：≥80 极度拥挤、65–80 拥挤、45–65 中性、25–45 偏冷、&lt;25 冷门。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为什么不用 HHI：HHI＝Σw²，是**一个组合**的集中度，31 个行业最终压成一个标量，只能回答「整体分散不分散」，无法给行业排序；本报告要回答「哪个行业挤」，主指标只能是行业层面的 CSI。HHI 作为组合层面的辅助指标保留在第二章。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1F6FEB"/>
          <w:sz w:val="22"/>
        </w:rPr>
        <w:t>1.3 数据质量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覆盖率（持仓市值 ÷ 净值）异常的记录（&gt;105% 或 &lt;1%）整只剔除，不做归一化；个股代码统一为字符串，港股 5 位代码不补零（避免与 A 股撞码）。报告全部指标由 canon 统一口径层计算，12 条恒等式自检（归一化、广度分母、价格中性净额之和、GK 恒等式、分位区间、个股一致性等）全部通过。</w:t>
      </w:r>
    </w:p>
    <w:p>
      <w:r>
        <w:br w:type="page"/>
      </w:r>
    </w:p>
    <w:p>
      <w:pPr>
        <w:spacing w:before="200" w:after="80"/>
        <w:pBdr>
          <w:bottom w:val="single" w:sz="6" w:color="1F6FEB"/>
        </w:pBdr>
      </w:pPr>
      <w:r>
        <w:rPr>
          <w:rFonts w:ascii="微软雅黑" w:hAnsi="微软雅黑" w:eastAsia="微软雅黑"/>
          <w:b/>
          <w:color w:val="1F2D3D"/>
          <w:sz w:val="26"/>
        </w:rPr>
        <w:t>二、总体仓位与集中度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181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1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微软雅黑" w:hAnsi="微软雅黑" w:eastAsia="微软雅黑"/>
          <w:color w:val="6B7A8C"/>
          <w:sz w:val="17"/>
        </w:rPr>
        <w:t>图 1　股票仓位中位数：15 个半年报期（阴影为 25–75 分位带）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最新全持仓期（2026Q2）股票仓位中位 89.05%，较 2025Q4 的 89.08% 变化 -0.04pp，位于 15 个半年报期的第 87 分位。42% 的基金加仓、58% 减仓。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需要说明期次：最新季报是 2026Q3，但季报只披露前十大（覆盖净值约 20%–50%），无法据此还原股票仓位；完整仓位只在半年报（Q2/Q4）可见。因此本节用的是最近一个全持仓期 2026Q2，与最新季报 2026Q3 相差一个季度——这不是数据滞后，而是披露制度决定的：季报没有全量持仓，就不存在「Q3 的股票仓位」这个数。后文的行业配置、广度、拥挤度均已更新到 2026Q3。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这条数据决定了全篇的读法：既然总仓位没有变化，行业配置的此消彼长就只能来自内部换仓。因此看到某行业占比上升，可以读成「机构更看好它」，而不必担心是「大盘上涨、水涨船高」。反过来，仓位已在 87 分位的高位，指望「全体加仓推动普涨」并不现实。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1F6FEB"/>
          <w:sz w:val="22"/>
        </w:rPr>
        <w:t>2.1 集中度指标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81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147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数值</w:t>
            </w:r>
          </w:p>
        </w:tc>
        <w:tc>
          <w:tcPr>
            <w:tcW w:type="dxa" w:w="2608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备注</w:t>
            </w:r>
          </w:p>
        </w:tc>
        <w:tc>
          <w:tcPr>
            <w:tcW w:type="dxa" w:w="3402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含义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行业集中度 HHI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0.0982</w:t>
            </w:r>
          </w:p>
        </w:tc>
        <w:tc>
          <w:tcPr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第 97 分位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Σ(行业占比)²；越大越集中在少数行业</w:t>
            </w:r>
          </w:p>
        </w:tc>
      </w:tr>
      <w:tr>
        <w:tc>
          <w:tcPr>
            <w:tcW w:type="dxa" w:w="238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前三大行业合计 CR3</w:t>
            </w:r>
          </w:p>
        </w:tc>
        <w:tc>
          <w:tcPr>
            <w:tcW w:type="dxa" w:w="147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42.7%</w:t>
            </w:r>
          </w:p>
        </w:tc>
        <w:tc>
          <w:tcPr>
            <w:tcW w:type="dxa" w:w="2608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电子、通信、电力设备</w:t>
            </w:r>
          </w:p>
        </w:tc>
        <w:tc>
          <w:tcPr>
            <w:tcW w:type="dxa" w:w="3402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前三大行业占前十大组合的比重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配置最高行业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24.65%</w:t>
            </w:r>
          </w:p>
        </w:tc>
        <w:tc>
          <w:tcPr>
            <w:tcW w:type="dxa" w:w="260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电子</w:t>
            </w:r>
          </w:p>
        </w:tc>
        <w:tc>
          <w:tcPr>
            <w:tcW w:type="dxa" w:w="3402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前十大口径，等权平均</w:t>
            </w:r>
          </w:p>
        </w:tc>
      </w:tr>
    </w:tbl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HHI 0.0982 处于 31 期的第 97 分位，说明主动权益基金整体的行业分布比过去多数时点更集中。集中度本身不区分方向：它只说明组合对少数行业的依赖度上升，一旦这些行业出现回调，净值波动会被放大。</w:t>
      </w:r>
    </w:p>
    <w:p>
      <w:r>
        <w:br w:type="page"/>
      </w:r>
    </w:p>
    <w:p>
      <w:pPr>
        <w:spacing w:before="200" w:after="80"/>
        <w:pBdr>
          <w:bottom w:val="single" w:sz="6" w:color="1F6FEB"/>
        </w:pBdr>
      </w:pPr>
      <w:r>
        <w:rPr>
          <w:rFonts w:ascii="微软雅黑" w:hAnsi="微软雅黑" w:eastAsia="微软雅黑"/>
          <w:b/>
          <w:color w:val="1F2D3D"/>
          <w:sz w:val="26"/>
        </w:rPr>
        <w:t>三、拥挤度全景：31 个行业谁最挤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26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s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26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微软雅黑" w:hAnsi="微软雅黑" w:eastAsia="微软雅黑"/>
          <w:color w:val="6B7A8C"/>
          <w:sz w:val="17"/>
        </w:rPr>
        <w:t>图 2　31 个行业拥挤度指数 CSI（2026Q3）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701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等级</w:t>
            </w:r>
          </w:p>
        </w:tc>
        <w:tc>
          <w:tcPr>
            <w:tcW w:type="dxa" w:w="124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行业数</w:t>
            </w:r>
          </w:p>
        </w:tc>
        <w:tc>
          <w:tcPr>
            <w:tcW w:type="dxa" w:w="6803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行业（前 6 个）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极度拥挤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6803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煤炭、石油石化</w:t>
            </w:r>
          </w:p>
        </w:tc>
      </w:tr>
      <w:tr>
        <w:tc>
          <w:tcPr>
            <w:tcW w:type="dxa" w:w="170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拥挤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type="dxa" w:w="6803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银行、公用事业、通信、有色金属、电子、机械设备…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中性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6803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基础化工、医药生物、轻工制造、汽车、家用电器、纺织服饰</w:t>
            </w:r>
          </w:p>
        </w:tc>
      </w:tr>
      <w:tr>
        <w:tc>
          <w:tcPr>
            <w:tcW w:type="dxa" w:w="170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偏冷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6803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房地产、农林牧渔、交通运输、商贸零售、建筑材料、传媒…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冷门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6803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非银金融、食品饮料</w:t>
            </w:r>
          </w:p>
        </w:tc>
      </w:tr>
      <w:tr>
        <w:tc>
          <w:tcPr>
            <w:tcW w:type="dxa" w:w="170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小样本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6803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综合、环保、社会服务、钢铁、美容护理</w:t>
            </w:r>
          </w:p>
        </w:tc>
      </w:tr>
    </w:tbl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最拥挤的是 煤炭（CSI 88）、石油石化（CSI 85）、银行（CSI 78）。其中煤炭、石油石化的价格分位都在 90 以上，属于「机构重仓 + 价格在历史高位」，是本报告认定的真拥挤。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需要单独说明：综合、环保、社会服务、钢铁、美容护理 这 5 个行业本报告一律「不评级」。以 综合 为例，它的 CSI 算出来是 83 分，按三分位本来会判为「极度拥挤」，但全市场只有 58 只样本基金把它放进前十大，前十配置合计仅 0.12%。三个分位都是在这个极小样本上排出来的——几十只基金里少数几只调仓，就能把资金分位推到 80 以上；指数从低位反弹一段，就能把价格分位推到 90 以上。而这个行业对整个组合的影响不足 0.2pp，即使仓位清零，对净值的影响也小于一个正常行业 1pp 的调仓。因此它不进入拥挤排名、不给买卖动作，在图表中一律以灰色「小样本」显示。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CSI 最低的三个行业是 食品饮料（CSI 22）、非银金融（CSI 24）、计算机（CSI 26）。注意「冷门」与「小样本」不是一回事：冷门是持有基金数足够多、但配置与资金都在低位；小样本是持有人本来就少，不评级。冷门不等于机会——它只说明当前没有资金关注，需要等「加仓占比回升 + 净额转正」两个信号同时出现，才构成关注理由。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1F6FEB"/>
          <w:sz w:val="22"/>
        </w:rPr>
        <w:t>3.1 小样本行业的处理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判定规则（事前固定）：全市场持有基金数少于 150 只、或前十配置低于 0.5%，即标记为「小样本」，等级记为「小样本」而不是任何拥挤档位。理由有两条：① 分位是排序统计量，样本越小，少数观测越容易把它推到极值；② CSI 三个分量里，价格分位与资金分位都不看绝对配置，一个只占组合 0.1% 的行业也能拿到 90 分，但它对净值没有影响。本期小样本行业为：综合、环保、社会服务、钢铁、美容护理。这些行业的 CSI 数值仍保留在附录，仅供了解其自身位置的极端程度，不构成拥挤判断。</w:t>
      </w:r>
    </w:p>
    <w:p>
      <w:r>
        <w:br w:type="page"/>
      </w:r>
    </w:p>
    <w:p>
      <w:pPr>
        <w:spacing w:before="200" w:after="80"/>
        <w:pBdr>
          <w:bottom w:val="single" w:sz="6" w:color="1F6FEB"/>
        </w:pBdr>
      </w:pPr>
      <w:r>
        <w:rPr>
          <w:rFonts w:ascii="微软雅黑" w:hAnsi="微软雅黑" w:eastAsia="微软雅黑"/>
          <w:b/>
          <w:color w:val="1F2D3D"/>
          <w:sz w:val="26"/>
        </w:rPr>
        <w:t>四、拥挤度变化：谁在变挤、谁在变松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0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cs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微软雅黑" w:hAnsi="微软雅黑" w:eastAsia="微软雅黑"/>
          <w:color w:val="6B7A8C"/>
          <w:sz w:val="17"/>
        </w:rPr>
        <w:t>图 3　ΔCSI＝本期 − 上期（2026Q2→2026Q3），红＝变挤、绿＝变松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水位（CSI）说明现在挤不挤，水流（ΔCSI）说明正在往哪个方向走。两者必须一起看：水位高但正在放水，危险程度远低于「水位高且还在涨」。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本期变挤最快的是 银行（35→78，+44）、石油石化（47→85，+38）、医药生物（24→56，+32）；变松最快的是 建筑材料（89→30，-59）、美容护理（33→3，-30）、电子（100→71，-29）。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最需要警惕的是「水位 ≥80 且 ΔCSI&gt;0」的行业，本期有 3 个：石油石化、综合、煤炭。这些行业既在历史高位、资金又还在往里挤，边际买家正在耗尽。相反，已经变松的高水位行业不必急着卖——资金正在自己退潮。</w:t>
      </w:r>
    </w:p>
    <w:p>
      <w:r>
        <w:br w:type="page"/>
      </w:r>
    </w:p>
    <w:p>
      <w:pPr>
        <w:spacing w:before="200" w:after="80"/>
        <w:pBdr>
          <w:bottom w:val="single" w:sz="6" w:color="1F6FEB"/>
        </w:pBdr>
      </w:pPr>
      <w:r>
        <w:rPr>
          <w:rFonts w:ascii="微软雅黑" w:hAnsi="微软雅黑" w:eastAsia="微软雅黑"/>
          <w:b/>
          <w:color w:val="1F2D3D"/>
          <w:sz w:val="26"/>
        </w:rPr>
        <w:t>五、配置 × 价格：四象限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39697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3969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微软雅黑" w:hAnsi="微软雅黑" w:eastAsia="微软雅黑"/>
          <w:color w:val="6B7A8C"/>
          <w:sz w:val="17"/>
        </w:rPr>
        <w:t>图 4　配置分位 × 价格分位（气泡大小＝前十配置比例）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81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象限</w:t>
            </w:r>
          </w:p>
        </w:tc>
        <w:tc>
          <w:tcPr>
            <w:tcW w:type="dxa" w:w="113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行业数</w:t>
            </w:r>
          </w:p>
        </w:tc>
        <w:tc>
          <w:tcPr>
            <w:tcW w:type="dxa" w:w="4309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2835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代表行业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右上　真拥挤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</w:t>
            </w:r>
          </w:p>
        </w:tc>
        <w:tc>
          <w:tcPr>
            <w:tcW w:type="dxa" w:w="4309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机构重仓且价格在历史高位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煤炭、电子、通信、石油石化</w:t>
            </w:r>
          </w:p>
        </w:tc>
      </w:tr>
      <w:tr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右下　抱团没赚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4309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仓位重但价格还在低位，要么机会要么判断错</w:t>
            </w:r>
          </w:p>
        </w:tc>
        <w:tc>
          <w:tcPr>
            <w:tcW w:type="dxa" w:w="2835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纺织服饰、轻工制造、环保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左上　机构踏空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4309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价格涨了但仓位没跟上</w:t>
            </w:r>
          </w:p>
        </w:tc>
        <w:tc>
          <w:tcPr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家用电器、公用事业、电力设备</w:t>
            </w:r>
          </w:p>
        </w:tc>
      </w:tr>
      <w:tr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左下　冷门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14</w:t>
            </w:r>
          </w:p>
        </w:tc>
        <w:tc>
          <w:tcPr>
            <w:tcW w:type="dxa" w:w="4309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仓位轻、价格低，无资金关注</w:t>
            </w:r>
          </w:p>
        </w:tc>
        <w:tc>
          <w:tcPr>
            <w:tcW w:type="dxa" w:w="2835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农林牧渔、钢铁、食品饮料</w:t>
            </w:r>
          </w:p>
        </w:tc>
      </w:tr>
    </w:tbl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只看配置分位会高估小行业的拥挤、低估大行业的风险；只看价格分位会把「一直很重」当成「现在才拥挤」。两个分位一起看，才知道该减谁、该等谁。右上角是真拥挤——买它等于在拥挤处接棒；右下角是「闷在里面」的，不用急着卖。</w:t>
      </w:r>
    </w:p>
    <w:p>
      <w:r>
        <w:br w:type="page"/>
      </w:r>
    </w:p>
    <w:p>
      <w:pPr>
        <w:spacing w:before="200" w:after="80"/>
        <w:pBdr>
          <w:bottom w:val="single" w:sz="6" w:color="1F6FEB"/>
        </w:pBdr>
      </w:pPr>
      <w:r>
        <w:rPr>
          <w:rFonts w:ascii="微软雅黑" w:hAnsi="微软雅黑" w:eastAsia="微软雅黑"/>
          <w:b/>
          <w:color w:val="1F2D3D"/>
          <w:sz w:val="26"/>
        </w:rPr>
        <w:t>六、行业配置变化与个股换手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1F6FEB"/>
          <w:sz w:val="22"/>
        </w:rPr>
        <w:t>6.1 行业环比与同比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361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行业</w:t>
            </w:r>
          </w:p>
        </w:tc>
        <w:tc>
          <w:tcPr>
            <w:tcW w:type="dxa" w:w="113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前十配置%</w:t>
            </w:r>
          </w:p>
        </w:tc>
        <w:tc>
          <w:tcPr>
            <w:tcW w:type="dxa" w:w="141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环比pp(2026Q2→2026Q3)</w:t>
            </w:r>
          </w:p>
        </w:tc>
        <w:tc>
          <w:tcPr>
            <w:tcW w:type="dxa" w:w="141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同比pp(2025Q3→2026Q3)</w:t>
            </w:r>
          </w:p>
        </w:tc>
        <w:tc>
          <w:tcPr>
            <w:tcW w:type="dxa" w:w="124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当期主动pp</w:t>
            </w:r>
          </w:p>
        </w:tc>
        <w:tc>
          <w:tcPr>
            <w:tcW w:type="dxa" w:w="1191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加仓占比%</w:t>
            </w:r>
          </w:p>
        </w:tc>
        <w:tc>
          <w:tcPr>
            <w:tcW w:type="dxa" w:w="1020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配置分位</w:t>
            </w:r>
          </w:p>
        </w:tc>
        <w:tc>
          <w:tcPr>
            <w:tcW w:type="dxa" w:w="1020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价格分位</w:t>
            </w:r>
          </w:p>
        </w:tc>
        <w:tc>
          <w:tcPr>
            <w:tcW w:type="dxa" w:w="113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动作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农林牧渔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1.35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0.41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-0.18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58.5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35.48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13.5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等确认</w:t>
            </w:r>
          </w:p>
        </w:tc>
      </w:tr>
      <w:tr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基础化工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3.83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-0.03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0.73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-0.02</w:t>
            </w:r>
          </w:p>
        </w:tc>
        <w:tc>
          <w:tcPr>
            <w:tcW w:type="dxa" w:w="119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51.9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74.19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66.3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中性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钢铁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0.34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-0.06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-0.24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-0.07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37.9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29.03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28.0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中性</w:t>
            </w:r>
          </w:p>
        </w:tc>
      </w:tr>
      <w:tr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有色金属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4.84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0.53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-2.74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0.37</w:t>
            </w:r>
          </w:p>
        </w:tc>
        <w:tc>
          <w:tcPr>
            <w:tcW w:type="dxa" w:w="119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56.9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64.52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88.5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观察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电子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24.65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-4.94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4.17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-2.54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43.6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96.77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94.7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要回避</w:t>
            </w:r>
          </w:p>
        </w:tc>
      </w:tr>
      <w:tr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汽车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4.77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-2.57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-0.05</w:t>
            </w:r>
          </w:p>
        </w:tc>
        <w:tc>
          <w:tcPr>
            <w:tcW w:type="dxa" w:w="119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47.6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61.29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67.3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中性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家用电器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2.62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0.21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-0.51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53.0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32.26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63.8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中性</w:t>
            </w:r>
          </w:p>
        </w:tc>
      </w:tr>
      <w:tr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食品饮料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3.88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0.46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-0.15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</w:t>
            </w:r>
          </w:p>
        </w:tc>
        <w:tc>
          <w:tcPr>
            <w:tcW w:type="dxa" w:w="119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53.4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6.45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7.4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等确认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纺织服饰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0.71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0.1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0.15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54.8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67.74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13.9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中性</w:t>
            </w:r>
          </w:p>
        </w:tc>
      </w:tr>
      <w:tr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轻工制造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1.16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0.05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0.14</w:t>
            </w:r>
          </w:p>
        </w:tc>
        <w:tc>
          <w:tcPr>
            <w:tcW w:type="dxa" w:w="119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59.4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67.74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20.8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等确认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医药生物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6.22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2.86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1.36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2.17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67.0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35.48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36.8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可以跟</w:t>
            </w:r>
          </w:p>
        </w:tc>
      </w:tr>
      <w:tr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公用事业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1.36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0.55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0.54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0.52</w:t>
            </w:r>
          </w:p>
        </w:tc>
        <w:tc>
          <w:tcPr>
            <w:tcW w:type="dxa" w:w="119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66.3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48.39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81.5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可以跟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交通运输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1.96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0.44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0.34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59.1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29.03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14.5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等确认</w:t>
            </w:r>
          </w:p>
        </w:tc>
      </w:tr>
      <w:tr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房地产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0.67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0.29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-0.19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0.32</w:t>
            </w:r>
          </w:p>
        </w:tc>
        <w:tc>
          <w:tcPr>
            <w:tcW w:type="dxa" w:w="119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74.3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12.9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12.9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可以跟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商贸零售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0.53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0.13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-0.26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57.1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25.81</w:t>
            </w:r>
          </w:p>
        </w:tc>
        <w:tc>
          <w:tcPr>
            <w:tcW w:type="dxa" w:w="102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7.3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中性</w:t>
            </w:r>
          </w:p>
        </w:tc>
      </w:tr>
      <w:tr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社会服务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0.38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0.04</w:t>
            </w:r>
          </w:p>
        </w:tc>
        <w:tc>
          <w:tcPr>
            <w:tcW w:type="dxa" w:w="141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0.07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-0.0</w:t>
            </w:r>
          </w:p>
        </w:tc>
        <w:tc>
          <w:tcPr>
            <w:tcW w:type="dxa" w:w="119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48.9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9.68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25.4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5"/>
              </w:rPr>
              <w:t>中性</w:t>
            </w:r>
          </w:p>
        </w:tc>
      </w:tr>
    </w:tbl>
    <w:p>
      <w:pPr>
        <w:spacing w:before="20" w:after="160" w:line="324" w:lineRule="auto"/>
      </w:pPr>
      <w:r>
        <w:rPr>
          <w:rFonts w:ascii="宋体" w:hAnsi="宋体" w:eastAsia="宋体"/>
          <w:color w:val="6B7A8C"/>
          <w:sz w:val="16"/>
        </w:rPr>
        <w:t>按环比降序前 16 个行业；完整 31 行见附录。环比含价格漂移，「当期主动pp」为价格中性后的净买卖，两者不可混用。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1F6FEB"/>
          <w:sz w:val="22"/>
        </w:rPr>
        <w:t>6.2 个股：环比与同比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90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方向</w:t>
            </w:r>
          </w:p>
        </w:tc>
        <w:tc>
          <w:tcPr>
            <w:tcW w:type="dxa" w:w="147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股票</w:t>
            </w:r>
          </w:p>
        </w:tc>
        <w:tc>
          <w:tcPr>
            <w:tcW w:type="dxa" w:w="1361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158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2026Q2持有基金数</w:t>
            </w:r>
          </w:p>
        </w:tc>
        <w:tc>
          <w:tcPr>
            <w:tcW w:type="dxa" w:w="158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2026Q3持有基金数</w:t>
            </w:r>
          </w:p>
        </w:tc>
        <w:tc>
          <w:tcPr>
            <w:tcW w:type="dxa" w:w="1020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环比Δ</w:t>
            </w:r>
          </w:p>
        </w:tc>
        <w:tc>
          <w:tcPr>
            <w:tcW w:type="dxa" w:w="1701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同比Δ(2025Q3→2026Q3)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加仓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长鑫科技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电子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0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667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667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667</w:t>
            </w:r>
          </w:p>
        </w:tc>
      </w:tr>
      <w:tr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加仓</w:t>
            </w:r>
          </w:p>
        </w:tc>
        <w:tc>
          <w:tcPr>
            <w:tcW w:type="dxa" w:w="147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药明康德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医药生物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323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744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421</w:t>
            </w:r>
          </w:p>
        </w:tc>
        <w:tc>
          <w:tcPr>
            <w:tcW w:type="dxa" w:w="170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528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加仓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紫金矿业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有色金属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322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546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224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-182</w:t>
            </w:r>
          </w:p>
        </w:tc>
      </w:tr>
      <w:tr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加仓</w:t>
            </w:r>
          </w:p>
        </w:tc>
        <w:tc>
          <w:tcPr>
            <w:tcW w:type="dxa" w:w="147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松发股份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国防军工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39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202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163</w:t>
            </w:r>
          </w:p>
        </w:tc>
        <w:tc>
          <w:tcPr>
            <w:tcW w:type="dxa" w:w="170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202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加仓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天孚通信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通信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200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354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154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177</w:t>
            </w:r>
          </w:p>
        </w:tc>
      </w:tr>
      <w:tr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减仓</w:t>
            </w:r>
          </w:p>
        </w:tc>
        <w:tc>
          <w:tcPr>
            <w:tcW w:type="dxa" w:w="147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兆易创新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电子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583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164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-419</w:t>
            </w:r>
          </w:p>
        </w:tc>
        <w:tc>
          <w:tcPr>
            <w:tcW w:type="dxa" w:w="170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-167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减仓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海光信息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电子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437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211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-226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-30</w:t>
            </w:r>
          </w:p>
        </w:tc>
      </w:tr>
      <w:tr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减仓</w:t>
            </w:r>
          </w:p>
        </w:tc>
        <w:tc>
          <w:tcPr>
            <w:tcW w:type="dxa" w:w="147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宁德时代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电力设备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1041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826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-215</w:t>
            </w:r>
          </w:p>
        </w:tc>
        <w:tc>
          <w:tcPr>
            <w:tcW w:type="dxa" w:w="170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-286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减仓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中国巨石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建筑材料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287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72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-215</w:t>
            </w:r>
          </w:p>
        </w:tc>
        <w:tc>
          <w:tcPr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38</w:t>
            </w:r>
          </w:p>
        </w:tc>
      </w:tr>
      <w:tr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减仓</w:t>
            </w:r>
          </w:p>
        </w:tc>
        <w:tc>
          <w:tcPr>
            <w:tcW w:type="dxa" w:w="147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中际旭创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通信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1528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1335</w:t>
            </w:r>
          </w:p>
        </w:tc>
        <w:tc>
          <w:tcPr>
            <w:tcW w:type="dxa" w:w="1020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-193</w:t>
            </w:r>
          </w:p>
        </w:tc>
        <w:tc>
          <w:tcPr>
            <w:tcW w:type="dxa" w:w="1701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650</w:t>
            </w:r>
          </w:p>
        </w:tc>
      </w:tr>
    </w:tbl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环比与同比经常相反，本期方向相反的有 677 只。最典型的是 中际旭创（通信）：环比 -193 家、同比 +650 家——这一季在撤、这一年被大幅加过，浮盈盘刚开始离场，这类最需要警惕。反过来，紫金矿业（有色金属）环比 +224、同比 -182，是「这一年被减、这一季又被买回」，方向尚未确认。</w:t>
      </w:r>
    </w:p>
    <w:p>
      <w:pPr>
        <w:spacing w:before="20" w:after="160" w:line="324" w:lineRule="auto"/>
      </w:pPr>
      <w:r>
        <w:rPr>
          <w:rFonts w:ascii="宋体" w:hAnsi="宋体" w:eastAsia="宋体"/>
          <w:color w:val="6B7A8C"/>
          <w:sz w:val="16"/>
        </w:rPr>
        <w:t>口径：前十大（两期都只取每只基金最重的 10 只），披露范围一致才可比；已剔除两期持有基金数都不到 10 家的小样本。跌出前十不等于清仓。</w:t>
      </w:r>
    </w:p>
    <w:p>
      <w:r>
        <w:br w:type="page"/>
      </w:r>
    </w:p>
    <w:p>
      <w:pPr>
        <w:spacing w:before="200" w:after="80"/>
        <w:pBdr>
          <w:bottom w:val="single" w:sz="6" w:color="1F6FEB"/>
        </w:pBdr>
      </w:pPr>
      <w:r>
        <w:rPr>
          <w:rFonts w:ascii="微软雅黑" w:hAnsi="微软雅黑" w:eastAsia="微软雅黑"/>
          <w:b/>
          <w:color w:val="1F2D3D"/>
          <w:sz w:val="26"/>
        </w:rPr>
        <w:t>七、投资含义与操作建议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规则事前固定、不看结果调参：可以跟＝当期主动≥+0.3pp 且 广度≥60% 且 配置分位≤80 且 价格分位≤85；别追高＝位置到极值但资金还在进；要回避＝资金在撤且没人接，或配置分位≥90 且广度≤50。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24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动作</w:t>
            </w:r>
          </w:p>
        </w:tc>
        <w:tc>
          <w:tcPr>
            <w:tcW w:type="dxa" w:w="181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行业</w:t>
            </w:r>
          </w:p>
        </w:tc>
        <w:tc>
          <w:tcPr>
            <w:tcW w:type="dxa" w:w="90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强度</w:t>
            </w:r>
          </w:p>
        </w:tc>
        <w:tc>
          <w:tcPr>
            <w:tcW w:type="dxa" w:w="1361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当期主动pp</w:t>
            </w:r>
          </w:p>
        </w:tc>
        <w:tc>
          <w:tcPr>
            <w:tcW w:type="dxa" w:w="1361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加仓占比%</w:t>
            </w:r>
          </w:p>
        </w:tc>
        <w:tc>
          <w:tcPr>
            <w:tcW w:type="dxa" w:w="124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配置分位</w:t>
            </w:r>
          </w:p>
        </w:tc>
        <w:tc>
          <w:tcPr>
            <w:tcW w:type="dxa" w:w="124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价格分位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可以跟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医药生物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强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+2.17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67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37</w:t>
            </w:r>
          </w:p>
        </w:tc>
      </w:tr>
      <w:tr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可以跟</w:t>
            </w:r>
          </w:p>
        </w:tc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公用事业</w:t>
            </w:r>
          </w:p>
        </w:tc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中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+0.52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66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48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82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可以跟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房地产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弱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+0.32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74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13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13</w:t>
            </w:r>
          </w:p>
        </w:tc>
      </w:tr>
      <w:tr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别追高</w:t>
            </w:r>
          </w:p>
        </w:tc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银行</w:t>
            </w:r>
          </w:p>
        </w:tc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强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+1.16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65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52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94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别追高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煤炭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弱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+0.35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64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81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97</w:t>
            </w:r>
          </w:p>
        </w:tc>
      </w:tr>
      <w:tr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别追高</w:t>
            </w:r>
          </w:p>
        </w:tc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石油石化</w:t>
            </w:r>
          </w:p>
        </w:tc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弱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+0.25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59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87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94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要回避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通信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弱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-0.41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46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97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94</w:t>
            </w:r>
          </w:p>
        </w:tc>
      </w:tr>
      <w:tr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要回避</w:t>
            </w:r>
          </w:p>
        </w:tc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非银金融</w:t>
            </w:r>
          </w:p>
        </w:tc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中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-0.54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42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23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35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要回避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建筑材料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中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-0.77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33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49</w:t>
            </w:r>
          </w:p>
        </w:tc>
      </w:tr>
      <w:tr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要回避</w:t>
            </w:r>
          </w:p>
        </w:tc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机械设备</w:t>
            </w:r>
          </w:p>
        </w:tc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中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-1.02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44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94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90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要回避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电力设备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中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-1.40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41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19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54</w:t>
            </w:r>
          </w:p>
        </w:tc>
      </w:tr>
      <w:tr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要回避</w:t>
            </w:r>
          </w:p>
        </w:tc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电子</w:t>
            </w:r>
          </w:p>
        </w:tc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强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-2.54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44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97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95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观察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国防军工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中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+0.59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62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45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72</w:t>
            </w:r>
          </w:p>
        </w:tc>
      </w:tr>
      <w:tr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观察</w:t>
            </w:r>
          </w:p>
        </w:tc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有色金属</w:t>
            </w:r>
          </w:p>
        </w:tc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弱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+0.37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57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65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88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等确认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农林牧渔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弱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+0.29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58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35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14</w:t>
            </w:r>
          </w:p>
        </w:tc>
      </w:tr>
      <w:tr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等确认</w:t>
            </w:r>
          </w:p>
        </w:tc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交通运输</w:t>
            </w:r>
          </w:p>
        </w:tc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弱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+0.28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59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29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14</w:t>
            </w:r>
          </w:p>
        </w:tc>
      </w:tr>
      <w:tr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等确认</w:t>
            </w:r>
          </w:p>
        </w:tc>
        <w:tc>
          <w:tcPr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食品饮料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弱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+0.20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53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7</w:t>
            </w:r>
          </w:p>
        </w:tc>
      </w:tr>
      <w:tr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等确认</w:t>
            </w:r>
          </w:p>
        </w:tc>
        <w:tc>
          <w:tcPr>
            <w:tcW w:type="dxa" w:w="181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轻工制造</w:t>
            </w:r>
          </w:p>
        </w:tc>
        <w:tc>
          <w:tcPr>
            <w:tcW w:type="dxa" w:w="90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弱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+0.14</w:t>
            </w:r>
          </w:p>
        </w:tc>
        <w:tc>
          <w:tcPr>
            <w:tcW w:type="dxa" w:w="1361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59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68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21</w:t>
            </w:r>
          </w:p>
        </w:tc>
      </w:tr>
    </w:tbl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总仓位建议 50%–60%。仓位分位 87 已属历史高位，后续增量资金有限；离散度中位 22.7，行业之间分歧不小，仓位不宜打满。买入按三批建仓，单行业不超过权益仓位的 15%；「别追高」的行业已持有可以拿住，但不加仓。</w:t>
      </w:r>
    </w:p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需要强调：这套规则筛的是「赔率与风险的组合」，不是收益预测。因子检验显示，9 个季报因子在 29 期样本上没有一个是正向可用的，加仓广度甚至是反向的（IC −0.041，p=0.058）。它的价值在于避免在拥挤处接棒、避免在撤离处抄底，而不是抓涨幅。</w:t>
      </w:r>
    </w:p>
    <w:p>
      <w:pPr>
        <w:spacing w:before="200" w:after="80"/>
        <w:pBdr>
          <w:bottom w:val="single" w:sz="6" w:color="1F6FEB"/>
        </w:pBdr>
      </w:pPr>
      <w:r>
        <w:rPr>
          <w:rFonts w:ascii="微软雅黑" w:hAnsi="微软雅黑" w:eastAsia="微软雅黑"/>
          <w:b/>
          <w:color w:val="1F2D3D"/>
          <w:sz w:val="26"/>
        </w:rPr>
        <w:t>八、稳健性与局限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1F6FEB"/>
          <w:sz w:val="22"/>
        </w:rPr>
        <w:t>8.1 阈值敏感性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3628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情景</w:t>
            </w:r>
          </w:p>
        </w:tc>
        <w:tc>
          <w:tcPr>
            <w:tcW w:type="dxa" w:w="124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可以跟</w:t>
            </w:r>
          </w:p>
        </w:tc>
        <w:tc>
          <w:tcPr>
            <w:tcW w:type="dxa" w:w="124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要回避</w:t>
            </w:r>
          </w:p>
        </w:tc>
        <w:tc>
          <w:tcPr>
            <w:tcW w:type="dxa" w:w="158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与基准重合</w:t>
            </w:r>
          </w:p>
        </w:tc>
        <w:tc>
          <w:tcPr>
            <w:tcW w:type="dxa" w:w="124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重合率</w:t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基准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9/9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100.0</w:t>
            </w:r>
          </w:p>
        </w:tc>
      </w:tr>
      <w:tr>
        <w:tc>
          <w:tcPr>
            <w:tcW w:type="dxa" w:w="3628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跟入门槛 −20%（更宽松）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9/11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82.0</w:t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跟入门槛 +20%（更严格）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0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6/9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67.0</w:t>
            </w:r>
          </w:p>
        </w:tc>
      </w:tr>
      <w:tr>
        <w:tc>
          <w:tcPr>
            <w:tcW w:type="dxa" w:w="3628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回避门槛 −20%（更敏感）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158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9/9</w:t>
            </w:r>
          </w:p>
        </w:tc>
        <w:tc>
          <w:tcPr>
            <w:tcW w:type="dxa" w:w="1247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100.0</w:t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回避门槛 +20%（更迟钝）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4/9</w:t>
            </w:r>
          </w:p>
        </w:tc>
        <w:tc>
          <w:tcPr>
            <w:tcW w:type="dxa" w:w="1247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44.0</w:t>
            </w:r>
          </w:p>
        </w:tc>
      </w:tr>
    </w:tbl>
    <w:p>
      <w:pPr>
        <w:spacing w:after="80" w:line="372" w:lineRule="auto"/>
        <w:ind w:firstLine="420"/>
      </w:pPr>
      <w:r>
        <w:rPr>
          <w:rFonts w:ascii="宋体" w:hAnsi="宋体" w:eastAsia="宋体"/>
          <w:color w:val="1F2D3D"/>
          <w:sz w:val="21"/>
        </w:rPr>
        <w:t>回避名单在放宽方向完全稳定、收紧方向不稳；可以跟名单在放宽方向会多出两家、严格方向会清空。这说明本期这几个「可以跟」的共识强度只是刚过 60% 这条线，不是压倒性共识——仓位应按「试探」而不是「重仓」来给。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1F6FEB"/>
          <w:sz w:val="22"/>
        </w:rPr>
        <w:t>8.2 四条硬约束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0"/>
        </w:rPr>
        <w:t>季报只披露前十大，绝对配置水平不可用，只能算广度与变化；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0"/>
        </w:rPr>
        <w:t>数据时滞约 3–4 周（法定 15 个工作日），看到时下季度已过约 1/3；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0"/>
        </w:rPr>
        <w:t>幸存者偏差：已清盘基金不在库内，早期分位偏乐观；</w:t>
      </w:r>
    </w:p>
    <w:p>
      <w:pPr>
        <w:pStyle w:val="ListBullet"/>
        <w:spacing w:after="40" w:line="348" w:lineRule="auto"/>
      </w:pPr>
      <w:r>
        <w:rPr>
          <w:rFonts w:ascii="宋体" w:hAnsi="宋体" w:eastAsia="宋体"/>
          <w:sz w:val="20"/>
        </w:rPr>
        <w:t>只有股票，没有债券与现金，灵活配置型基金的行业占比会被系统性放大。</w:t>
      </w:r>
    </w:p>
    <w:p>
      <w:r>
        <w:br w:type="page"/>
      </w:r>
    </w:p>
    <w:p>
      <w:pPr>
        <w:spacing w:before="200" w:after="80"/>
        <w:pBdr>
          <w:bottom w:val="single" w:sz="6" w:color="1F6FEB"/>
        </w:pBdr>
      </w:pPr>
      <w:r>
        <w:rPr>
          <w:rFonts w:ascii="微软雅黑" w:hAnsi="微软雅黑" w:eastAsia="微软雅黑"/>
          <w:b/>
          <w:color w:val="1F2D3D"/>
          <w:sz w:val="26"/>
        </w:rPr>
        <w:t>附录　31 个行业完整数据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130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行业</w:t>
            </w:r>
          </w:p>
        </w:tc>
        <w:tc>
          <w:tcPr>
            <w:tcW w:type="dxa" w:w="113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前十配置%</w:t>
            </w:r>
          </w:p>
        </w:tc>
        <w:tc>
          <w:tcPr>
            <w:tcW w:type="dxa" w:w="96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环比pp</w:t>
            </w:r>
          </w:p>
        </w:tc>
        <w:tc>
          <w:tcPr>
            <w:tcW w:type="dxa" w:w="96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同比pp</w:t>
            </w:r>
          </w:p>
        </w:tc>
        <w:tc>
          <w:tcPr>
            <w:tcW w:type="dxa" w:w="113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当期主动pp</w:t>
            </w:r>
          </w:p>
        </w:tc>
        <w:tc>
          <w:tcPr>
            <w:tcW w:type="dxa" w:w="107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加仓占比%</w:t>
            </w:r>
          </w:p>
        </w:tc>
        <w:tc>
          <w:tcPr>
            <w:tcW w:type="dxa" w:w="96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配置分位</w:t>
            </w:r>
          </w:p>
        </w:tc>
        <w:tc>
          <w:tcPr>
            <w:tcW w:type="dxa" w:w="96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价格分位</w:t>
            </w:r>
          </w:p>
        </w:tc>
        <w:tc>
          <w:tcPr>
            <w:tcW w:type="dxa" w:w="737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CSI</w:t>
            </w:r>
          </w:p>
        </w:tc>
        <w:tc>
          <w:tcPr>
            <w:tcW w:type="dxa" w:w="96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等级</w:t>
            </w:r>
          </w:p>
        </w:tc>
        <w:tc>
          <w:tcPr>
            <w:tcW w:type="dxa" w:w="850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ΔCSI</w:t>
            </w:r>
          </w:p>
        </w:tc>
        <w:tc>
          <w:tcPr>
            <w:tcW w:type="dxa" w:w="794"/>
            <w:shd w:val="clear" w:fill="1F2D3D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4"/>
              </w:rPr>
              <w:t>样本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煤炭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1.51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0.47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0.87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0.36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64.5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80.64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96.6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88.1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极度拥挤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26.9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石油石化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1.4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0.41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0.98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0.25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59.3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87.1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93.9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85.1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极度拥挤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37.7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综合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0.12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0.04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-0.02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0.03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60.3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77.42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91.0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83.0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小样本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30.1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小样本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银行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4.33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1.5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1.35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1.16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65.1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51.61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93.6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78.5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拥挤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43.5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公用事业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1.36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0.55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0.54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0.52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66.3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48.39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81.5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74.5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拥挤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24.3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通信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10.7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-1.0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3.41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-0.42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45.5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96.77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94.2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72.3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拥挤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-19.0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有色金属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4.84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0.53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-2.74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0.37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56.9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64.52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88.5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71.4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拥挤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16.4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电子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24.65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-4.94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4.17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-2.54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43.6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96.77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94.7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70.8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拥挤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-29.2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机械设备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5.93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-0.92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0.33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-1.02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43.6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93.55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90.1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68.2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拥挤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-25.3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国防军工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2.36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0.64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0.23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0.59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62.3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45.16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71.6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66.9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拥挤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8.6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基础化工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3.83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0.73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-0.02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51.9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74.19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66.3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61.9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中性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0.2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医药生物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6.22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2.86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1.36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2.17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67.0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35.48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36.8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56.4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中性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32.1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轻工制造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1.16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0.2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0.14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59.4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67.74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20.8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55.3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中性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17.6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汽车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4.77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0.3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-2.57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-0.05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47.6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61.29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67.3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53.6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中性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-12.3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环保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0.47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-0.01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-0.05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48.5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74.19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35.3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48.3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小样本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-17.0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小样本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家用电器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2.62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0.21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-0.51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0.09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53.0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32.26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63.8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48.1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中性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-11.7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纺织服饰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0.71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0.1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0.15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0.07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54.8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67.74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13.9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45.5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中性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-6.7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房地产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0.67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0.29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-0.19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0.32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74.3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12.9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12.9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41.9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偏冷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23.3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农林牧渔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1.35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0.41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-0.18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0.29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58.5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35.48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13.5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38.9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偏冷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16.1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交通运输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1.96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0.44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0.34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0.28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59.1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29.03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14.5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38.2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偏冷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19.6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商贸零售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0.53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0.13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-0.26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0.1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57.1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25.81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7.3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32.5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偏冷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18.9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建筑材料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1.01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-0.93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0.08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-0.76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32.9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35.48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49.2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30.4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偏冷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-58.9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传媒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0.7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0.06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-1.68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-0.01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46.7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9.68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48.3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29.0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偏冷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8.2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电力设备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7.35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-1.52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-4.46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-1.4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41.4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19.36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54.0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28.8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偏冷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-23.8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建筑装饰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0.62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-0.04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55.9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9.68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15.8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27.8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偏冷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2.6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计算机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1.88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0.23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-0.94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0.01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51.0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9.68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26.9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26.2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偏冷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-21.2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社会服务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0.38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0.04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0.07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48.9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9.68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25.4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24.6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小样本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8.8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小样本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非银金融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2.19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-0.36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-0.48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-0.54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42.3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22.58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34.9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24.5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冷门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-23.0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钢铁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0.34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-0.06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-0.24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-0.07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37.9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29.03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28.0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22.2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小样本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-4.9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小样本</w:t>
            </w:r>
          </w:p>
        </w:tc>
      </w:tr>
      <w:tr>
        <w:tc>
          <w:tcPr>
            <w:tcW w:type="dxa" w:w="130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食品饮料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3.88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0.46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-0.15</w:t>
            </w:r>
          </w:p>
        </w:tc>
        <w:tc>
          <w:tcPr>
            <w:tcW w:type="dxa" w:w="113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0.2</w:t>
            </w:r>
          </w:p>
        </w:tc>
        <w:tc>
          <w:tcPr>
            <w:tcW w:type="dxa" w:w="107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53.4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6.45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7.4</w:t>
            </w:r>
          </w:p>
        </w:tc>
        <w:tc>
          <w:tcPr>
            <w:tcW w:type="dxa" w:w="737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21.8</w:t>
            </w:r>
          </w:p>
        </w:tc>
        <w:tc>
          <w:tcPr>
            <w:tcW w:type="dxa" w:w="96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冷门</w:t>
            </w:r>
          </w:p>
        </w:tc>
        <w:tc>
          <w:tcPr>
            <w:tcW w:type="dxa" w:w="850"/>
            <w:shd w:val="clear" w:fill="F7F9FB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9.7</w:t>
            </w:r>
          </w:p>
        </w:tc>
        <w:tc>
          <w:tcPr>
            <w:tcW w:type="dxa" w:w="794"/>
            <w:shd w:val="clear" w:fill="F7F9FB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正常</w:t>
            </w:r>
          </w:p>
        </w:tc>
      </w:tr>
      <w:tr>
        <w:tc>
          <w:tcPr>
            <w:tcW w:type="dxa" w:w="130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美容护理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0.13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-0.06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-0.19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-0.09</w:t>
            </w:r>
          </w:p>
        </w:tc>
        <w:tc>
          <w:tcPr>
            <w:tcW w:type="dxa" w:w="107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26.0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3.23</w:t>
            </w:r>
          </w:p>
        </w:tc>
        <w:tc>
          <w:tcPr>
            <w:tcW w:type="dxa" w:w="964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3.2</w:t>
            </w:r>
          </w:p>
        </w:tc>
        <w:tc>
          <w:tcPr>
            <w:tcW w:type="dxa" w:w="737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3.2</w:t>
            </w:r>
          </w:p>
        </w:tc>
        <w:tc>
          <w:tcPr>
            <w:tcW w:type="dxa" w:w="96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小样本</w:t>
            </w:r>
          </w:p>
        </w:tc>
        <w:tc>
          <w:tcPr>
            <w:tcW w:type="dxa" w:w="850"/>
          </w:tcPr>
          <w:p>
            <w:pPr>
              <w:spacing w:before="20" w:after="20"/>
              <w:jc w:val="right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-29.7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4"/>
              </w:rPr>
              <w:t>小样本</w:t>
            </w:r>
          </w:p>
        </w:tc>
      </w:tr>
    </w:tbl>
    <w:p>
      <w:pPr>
        <w:spacing w:before="20" w:after="160" w:line="324" w:lineRule="auto"/>
      </w:pPr>
      <w:r>
        <w:rPr>
          <w:rFonts w:ascii="宋体" w:hAnsi="宋体" w:eastAsia="宋体"/>
          <w:color w:val="6B7A8C"/>
          <w:sz w:val="16"/>
        </w:rPr>
        <w:t>「样本」列为「小样本」的行业（持有基金数&lt;150 或前十配置&lt;0.5%）分位噪音大，仅供参考。口径：前十大归一化（2026Q2→2026Q3）；价格分位为季末指数点位在 2019 年以来交易日中的排名；CSI＝(配置分位+价格分位+资金分位)/3。</w:t>
      </w:r>
    </w:p>
    <w:sectPr w:rsidR="00FC693F" w:rsidRPr="0006063C" w:rsidSect="00034616"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