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2D3D"/>
          <w:sz w:val="44"/>
        </w:rPr>
        <w:t>公募基金拥挤度与集中度模型</w:t>
      </w:r>
    </w:p>
    <w:p>
      <w:pPr>
        <w:jc w:val="center"/>
      </w:pPr>
      <w:r>
        <w:rPr>
          <w:rFonts w:ascii="微软雅黑" w:hAnsi="微软雅黑" w:eastAsia="微软雅黑"/>
          <w:b/>
          <w:color w:val="1F6FEB"/>
          <w:sz w:val="32"/>
        </w:rPr>
        <w:t>因子手册与操作指南</w:t>
      </w:r>
    </w:p>
    <w:p>
      <w:pPr>
        <w:jc w:val="center"/>
      </w:pPr>
      <w:r>
        <w:rPr>
          <w:rFonts w:ascii="宋体" w:hAnsi="宋体" w:eastAsia="宋体"/>
          <w:b w:val="0"/>
          <w:color w:val="6B7A8C"/>
          <w:sz w:val="18"/>
        </w:rPr>
        <w:t>版本 R15（2026-10-22）· 数据源 Wind（主力）+ 东方财富妙想/同花顺 iFinD（交叉验证）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0. 一句话定位</w:t>
      </w:r>
    </w:p>
    <w:p>
      <w:pPr>
        <w:spacing w:after="60"/>
        <w:ind w:left="0"/>
      </w:pPr>
      <w:r>
        <w:rPr>
          <w:rFonts w:ascii="宋体" w:hAnsi="宋体" w:eastAsia="宋体"/>
          <w:b w:val="0"/>
          <w:sz w:val="21"/>
        </w:rPr>
        <w:t>本模型度量「机构资金在行业间拥挤到了什么程度」，是一个风险描述与组合约束工具，不是择时或收益预测工具。核心结论：拥挤度因子在 37 期长历史下无稳定的截面收益预测力，正确用法是「风险排序 + 压力测试 + 集中度约束」。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1. 因子手册（为什么选 · 怎么算 · 衡量什么 · 怎么判读）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　行业超配比例（主动偏离的绝对水平）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机构每季度「用真金白银投出来的偏离」——一切拥挤度度量的起点。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衡量机构行为的**第一手量**：不看价格、不看情绪，只看基金季报重仓在行业间的分布相对基准偏了多少。它是 F2/F3/F12/F15 的输入，没有它其余因子无从谈起。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配置比例(i,t) = 行业 i 重仓市值 ÷ 全组合重仓市值 × 100；F1(i,t) = 配置比例(i,t) − 沪深300行业权重(i,t)。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行业层面、季度频率的**主动偏离绝对幅度**（pct）。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正＝机构集体押注超配（定价权向该行业集中）；负＝机构系统性回避。超配的资金本身就是未来流动性与踩踏风险的载体。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 本身不设阈值——绝对幅度跨行业不可比（银行权重天然大），必须经 F2/F3/F12 标准化后再判定。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把「偏离」与「判定」解耦是口径纪律：绝对水平的跨行业可比性差，任何固定阈值都会系统性偏向大权重行业，故只作输入、不直接出标签。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Wind：公募基金季报前十大重仓股行业市值（主动权益三类）、沪深300 成份股行业权重（自由流通市值加权，逐季）。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F1d　超配比例（动态基准版）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同 F1，但基准权重改用逐季实测——把「股价涨出来的权重」从「主动加仓」里剔除。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静态基准（34 期恒定）会把「某行业因上涨导致指数权重自然抬升」误判为基金经理主动加仓；动态基准修正这一混淆，使历史期超配可解释。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F1d(i,t) = 配置比例(i,t) − 动态沪深300行业权重(i,t)，动态权重逐季取自 Wind 实测（覆盖 26~28 个行业，缺失按 0）。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 F1，口径更干净。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剔除 beta 化的权重漂移后，剩下的才是真正的主动决策。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F1 并列进入检验，由数据决定采用哪个口径（F1d 的 IC 普遍优于 F1），严禁两口径混用。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口径取舍交给样本外可复现的 IC 证据，而非先验偏好——这是因子研究的基本纪律。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Wind：hs300_weights_quarterly（逐季）。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F2　超配 Z-score（相对自身历史的极端度）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不看「配了多少」，看「相对它自己的历史配到了多罕见的位置」。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 的 RankIC 仅 +0.05（不显著）而 F2 显著更强——经验证明**相对位置比绝对水平更有信息量**。Z-score 把 31 个行业放到同一把「自身历史」的尺子上。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Z(i,t) = [Over(i,t) − μ_扩窗(i)] / σ_扩窗(i)，扩窗（只用 ≤t 的数据，最少 8 期），严格无前视。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行业当前超配在其自身历史分布中的罕见程度（标准差单位）。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 高＝机构把这个行业推到了历史上少见的重仓位置，边际买盘衰竭与共识松动的脆弱性同步上升。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|Z| &gt; 1.5 拥挤/显著低配；Z &gt; 2.0 极度拥挤。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正态近似下 Z=1.5 ≈ 93% 分位（单尾 6.7%）、Z=2 ≈ 97.7%（单尾 2.3%）：把「罕见」定义为 5%~7% 与 2%~3% 的概率事件，与统计学惯用的 10%/5% 双侧显著线对应；实测样本内触发频率适中，既不长期沉默也不天天报警。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派生（Wind 持仓）。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F3　超配历史分位（扩窗 Pct）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F2 的稳健版：用分位数代替均值/方差，对离群值不敏感。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超配分布偏态严重（少数季度极端抱团），均值/方差会被离群值绑架；分位数天然稳健，且语义直白（「历史以来 90% 的时间都没这么重过」）。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F3(i,t) = 扩窗内 Over(i,·) &lt; Over(i,t) 的比例 × 100，最少 8 期。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超配的**历史分位位置**（0~100%）。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F2 同源——刻画机构仓位的极端性；分位口径对重尾分布更稳健。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≥90 极度拥挤；75~90 偏拥挤；≤10 显著低配。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P90 是极值统计与风控压力测试的通用线（ES/VaR 语境的 90/95/99 分位族）；75/10 与四分位数惯例对齐，保证「拥挤」「低配」两侧对称覆盖约 15% 的尾部。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派生。（当前样本实际可用 9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F4 / F4b　超配动量（边际资金方向）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水平之外再看变化：资金是正在涌入，还是已经停手。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拥挤的危险不在「重」而在「还在加速变重」；动量项捕捉边际资金的最后一段冲刺。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F4(i,t) = Over(i,t) − Over(i,t−1)；F4b = 扩窗Z(F4)。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超配的**一阶差分**及其历史罕见度。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正动量＝新增资金仍在流入该行业（趋势确认）；负动量＝撤资开始（拥挤瓦解的前兆）。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F4b &gt; 1.0 资金加速流入。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F2 同一正态标尺（Z=1 ≈ 84% 分位），动量噪声大于水平项，阈值放宽一档至 1.0。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派生。（当前样本实际可用 1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F12　配置系数（超配倍数）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「配了基准的几倍」——最直观的相对拥挤度量，也是等级判定的两条触发线之一。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倍数天然跨行业可比（归一化了基准权重大小），且与组合管理语言直接对应（超配 150% = 2.5 倍标配）。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F12(i,t) = 配置比例(i,t) ÷ 沪深300行业权重(i,t)（基准权重为 0 的行业记 NaN——无基准则倍数无定义）。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机构配置相对基准的**倍数**。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F12=2 表示机构给的权重是市场基准的两倍——定价权向机构集中的直接刻度。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&gt;2.5 极度拥挤；1.8~2.5 拥挤；&lt;0.5 显著低配。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2.5 倍＝超配 150%，对应 A 股主动权益史上公认的极端案例量级（2021 新能源、2026 电子均触发）；0.5 倍＝欠配一半，是公募相对基准的常见底线。阈值经样本期校准：能触发极值又不过度报警。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Wind：持仓 + 逐季基准权重。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F9　交易拥挤度（成交额占比 × 加速度）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持仓是存量，成交是流量——交易拥挤度量「钱是否正在往这里挤」。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持仓拥挤（季频）与交易拥挤（日频聚合）是两个独立维度：行业可以重仓但不活跃，也可以轻仓但被短线资金挤爆。二者共振时踩踏风险最高。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F9 = 0.6 × Z(成交额占比扩窗分位) + 0.4 × Z(加速度)；占比(i,t) = 行业成交额 ÷ 全市场成交额 × 100；加速度 = 占比 − 过去 4 季均值。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行业在**交易维度**的拥挤程度（水平 60% + 加速 40%）。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成交额占比抬升＝市场注意力与短线资金集中；配合加速度判断拥挤是否仍在自我强化。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分位 ≥ 90 且加速度 &gt; 0 → 交易拥挤信号（F9d）。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0.6/0.4 为主次权重（水平是状态、加速是边际）；90 分位与 F3 同线，保证各维度「极端」的定义一致。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Wind：申万一级行业指数季度成交额（18 期全覆盖）。（当前样本实际可用 14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F13　筹码盈利比例（获利盘厚度）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滚动窗口内「建仓价低于现价」的筹码占比——衡量谁在账面上赚钱、抛压有多大。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拥挤的另一面是获利盘：浮盈越厚，兑现动机越强，拥挤瓦解时的抛压越重。这是纯持仓/成交因子覆盖不到的「成本结构」维度。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行业指数点位 P 由季度涨跌幅累乘（P0=100）；F13(i,t) = Σ[滚动12季内 P_s &lt; P_t 的成交额] ÷ Σ[窗口内成交额] × 100。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行业指数层面的**筹码盈利结构**（%）。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F13 高＝近三年买入的资金大多处于浮盈，获利了结的动能随时可以兑现。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&gt;70% 高获利盘（辅助读数，参与 F11 合成）。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筹码分布研究的经验线：获利盘超过 70% 后回调/回撤频率显著上升；窗口取 12 季≈3 年，覆盖机构一个完整持仓周期。指数层面代理的口径局限已在 ⑨ 页显式登记。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Wind：行业季度涨跌幅 + 成交额（派生计算）。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F14　ETF 资金流强度（快层资金信号）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日度 ETF 净申赎/期初规模——唯一的日频增量，用于交叉验证季频持仓。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季报持仓滞后一个季度，ETF 份额日度可见——它是「快层」信息，可提前嗅探机构与散户的申赎方向。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F14 = Σ期内净申赎(亿元) ÷ 期初 AUM(亿元) × 100；份额折算用累计净值法识别并复权。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 ETF 的**资金流强度**（% 规模变动）。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净申购＝场内资金对该行业的增量需求；净赎回＝撤离。强度口径剔除了规模差异。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|F14| &gt; 5% 为显著流入/流出（辅助读数）。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一个季度内规模变动 5% 已属主动申赎级别（被动净值波动已由复权剔除）。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Wind：ETF 日度场内流通份额/单位净值/成交额。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F10　三信号共振得分（0/1/2/3）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持仓拥挤 × 交易拥挤 × 筹码拥挤——三条独立证据同时亮灯时才报警。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单一维度易误报；三维度共振的假阳性率是三者之积，信号质量远高于任何单线。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S1＝超配 &gt; 扩窗P90；S2＝成交额占比分位 ≥90 且加速；S3＝任一个股抱团指标创扩窗新高；F10 = S1 + S2 + S3（0~3 整数）。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行业层面的**多维度拥挤共振强度**。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3/3＝持仓、交易、筹码三线同时极端——历史上此类状态的行业回撤尾部最肥。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3/3 三重共振（进入⑧页预警与①页极端标签）。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等权计数、零自由参数——每个信号自带阈值，合成层不再引入任何可调参数，避免过拟合。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F1/F9/F7 派生。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F11　行业综合拥挤度（推荐权重合成 Z）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把六个独立维度压成一个数——本模型的「行业拥挤度总表」。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单一因子各有盲区；合成后 IC 从单因子 ≤0.13 跃升至 +0.34~0.41（t≈9~13），是全项目预测力最强的输出。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F11 = Σ W_k × Z(分量k)，推荐权重：F12 配置系数 0.25、F1 超配 0.20、F3 分位 0.15、F13 筹码盈利 0.15、F14 ETF 资金流 0.15、F4b 动量 0.10（分量 Z 化后加权，缺失分量自动降权）。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行业**综合拥挤度**（截面 Z 语义）。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持仓（F1/F12/F3）+ 筹码（F13）+ 交易（F14/F4b）的加权共识。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与等级规则联动：F12/F3 任一触发即升级等级；F11 截面排名用于「最拥挤 Top3」点名。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权重按两个先验设定——①信息独立性高的分量（相对基准的 F12）给高权；②快层确认信号（F14/F4b）给低权。另设等权与 IC 加权两个对照口径，若推荐权重不显著优于对照则必须换。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全部来自 Wind 派生因子。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F15　拥挤背离因子（新增的拥挤）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「绝对超配已经很高、但相对自身历史还不极端」＝新资金刚进来——最危险的一类。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诊断发现 F1（绝对水平）与 F2（历史极端度）的 IC 符号**相反**：二者刻画不同的风险维度。取其差可定位「还没被历史化」的新增拥挤。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F15(i,t) = Z_截面(F1) − Z_截面(F2)，零自由参数。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绝对拥挤与历史极端度之间的**裂口**。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F15 高＝行业已重仓但历史分位尚未抬升——新资金刚进场、趋势尚未确认，既可能加速也可能迅速反转。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不设固定阈值，按截面排名与 F11 联合解读。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裂口类因子语义由构造直接给定，任何外加阈值都会破坏其「相对差」的语义。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F1/F2 派生。（当前样本实际可用 2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F2e / F3e / F4be / F15e　长历史扩窗因子（2016Q2 起超配历史）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用偏股混合长历史超配序列做扩窗，把 F2/F3/F4b/F15 从「无法取值」变成「可检验」——结论是：拥挤度因子在长历史下不稳健。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主口径持仓仅 10 期，扩窗最少 8 期起步 → F2/F3/F4b 只有 2 期、F15 全 NaN，根本无法做 IC 检验（遗留边界）。偏股混合单类型重仓已抓齐 2016Q2 起 35 期，叠加 Wind 动态 hs300 权重（2022Q1 起）可构建 17 期「偏股混合配置 − 动态权重」的超配长历史，使扩窗统计自 2024Q1 起即满足 8 期起步，因子得以取值、IC 得以检验。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F2e = 扩窗Z(偏股混合超配)；F3e = 扩窗分位(同)；F4be = 扩窗Z(超配一阶差分)；F15e = Z截面(超配) − Z截面(F2e)。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与主口径 F2/F3/F4b/F15 完全同义，仅扩窗所用的超配历史换成统一口径的偏股混合 17 期。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F2e/F3e/F4be 度量「相对自身历史是否极端/是否加速」；F15e 度量「绝对超配高、但相对历史尚不极端」的新增拥挤。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 F2/F3/F4b/F15（|Z|&gt;1.5 拥挤、分位≥90 极度、F15 按截面排名）。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阈值口径与主版一致，保证「长历史版」与「主口径版」结论可对照；唯一的改变只是样本长度（10 期 → 17 期）。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实测结果（长样本）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把超配历史回填到 2016 年后，长历史扩窗因子的 IC 观测达 27~30 期：F2e +0.024（p=0.50）、F3e +0.059（p=0.11）、F4be +0.037（p=0.34）、F15e +0.003（p=0.94）——全部不显著。此前 8 期样本下 F2e +0.161、F15e −0.109 的「显著」被证明是小样本伪显著（受 2026 电子极端值驱动）。这印证了 36 期标准的价值：它筛掉了短样本的虚假信号。拥挤度因子在更长历史里没有稳定的截面预测力，本模型定位为「风险描述」而非「交易信号」。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Wind：偏股混合重仓（eq_series 35 期）+ 动态 hs300 权重（18 期）。（当前样本实际可用 29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R_*　正交化残差因子（独立信息检验）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把价格类风格与同族因子剔除后，持仓数据还剩多少独立信息。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若持仓因子只是价格的镜像（动量效应），其"拥挤度"解释就是伪命题；正交残差直接检验增量信息是否存在。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逐期截面 OLS：因子 ~ 当期收益 + 过去4季收益 + 过去4季波动（一层）；再剔除同族持仓因子（二层）；取残差 RankIC。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因子中**独立于价格与同族**的信息成分。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残差 IC 仍显著＝持仓数据含价格之外的独立内容（机构行为本身）；残差 IC 归零＝只是价格的影子。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残差 RankIC 与原始 IC 并列报告；R_F1 残差 IC 转负且显著（−0.18）说明 F1 的正向 IC 本质是价格动量。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控制变量集取价格类风格的最小充分集，二层同族剔除保证合成因子的增量可归因。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由全部因子与行情派生。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F5 / F6　市场集中度 HHI 与 CRn（时序）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 31 个行业压成两个数：组合分散度（HHI）与头部厚度（CR3/5/10）。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行业拥挤度的「市场反面」——所有行业的拥挤合计等于市场的集中。集中度是系统性风险的直接读数。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HHI(t) = Σ w(i,t)²（w=配置比例/100，完全均等 = 1/31 ≈ 0.032，极端单行业 = 1）；CRn(t) = 前 n 大行业权重和 × 100。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机构组合的**行业分散度**。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 抬升＝定价权向少数行业集中，组合风险由「分散的行业 beta」收敛为「少数行业的共同 beta」。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 &gt; 0.15 极高集中；CR3 &gt; 60% 高度集中；另有标准化 HHI = (HHI−1/31)/(1−1/31) 便于跨期比较。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0.15 沿用国务院反垄断委员会《横向垄断协议案件宽大制度指南》对「较高集中度」的 HHI 门槛（0.15/0.25 两档）并迁移到行业配置语境，经样本期校准（样本 0.068~0.23）能识别极值且不长期误报；CR3=60% 对应「三成行业占六成仓位」的经典集中经验线。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 持仓 → 配置比例 → 独立复算（R6 校验差异 &lt;1e-13）。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F7 / F8　个股集中度与仓位代理（市场辅助）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行业之下的两层佐证：个股抱团（F7）与组合仓位（F8）。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行业抱团常与个股抱团同步；两者同升时踩踏风险最高。仓位代理用于排除「行业占比变化只是整体加减仓」的混淆。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= Top20 平均持股基金数 / Top20 持仓市值占比 / 持股基金数≥100 个股数 的时序 Z 均值；F8 = 前十占净值比均值 的时序 Z。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个股层面抱团热度与组合股票仓位代理。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高＝资金不仅在行业上集中，在个股上也在集中（双高＝最脆弱结构）；F8 用于区分配置迁移与整体加减仓。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创扩窗新高 → S3 筹码拥挤信号（进入 F10）。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「创新高」定义无需参数，与 S1 的 P90 逻辑互补：S1 看行业分布尾部、S3 看个股集中顶部。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Wind：个股持股基金数统计、季报仓位指标。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检验标准总则　IC / IC_IR / 胜率 / 显著性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所有因子一律用同一套检验标尺裁决，不因结果好坏更换标准。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RankIC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逐期截面 Spearman(因子值, t+1 超额收益)；|IC|&gt;0.03 有效、&gt;0.05 优秀。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IC_IR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IC 均值 ÷ IC 标准差；&gt;0.5 优秀、0.3~0.5 可用。依据 Grinold 基本定律 IR≈IC×√BR——本模型广度仅 31 行业×季频，BR 小，故必须以高 IC_IR 补偿。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胜率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IC 同号比例 ≥55% 较好（略高于随机 50%，扣除交易成本后仍需留有余量）。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显著性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Newey-West t（滞后 2 期，校正自相关），p&lt;0.05；并做 Bootstrap 置信区间（块抽样 4 季 ×1000 次），CI 不含 0 才算稳健。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样本门槛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因子研究最低 36 期；当前可建模区间 10 期——因此本页全部结论定位为「方向性证据」，不构成稳健统计结论。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多重检验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同时检验多因子时按 BH-FDR 控制发现率；设计期样本外（walk-forward）与留出期检验并列报告。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2. 指标释义（每个数字对应什么经济行为）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本章回答三个问题：这个数怎么算出来、它对应现实世界的什么行为、看到它应该怎么用。手册只固定口径与含义，具体数值随数据更新，以看板为准。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2.1 行业层指标（② 行业拥挤度）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7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计算公式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经济内容</w:t>
            </w:r>
          </w:p>
        </w:tc>
        <w:tc>
          <w:tcPr>
            <w:tcW w:type="dxa" w:w="2721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投资含义 / 读法与误读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配置比例（%）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Σ(该行业重仓股市值) ÷ Σ(全部重仓股市值)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公募把多少筹码押在这个行业。它是存量：由过去若干季度的买入累积而成，记录的是「机构愿意把多少资产负债表放在这里」，不是当下的边际意愿。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配置越高，该行业的边际定价权越在公募手里——申赎、排名考核、季末调仓会直接变成这个行业的买卖盘；配置低的行业对公募资金不敏感，涨跌更多由产业资本、外资与游资决定。 怎么看：三比：比自身历史（分位）、比基准（超配/配置系数）、比成交（持仓热度 vs 交易热度）。 误读：高配置 ≠ 高估；行业市值暴涨也会被动推高占比，被动上升不含主动加仓的信息。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基准权重（%）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沪深300 成份中该行业自由流通市值 ÷ 指数总自由流通市值（逐季实测）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被动资金的「默认答案」，代表不做主动选择也能拿到的行业暴露。权重由存量市值决定，对产业变迁的反应天然滞后——这正是主动偏离的来源。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基准权重低的行业，主动基金一旦看多就必须大幅超配，超配幅度天然大；基准权重高的行业（银行、非银），低配是常态，不能读成看空。 怎么看：与配置比例并排看倍数（F12）；基准权重 &lt;1% 的行业，超配几个点就会让倍数失真。 误读：把「低配银行」当看空银行——这是指数编制与公募考核共同造成的结构性结果，不是每季度都有的观点。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超配比例（pct）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配置比例 − 基准权重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主动偏离的绝对幅度：正＝集体押注，负＝系统性回避。超配的那部分资金，同时就是未来的同向卖压——它和对冲盘不是同一批人。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超配越厚，该行业越像「公募的共识仓位」：逻辑被证伪时，卖出来的是同一批人、同一方向、同一时点，流动性会在最需要的时候消失。 怎么看：必须双坐标：相对基准（倍数）与相对自身历史（分位/Z）。只报 pct 无法跨行业比较。 误读：跨行业直接比大小。银行超配 5pct 是极端，电子超配 5pct 只是常态，基数不同。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超配 Z（扩窗）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(本期超配 − 扩窗均值) ÷ 扩窗标准差；最少 8 期，只用 ≤t 的数据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把 31 个行业放到「自身历史」这把尺子上，度量仓位的罕见程度。扩窗（无前视）保证每个时点只用当时已知的信息。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Z 高＝仓位已到历史少见的位置，继续加仓需要新资金而非存量调仓；边际买盘一旦衰竭，同等幅度的利空会被放大。 怎么看：|Z|&gt;1.5 关注、&gt;2 极端；与分位交叉验证（厚尾分布下 Z 会夸大罕见度）。 误读：把 Z 当涨跌预测。Z 是位置不是方向，Z=4 只说明仓位罕见，不说明要跌。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超配历史分位（%）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扩窗内「历史超配 &lt; 当前超配」的期数占比 ×100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与 Z 同源但更稳健：分位数不受离群值绑架，语义直白——「有数据以来 100% 的时间都没这么重过」。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分位越高，剩余的仓位空间越小。这是仓位维度的约束，不是价格维度的约束。 怎么看：≥90 极度拥挤；75–90 偏拥挤；≤10 显著低配。 误读：分位 100% 不等于到顶：只要净值继续跑赢，高仓位可以靠上涨自我维持很久。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配置系数 F12（×）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配置比例 ÷ 基准权重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「相对指数下了几倍的注」。剔除行业体量差异后，31 个行业第一次可以横向比较。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&gt;2.5＝公募仓位是指数权重的 2.5 倍以上，属极端共识；&lt;0.5＝机构基本放弃该行业，边际定价权已让渡给其他资金。 怎么看：与分位互补：F12 相对市场，分位相对自身历史；两者同高才是「双高」。 误读：基准权重接近 0 的行业（综合、纺织服饰）倍数会被除零放大，排序必须设权重门槛。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筹码盈利比例 F13（%）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现价高于成交量加权成本的市值 ÷ 行业总市值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浮盈盘的厚度。它同时是持有者的心理安全垫，和随时可以兑现的潜在筹码。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高浮盈 + 高配置＝双脆弱：回撤把浮盈打掉后，减仓会自我强化。但高浮盈本身也是趋势确认——套牢盘少，上行阻力小。 怎么看：&gt;70% 获利盘极重；与超配分位同高时风险叠加；与低配同高时是「轻装」。 误读：当成卖出信号。它只改变回撤时的抛压弹性，不决定方向。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成交额占比 / 分位（%）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行业成交额 ÷ 全市场成交额；分位为扩窗历史分位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注意力与换手的分布，是流量而非存量。持仓告诉你谁拿着，成交告诉你谁在交易。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持仓拥挤 + 交易拥挤＝真拥挤（机构与散户共振）；只有交易热而持仓不重＝主题行情，通常来得快去得也快。 怎么看：成交分位 &gt;90 且配置分位 &lt;50 → 游资/主题；两者同高 → 共振；成交分位 &lt;30 而配置分位 &gt;90 → 存量抱团、增量已撤。 误读：成交占比高可能只是行业扩容（大市值、新股上市），必须同时看历史分位。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综合拥挤度 F11 / F11e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超配、超配 Z、超配分位、超配动量 四项横截面 Z 加权（0.20/0.25/0.15/0.10 归一）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把「仓位水平、历史位置、边际方向」压成一个可排序的分数，回答唯一的问题：谁最挤。F11e 是同一算法在偏股混合长历史（2016 起）上的版本，跨期可比。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排序工具，不是买卖信号。前 3 名是共识最厚、也最依赖增量资金维持的位置。 怎么看：三看：绝对值（&gt;1.5）、排名（前 5）、变化（环比变挤/变松，见页面底部变化榜）。 误读：合成会平均掉单维极值：F11 中性但分位 100% 的行业（如建筑材料），必须回看分项。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拥挤等级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由超配分位与配置系数双阈值触发，取最高级（5 档）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把连续指标离散成可扫描的预警档位，服务于「31 个行业一屏看完」的实务需求。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等级越高，「共识—脆弱」的组合越极端；但等级本身不区分「景气驱动」与「炒作驱动」，这两种拥挤的持续性完全不同。 怎么看：等级 + 口径背离标记 + 四象限（配置分位 × 成交分位）三者合看。 误读：把等级当估值。等级是相对历史与相对基准的位置，不含绝对估值信息。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2.2 市场层指标（① 总览 / ③ 集中度与结构）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7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计算公式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经济内容</w:t>
            </w:r>
          </w:p>
        </w:tc>
        <w:tc>
          <w:tcPr>
            <w:tcW w:type="dxa" w:w="2721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投资含义 / 读法与误读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HHI 行业集中度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Σ(各行业配置占比)²，占比取小数；31 行业等权时 = 1/31 ≈ 0.0323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行业维度的分散度。HHI 越高，组合越像「少数行业的组合」，行业分散这道风控防线越失效。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HHI 高＝净值由少数行业共同驱动，回撤时同向、无对冲；也是基金同质化的度量——同质化越高，赎回冲击越集中。 怎么看：与等权基准（0.0323）比倍数、与自身历史分位比位置；0.23 ≈ 等权的 7 倍。 误读：HHI 上升可能只是行业市值分化（涨出来的权重），不等于主动加仓。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CR3 / CR5 / CR10（%）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前 3 / 5 / 10 大行业的配置占比之和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头部集中度。CR3 直接回答「多少筹码压在几个行业上」。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CR3 超过 2/3 时，「选行业」比「选个股」更决定净值；任一头部行业的政策或景气变化，都会主导整个主动权益群体的表现。 怎么看：CR3 与 CR10 的差额＝第 4~10 名的厚度；差额小说明是「三强鼎立」，差额大说明是「一超多强」。 误读：把 CR 上升一律解读为抱团——行业市值涨跌本身会改变 CR。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第一大重仓行业（%）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配置占比最高的行业及其占比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单点暴露。它标出当前主动权益群体「最重要的一笔共识」。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占比 &gt;40% 时，组合已近似行业基金：风格标签失真、赎回压力集中在同一赛道、与基准的偏离无法靠其他行业对冲。 怎么看：看三点：占比、领先第二名多少、以及这个行业自身处在什么拥挤等级。 误读：把「第一大重仓」当成推荐。它描述的是群体行为，不是投资建议。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个股集中度 / 前十占净值比（%）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前十大重仓股合计市值 ÷ 基金净值（样本均值）；另统计重仓股只数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选股集中度，同时是仓位代理（不是真实股票仓位）。只数越少、占比越高，说明基金经理越依赖少数标的表达观点。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集中度高＝个股风险大、调仓冲击成本高，但也说明有确信度；对拥挤度而言，重仓股即组合，卖出时没有缓冲。 怎么看：与样本基金数、重仓股只数一起看：只数下降而占比上升＝共识收敛。 误读：把「前十占净值比」当股票仓位。它是下限性质的代理，真实仓位还包含非重仓持股。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配置占比的环比变化（pct）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本期行业配置占比 − 上一期行业配置占比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存量分布逐季的差分，也就是「这个季度资金从哪搬到哪」。占比变化把「行业涨跌」与「主动加减仓」混在一起，是流量与价格效应的合成。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单季 ±5pct 以上的搬家属于结构性调仓，通常对应一次主线切换；±1pct 以内多为净值涨跌带来的被动漂移，不能读成主动决策。 怎么看：看「谁减、谁增」的配对关系：加仓行业的资金来源，往往是同一批被减仓的行业。 误读：把占比上升全算作主动加仓。行业自身大涨也会让占比上升，需结合超配变化拆分。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FCI 因子拥挤指数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行业拥挤度的市场层合成（含扩窗分位标准化）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全市场拥挤的总量度量：不问「哪里挤」，只问「整体有多挤」。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分位到 100% 说明增量资金的需求处在历史峰值；总量指标不能指出方向，必须回到行业层面找结构。 怎么看：FCI 高位 + HHI 高位＝「总量拥挤 + 结构集中」，是最脆弱的组合。 误读：用总量指标做择时。市场可以在极拥挤状态下继续上涨数月。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2.3 统计检验指标（④ 因子与检验）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7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计算公式</w:t>
            </w:r>
          </w:p>
        </w:tc>
        <w:tc>
          <w:tcPr>
            <w:tcW w:type="dxa" w:w="249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经济内容</w:t>
            </w:r>
          </w:p>
        </w:tc>
        <w:tc>
          <w:tcPr>
            <w:tcW w:type="dxa" w:w="2721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投资含义 / 读法与误读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RankIC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每期：因子值与下期行业收益的 Spearman 秩相关系数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因子的排序能力：它能不能把「未来涨得多的行业」排到前面。取秩相关而非 Pearson，是为了不被极端值支配。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|IC|≈0.1 已具备经济意义（31 个行业的排序，0.1 对应可观的多空差）；符号决定用法：正号＝高值行业后续占优，负号＝高值行业后续落后。 怎么看：看均值、看胜率、看显著性，三者同向才算有效；单期 IC 几乎全是噪声。 误读：拿单期 IC 说事。一期 IC=0.3 可能只是某个行业的一次事件驱动。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IC_IR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IC 均值 ÷ IC 标准差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因子有效性的稳定性：同样的均值，波动越小越可信。等价于「单位风险的超额信息」。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&gt;0.3 可用、&gt;0.5 较好；IR 低的因子即使均值漂亮，也会在实盘中反复失效。 怎么看：与样本期数一起看：8 期的 IR 0.5 远不如 30 期的 IR 0.3 可信。 误读：忽略期数直接比 IR。短样本的 IR 极不稳定。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NW t 值 / p 值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IC 序列均值的新息 t 检验，标准误经 Newey-West 自相关调整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考虑序列相关后的统计显著性。季度 IC 存在自相关，普通 t 检验会高估显著性。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|t|&gt;2 才算在 5% 水平显著；不显著意味着「现有样本无法排除运气」。 怎么看：t 与 p 配套看；同时看 Bootstrap 置信区间是否含 0（本页已给）。 误读：t 值大就下结论。多重比较（试了很多因子）会系统性抬高假阳性。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胜率（%）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IC 与预期方向一致的期数 ÷ 有效期数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方向的一致性。高胜率说明因子不是靠某一期的极值撑起均值。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&gt;60% 说明方向稳定；均值高但胜率 50% 的因子，本质是「押注少数极端期」。 怎么看：与 IC 均值、最大单期贡献一起看：剔除最好一期后是否仍有效。 误读：把小样本胜率当概率。8 期里 7 期为正，置信区间仍然很宽。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分层收益 / 单调性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按因子值把 31 个行业分 5 层，统计各层下期平均收益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因子与收益的关系形状：是单调（线性可用），还是只在尾部有效（阈值效应）。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单调才适合做加权与打分；非单调说明因子只在极端层有信息，中间层是噪声，不能用线性模型解释。 怎么看：看第 1 层与第 5 层的差（多空）、看是否逐层递增、看中间层是否混乱。 误读：只看多空差、不看单调性。多空差可能全部来自最极端的一层。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b/>
                <w:sz w:val="17"/>
              </w:rPr>
              <w:t>事件研究超额（%）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信号触发后 3 / 6 / 12 个月，相对基准的累计超额收益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信号的实际经济价值：不只是统计相关，而是真金白银能拿到的差额。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16"/>
              </w:rPr>
              <w:t>均值显著为负，才支持「拥挤＝风险」；不显著则说明拥挤度只是状态描述，不构成择时依据——本项目实测正是后一种情形（样本期短、触发次数少）。 怎么看：看均值、中位数、负收益概率、t 值四件套；触发次数 &lt;10 时结论只能是「待观察」。 误读：用 3 个月的结果推断长期。拥挤的代价往往在 6~12 个月才体现。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3. 投资机会判断框架（三层法）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前提声明：36 期 IC 检验显示拥挤度无稳定截面收益预测力，因此本框架不回答「会涨会跌」，只回答「哪里脆弱、哪里相对安全、哪里需要约束」。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第一层 · 风险回避（减配 / 回避）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极度拥挤：历史分位≥90（F3）或配置倍数&gt;2.5（F12）→ 回避，存量设止损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三信号共振：F10=3/3（持仓+交易+筹码同时极端）→ 强回避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新增拥挤：F15e 高（绝对超配高、但相对历史尚不极端）→ 警惕快速反转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第二层 · 机会识别（关注 / 试探）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低拥挤：显著低配（分位≤10）→ 列入关注名单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拐点确认：动量 Z（F4b）由负转正 → 资金边际转向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拐点确认：超配动量（F4b）由负转正 → 资金边际转向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满足两条（低拥挤 + 动量转正）→ 升级「试探性机会」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第三层 · 组合约束（分散化 / 压力测试）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集中度红线：HHI&gt;0.15 或 CR3&gt;60% → 主动再平衡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单点压测：单一行业占比≥40% → 强制回撤 30% 拖累测算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K 型分化：极度拥挤≥3 且显著低配≥10 → 回避极端、向低拥挤分散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落地决策：先「风险回避」→ 再「机会识别」小仓位试探 → 最后「组合约束」控制敞口。任何一层都不输出「满仓/清仓」，只输出风险预算的加减。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4. 操作指南（5 页看板怎么看）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读结论（先看）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① 总览：综合判断（市场状态/HHI分位/极度拥挤数/FCI + 5 条判断理由 + 特征 + 拐点）+ 投资机会解读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读数据（深挖）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② 行业拥挤度：31 行业排名与等级 + 变化榜（环比/同比可切换）+ 拥挤度热力图（37 期）+ 单行业钻取 + 信号触发记录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③ 集中度与结构：HHI/CR 时序 + 堆叠面积图 + 占比热力图（标注数值）+ 环比瀑布图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读方法（审计）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④ 因子与检验：因子定义表 + IC 时序 + IC 汇总 + 分级裁决 + 分层回测 + 压力测试（进阶检验收在折叠区）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⑤ 数据与方法：数据来源 + 样本覆盖 + 数据质量校验 + 扩窗口径 + 缺陷登记 + 更新指南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读图三原则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先看「拐点」再看「水平」——拐点（环比转向）比绝对高低更有信息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占比类指标（HHI/CR/超配）跨期可比，绝对规模只在同口径区间内比较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单期极值可能由口径或单期驱动，结论要回 ④ 检验表与 ⑤ 溯源表交叉确认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5. 数据持续更新指南（每季报期怎么做）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更新频率：基金季报每季末后约 15 个工作日披露完毕（4/7/10/次年1 月中下旬），每季更新一次。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1 步 · 抓取新季报（Wind）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持仓：主动权益三类（普通股票型/偏股混合型/灵活配置型）前十大重仓股，逐类型查询后相加，必须与「类型总额」交叉验证（gap 约 5~11%）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基准权重：沪深300 成份股按申万一级行业权重，逐期校验加总=100%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行业收益/成交额：申万一级 31 行业季度涨跌幅与成交额，校验 31 行业齐全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2 步 · 重建下游（命令）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tools/wind_fetch.py build     # 重建超配比例、HHI/CR、因子面板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src/update_pipeline.py          # 重跑 IC/分层/稳健性，重建 ic_report.xlsx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tools/seed_daily_raw.py         # 刷新日度成交额与覆盖率（可选）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tools/data_quality_report.py    # 刷新数据质量报告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3 步 · 校验验收（必做）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python tools/apptest_all_pages.py     # 5 页 0 异常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preflight 硬约束 H1–H8 全通过、S1 告警 = 0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检查口径断点：占比类指标跨期可比，绝对规模只在同口径区间比较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数据治理红线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任何一期数据都要过「三重校验」——31 行业集合完整、总量环比平滑、HHI 落位合理，否则不摄入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Wind 自然语言接口对年报期（Q4）与早年 Q1/Q3 的持仓问句不稳定，这类响应一律不采信并登记根因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数据源优先顺序：Wind（主力）→ 东方财富妙想 / 同花顺 iFinD（交叉验证与补缺）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6. 已知边界（如实声明）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前十大重仓口径 ≠ 全部持仓：系统性低估分散型行业，绝对水平有偏（横向可比）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F13 筹码盈利比例为指数层面代理，非成分股加权精确口径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可建模区间主口径仅 10 期（2024Q1~2026Q2）：主口径版 F2/F3/F4b/F15 无法取值，已用偏股混合 37 期超配长历史构建长历史版完成检验（结论：不显著）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早年持仓（2010~2015、2016~2018 Q1/Q4）缺口：需批量基金季报重仓数据库（东方财富妙想为「查实体」接口、套餐对聚合数据已超限；同花顺 iFinD 需另行提供密钥）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结论是「方向性证据」而非「稳健统计结论」，不构成可交易信号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