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2103D" w14:textId="159717AF" w:rsidR="00FF30C5" w:rsidRPr="00BB1722" w:rsidRDefault="00DE5A73" w:rsidP="00BB1722">
      <w:pPr>
        <w:spacing w:after="160" w:line="360" w:lineRule="auto"/>
        <w:jc w:val="both"/>
        <w:rPr>
          <w:rFonts w:ascii="Times New Roman" w:eastAsia="SimSun" w:hAnsi="Times New Roman"/>
          <w:b/>
          <w:sz w:val="32"/>
          <w:lang w:eastAsia="zh-CN"/>
        </w:rPr>
      </w:pPr>
      <w:r w:rsidRPr="00BB1722">
        <w:rPr>
          <w:rFonts w:ascii="Times New Roman" w:hAnsi="Times New Roman"/>
          <w:b/>
          <w:sz w:val="32"/>
        </w:rPr>
        <w:t>Supplementary Information</w:t>
      </w:r>
      <w:r w:rsidR="00BB1722">
        <w:rPr>
          <w:rFonts w:ascii="Times New Roman" w:eastAsia="SimSun" w:hAnsi="Times New Roman" w:hint="eastAsia"/>
          <w:b/>
          <w:sz w:val="32"/>
          <w:lang w:eastAsia="zh-CN"/>
        </w:rPr>
        <w:t xml:space="preserve"> of</w:t>
      </w:r>
    </w:p>
    <w:p w14:paraId="156075A7" w14:textId="77777777" w:rsidR="00BB1722" w:rsidRPr="001460D0" w:rsidRDefault="00BB1722" w:rsidP="00BB1722">
      <w:pPr>
        <w:spacing w:after="160" w:line="360" w:lineRule="auto"/>
        <w:jc w:val="both"/>
        <w:rPr>
          <w:rFonts w:ascii="Times New Roman" w:hAnsi="Times New Roman"/>
          <w:b/>
          <w:sz w:val="32"/>
        </w:rPr>
      </w:pPr>
      <w:proofErr w:type="spellStart"/>
      <w:r w:rsidRPr="001460D0">
        <w:rPr>
          <w:rFonts w:ascii="Times New Roman" w:hAnsi="Times New Roman"/>
          <w:b/>
          <w:sz w:val="32"/>
        </w:rPr>
        <w:t>CoupledMD</w:t>
      </w:r>
      <w:proofErr w:type="spellEnd"/>
      <w:r w:rsidRPr="001460D0">
        <w:rPr>
          <w:rFonts w:ascii="Times New Roman" w:hAnsi="Times New Roman"/>
          <w:b/>
          <w:sz w:val="32"/>
        </w:rPr>
        <w:t>: molecular dynamics trajectories of active GPCR–G-protein complexes</w:t>
      </w:r>
    </w:p>
    <w:p w14:paraId="308E32AE" w14:textId="77777777" w:rsidR="00BB1722" w:rsidRPr="00145D7B" w:rsidRDefault="00BB1722" w:rsidP="00BB172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145D7B">
        <w:rPr>
          <w:rFonts w:ascii="Times New Roman" w:eastAsia="Times New Roman" w:hAnsi="Times New Roman" w:cs="Times New Roman"/>
          <w:sz w:val="24"/>
          <w:szCs w:val="24"/>
        </w:rPr>
        <w:t>Jianxiang Huang</w:t>
      </w:r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1,2,3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5D7B">
        <w:rPr>
          <w:rFonts w:ascii="Times New Roman" w:hAnsi="Times New Roman" w:cs="Times New Roman"/>
          <w:sz w:val="24"/>
          <w:szCs w:val="24"/>
        </w:rPr>
        <w:t>Xin Qiao</w:t>
      </w:r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45D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5D7B">
        <w:rPr>
          <w:rFonts w:ascii="Times New Roman" w:eastAsia="Times New Roman" w:hAnsi="Times New Roman" w:cs="Times New Roman"/>
          <w:sz w:val="24"/>
          <w:szCs w:val="24"/>
        </w:rPr>
        <w:t>Shaoyong</w:t>
      </w:r>
      <w:proofErr w:type="spellEnd"/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 Lu</w:t>
      </w:r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1,2,</w:t>
      </w:r>
      <w:proofErr w:type="gramStart"/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3,*</w:t>
      </w:r>
      <w:proofErr w:type="gramEnd"/>
    </w:p>
    <w:p w14:paraId="5A3AFABA" w14:textId="77777777" w:rsidR="00BB1722" w:rsidRPr="00145D7B" w:rsidRDefault="00BB1722" w:rsidP="00BB17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19048" w14:textId="77777777" w:rsidR="00BB1722" w:rsidRPr="00145D7B" w:rsidRDefault="00BB1722" w:rsidP="00BB1722">
      <w:pPr>
        <w:kinsoku w:val="0"/>
        <w:overflowPunct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>Artificial Intelligence Clinical Research Center for Drug Discovery,</w:t>
      </w:r>
      <w:r w:rsidRPr="00145D7B">
        <w:rPr>
          <w:rFonts w:ascii="Times New Roman" w:hAnsi="Times New Roman" w:cs="Times New Roman"/>
          <w:sz w:val="24"/>
          <w:szCs w:val="24"/>
        </w:rPr>
        <w:t xml:space="preserve"> 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>Shanghai Key Laboratory of Flexible Medical Robotics, Institute of Medical Robotics, Tongren Hospital, Shanghai Jiao Tong University School of Medicine, Shanghai 200336, China</w:t>
      </w:r>
    </w:p>
    <w:p w14:paraId="6DF8E468" w14:textId="77777777" w:rsidR="00BB1722" w:rsidRPr="00145D7B" w:rsidRDefault="00BB1722" w:rsidP="00BB1722">
      <w:p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145D7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Key Laboratory of Protection, Development and Utilization of Medicinal Resources in </w:t>
      </w:r>
      <w:proofErr w:type="spellStart"/>
      <w:r w:rsidRPr="00145D7B">
        <w:rPr>
          <w:rFonts w:ascii="Times New Roman" w:eastAsia="Times New Roman" w:hAnsi="Times New Roman" w:cs="Times New Roman"/>
          <w:sz w:val="24"/>
          <w:szCs w:val="24"/>
        </w:rPr>
        <w:t>Liupanshan</w:t>
      </w:r>
      <w:proofErr w:type="spellEnd"/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 Area, Ministry of Education, Peptide &amp; Protein Drug Research Center, School of Pharmacy, Ningxia Medical University, Yinchuan 750004, China</w:t>
      </w:r>
    </w:p>
    <w:p w14:paraId="005F6A36" w14:textId="77777777" w:rsidR="00BB1722" w:rsidRPr="00145D7B" w:rsidRDefault="00BB1722" w:rsidP="00BB1722">
      <w:pPr>
        <w:spacing w:line="360" w:lineRule="auto"/>
        <w:jc w:val="both"/>
        <w:rPr>
          <w:rFonts w:ascii="Times New Roman" w:eastAsia="SimSun" w:hAnsi="Times New Roman" w:cs="Times New Roman"/>
          <w:lang w:eastAsia="zh-CN"/>
        </w:rPr>
      </w:pPr>
    </w:p>
    <w:p w14:paraId="677A59FA" w14:textId="77777777" w:rsidR="00BB1722" w:rsidRPr="00145D7B" w:rsidRDefault="00BB1722" w:rsidP="00BB1722">
      <w:pPr>
        <w:spacing w:line="360" w:lineRule="auto"/>
        <w:rPr>
          <w:rFonts w:ascii="Times New Roman" w:eastAsia="DengXian" w:hAnsi="Times New Roman" w:cs="Times New Roman"/>
          <w:bCs/>
          <w:sz w:val="24"/>
        </w:rPr>
      </w:pPr>
      <w:r w:rsidRPr="00145D7B">
        <w:rPr>
          <w:rFonts w:ascii="Times New Roman" w:eastAsia="DengXian" w:hAnsi="Times New Roman" w:cs="Times New Roman"/>
          <w:bCs/>
          <w:sz w:val="24"/>
          <w:vertAlign w:val="superscript"/>
        </w:rPr>
        <w:t>*</w:t>
      </w:r>
      <w:r w:rsidRPr="00145D7B">
        <w:rPr>
          <w:rFonts w:ascii="Times New Roman" w:eastAsia="DengXian" w:hAnsi="Times New Roman" w:cs="Times New Roman"/>
          <w:bCs/>
          <w:sz w:val="24"/>
        </w:rPr>
        <w:t>To whom correspondence should be addressed</w:t>
      </w:r>
    </w:p>
    <w:p w14:paraId="5BDACD26" w14:textId="77777777" w:rsidR="00BB1722" w:rsidRPr="00145D7B" w:rsidRDefault="00BB1722" w:rsidP="00BB172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 w:rsidRPr="00145D7B">
        <w:rPr>
          <w:rFonts w:ascii="Times New Roman" w:eastAsia="Times New Roman" w:hAnsi="Times New Roman" w:cs="Times New Roman"/>
          <w:sz w:val="24"/>
          <w:szCs w:val="24"/>
        </w:rPr>
        <w:t>Shaoyong</w:t>
      </w:r>
      <w:proofErr w:type="spellEnd"/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 Lu</w:t>
      </w:r>
      <w:r w:rsidRPr="00145D7B">
        <w:rPr>
          <w:rFonts w:ascii="Times New Roman" w:hAnsi="Times New Roman" w:cs="Times New Roman"/>
          <w:sz w:val="24"/>
          <w:szCs w:val="24"/>
        </w:rPr>
        <w:t>;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D7B">
        <w:rPr>
          <w:rFonts w:ascii="Times New Roman" w:hAnsi="Times New Roman" w:cs="Times New Roman"/>
          <w:sz w:val="24"/>
          <w:szCs w:val="24"/>
        </w:rPr>
        <w:t xml:space="preserve">E-mail: </w:t>
      </w:r>
      <w:r w:rsidRPr="00145D7B">
        <w:rPr>
          <w:rFonts w:ascii="Times New Roman" w:eastAsia="Times New Roman" w:hAnsi="Times New Roman" w:cs="Times New Roman"/>
          <w:sz w:val="24"/>
          <w:szCs w:val="24"/>
        </w:rPr>
        <w:t>lushaoyong@sjtu.edu.cn</w:t>
      </w:r>
    </w:p>
    <w:p w14:paraId="6AD550F1" w14:textId="77777777" w:rsidR="007B75F2" w:rsidRPr="007B75F2" w:rsidRDefault="007B75F2" w:rsidP="007B75F2">
      <w:pPr>
        <w:spacing w:line="360" w:lineRule="auto"/>
        <w:rPr>
          <w:rFonts w:ascii="Times New Roman" w:eastAsia="DengXian" w:hAnsi="Times New Roman" w:cs="Times New Roman"/>
          <w:bCs/>
          <w:sz w:val="24"/>
        </w:rPr>
      </w:pPr>
    </w:p>
    <w:p w14:paraId="5162B350" w14:textId="77777777" w:rsidR="007B75F2" w:rsidRPr="007B75F2" w:rsidRDefault="007B75F2" w:rsidP="007B75F2">
      <w:pPr>
        <w:spacing w:line="360" w:lineRule="auto"/>
        <w:rPr>
          <w:rFonts w:ascii="Times New Roman" w:eastAsia="DengXian" w:hAnsi="Times New Roman" w:cs="Times New Roman"/>
          <w:bCs/>
          <w:sz w:val="24"/>
        </w:rPr>
      </w:pPr>
    </w:p>
    <w:p w14:paraId="737C65A6" w14:textId="77777777" w:rsidR="007B75F2" w:rsidRPr="007B75F2" w:rsidRDefault="007B75F2" w:rsidP="007B75F2">
      <w:pPr>
        <w:spacing w:line="360" w:lineRule="auto"/>
        <w:rPr>
          <w:rFonts w:ascii="Times New Roman" w:eastAsia="DengXian" w:hAnsi="Times New Roman" w:cs="Times New Roman"/>
          <w:bCs/>
          <w:sz w:val="24"/>
        </w:rPr>
      </w:pPr>
    </w:p>
    <w:p w14:paraId="07DDAEDA" w14:textId="5285D655" w:rsidR="00FF30C5" w:rsidRPr="007B75F2" w:rsidRDefault="00DE5A73" w:rsidP="007B75F2">
      <w:pPr>
        <w:keepNext/>
        <w:spacing w:line="360" w:lineRule="auto"/>
        <w:rPr>
          <w:rFonts w:ascii="Times New Roman" w:eastAsia="DengXian" w:hAnsi="Times New Roman" w:cs="Times New Roman"/>
          <w:b/>
          <w:sz w:val="24"/>
        </w:rPr>
      </w:pPr>
      <w:r w:rsidRPr="007B75F2">
        <w:rPr>
          <w:rFonts w:ascii="Times New Roman" w:eastAsia="DengXian" w:hAnsi="Times New Roman" w:cs="Times New Roman"/>
          <w:b/>
          <w:sz w:val="24"/>
        </w:rPr>
        <w:t>Supplementary Note 1. Cohort definition and release controls</w:t>
      </w:r>
    </w:p>
    <w:p w14:paraId="5E899173" w14:textId="1698C780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This note documents the release controls behind the cohort summarized in the main text. Gs_8HTI is a consensus OR52c model with no canonical UniProt entry and is retaine</w:t>
      </w:r>
      <w:r>
        <w:t>d with explicit null receptor-accession and gene fields; it is the reason the release reports 174 distinct receptor names but only 173 mapped UniProt accessions.</w:t>
      </w:r>
    </w:p>
    <w:p w14:paraId="5E9DC1B7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The thirteen unresolved records break down by category as periodic-boundary/trajectory-continu</w:t>
      </w:r>
      <w:r>
        <w:t>ity (8), component-continuity (4) and incomplete-trajectory evidence (1); Gq_7E9W is the single record excluded outright, as a non-GPCR duplicate/mislabel of Gq_8E9W. Timestamp resets are treated as diagnostic only and are not classified as failures. Recor</w:t>
      </w:r>
      <w:r>
        <w:t>d-level evidence is provided in Supplementary Data S2.</w:t>
      </w:r>
    </w:p>
    <w:p w14:paraId="651D7A9F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The following release assertions are verified before the archive is frozen: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F30C5" w14:paraId="7BA3AB42" w14:textId="77777777">
        <w:trPr>
          <w:cantSplit/>
          <w:tblHeader w:val="true"/>
        </w:trPr>
        <w:tc>
          <w:tcPr>
            <w:tcW w:w="4968" w:type="dxa"/>
          </w:tcPr>
          <w:p>
            <w:r>
              <w:t>Assertion</w:t>
            </w:r>
          </w:p>
        </w:tc>
        <w:tc>
          <w:tcPr>
            <w:tcW w:w="4968" w:type="dxa"/>
          </w:tcPr>
          <w:p>
            <w:r>
              <w:t>Validated result</w:t>
            </w:r>
          </w:p>
        </w:tc>
      </w:tr>
      <w:tr w:rsidR="00FF30C5" w14:paraId="64398B07" w14:textId="77777777">
        <w:trPr>
          <w:cantSplit/>
        </w:trPr>
        <w:tc>
          <w:tcPr>
            <w:tcW w:w="4968" w:type="dxa"/>
          </w:tcPr>
          <w:p>
            <w:r>
              <w:t>Unique final system identifiers</w:t>
            </w:r>
          </w:p>
        </w:tc>
        <w:tc>
          <w:tcPr>
            <w:tcW w:w="4968" w:type="dxa"/>
          </w:tcPr>
          <w:p>
            <w:r>
              <w:t>207</w:t>
            </w:r>
          </w:p>
        </w:tc>
      </w:tr>
      <w:tr w:rsidR="00FF30C5" w14:paraId="21BD9A4F" w14:textId="77777777">
        <w:trPr>
          <w:cantSplit/>
        </w:trPr>
        <w:tc>
          <w:tcPr>
            <w:tcW w:w="4968" w:type="dxa"/>
          </w:tcPr>
          <w:p>
            <w:r>
              <w:t>Selected production replicas</w:t>
            </w:r>
          </w:p>
        </w:tc>
        <w:tc>
          <w:tcPr>
            <w:tcW w:w="4968" w:type="dxa"/>
          </w:tcPr>
          <w:p>
            <w:r>
              <w:t>621</w:t>
            </w:r>
          </w:p>
        </w:tc>
      </w:tr>
      <w:tr w:rsidR="00FF30C5" w14:paraId="01218783" w14:textId="77777777">
        <w:trPr>
          <w:cantSplit/>
        </w:trPr>
        <w:tc>
          <w:tcPr>
            <w:tcW w:w="4968" w:type="dxa"/>
          </w:tcPr>
          <w:p>
            <w:r>
              <w:t>Total selected production sampling</w:t>
            </w:r>
          </w:p>
        </w:tc>
        <w:tc>
          <w:tcPr>
            <w:tcW w:w="4968" w:type="dxa"/>
          </w:tcPr>
          <w:p>
            <w:r>
              <w:t>310,500 ns</w:t>
            </w:r>
          </w:p>
        </w:tc>
      </w:tr>
      <w:tr w:rsidR="00FF30C5" w14:paraId="1A3C5F85" w14:textId="77777777">
        <w:trPr>
          <w:cantSplit/>
        </w:trPr>
        <w:tc>
          <w:tcPr>
            <w:tcW w:w="4968" w:type="dxa"/>
          </w:tcPr>
          <w:p>
            <w:r>
              <w:t>Final systems covered by each current portal/API record type</w:t>
            </w:r>
          </w:p>
        </w:tc>
        <w:tc>
          <w:tcPr>
            <w:tcW w:w="4968" w:type="dxa"/>
          </w:tcPr>
          <w:p>
            <w:r>
              <w:t>207</w:t>
            </w:r>
          </w:p>
        </w:tc>
      </w:tr>
      <w:tr w:rsidR="00FF30C5" w14:paraId="1A7D9F81" w14:textId="77777777">
        <w:trPr>
          <w:cantSplit/>
        </w:trPr>
        <w:tc>
          <w:tcPr>
            <w:tcW w:w="4968" w:type="dxa"/>
          </w:tcPr>
          <w:p>
            <w:r>
              <w:t>Unresolved/excluded IDs in final derived tables</w:t>
            </w:r>
          </w:p>
        </w:tc>
        <w:tc>
          <w:tcPr>
            <w:tcW w:w="4968" w:type="dxa"/>
          </w:tcPr>
          <w:p>
            <w:r>
              <w:t>0</w:t>
            </w:r>
          </w:p>
        </w:tc>
      </w:tr>
      <w:tr w:rsidR="00FF30C5" w14:paraId="33F01B52" w14:textId="77777777">
        <w:trPr>
          <w:cantSplit/>
        </w:trPr>
        <w:tc>
          <w:tcPr>
            <w:tcW w:w="4968" w:type="dxa"/>
          </w:tcPr>
          <w:p>
            <w:r>
              <w:t>Gq_7E9W in final cohort/API records</w:t>
            </w:r>
          </w:p>
        </w:tc>
        <w:tc>
          <w:tcPr>
            <w:tcW w:w="4968" w:type="dxa"/>
          </w:tcPr>
          <w:p>
            <w:r>
              <w:t>0</w:t>
            </w:r>
          </w:p>
        </w:tc>
      </w:tr>
      <w:tr w:rsidR="00FF30C5" w14:paraId="47BFD1DC" w14:textId="77777777">
        <w:trPr>
          <w:cantSplit/>
        </w:trPr>
        <w:tc>
          <w:tcPr>
            <w:tcW w:w="4968" w:type="dxa"/>
          </w:tcPr>
          <w:p>
            <w:r>
              <w:t>Gq_7DWC in final cohort/API records</w:t>
            </w:r>
          </w:p>
        </w:tc>
        <w:tc>
          <w:tcPr>
            <w:tcW w:w="4968" w:type="dxa"/>
          </w:tcPr>
          <w:p>
            <w:r>
              <w:t>0</w:t>
            </w:r>
          </w:p>
        </w:tc>
      </w:tr>
      <w:tr w:rsidR="00FF30C5" w14:paraId="453D7BD4" w14:textId="77777777">
        <w:trPr>
          <w:cantSplit/>
        </w:trPr>
        <w:tc>
          <w:tcPr>
            <w:tcW w:w="4968" w:type="dxa"/>
          </w:tcPr>
          <w:p>
            <w:r>
              <w:t>Pocket records</w:t>
            </w:r>
          </w:p>
        </w:tc>
        <w:tc>
          <w:tcPr>
            <w:tcW w:w="4968" w:type="dxa"/>
          </w:tcPr>
          <w:p>
            <w:r>
              <w:t>2,149 detected rows + 2 valid zero-pocket rows</w:t>
            </w:r>
          </w:p>
        </w:tc>
      </w:tr>
      <w:tr w:rsidR="00FF30C5" w14:paraId="0BA66BFE" w14:textId="77777777">
        <w:trPr>
          <w:cantSplit/>
        </w:trPr>
        <w:tc>
          <w:tcPr>
            <w:tcW w:w="4968" w:type="dxa"/>
          </w:tcPr>
          <w:p>
            <w:r>
              <w:t>Gateway records</w:t>
            </w:r>
          </w:p>
        </w:tc>
        <w:tc>
          <w:tcPr>
            <w:tcW w:w="4968" w:type="dxa"/>
          </w:tcPr>
          <w:p>
            <w:r>
              <w:t>5,796 system/interface/metric rows</w:t>
            </w:r>
          </w:p>
        </w:tc>
      </w:tr>
      <w:tr w:rsidR="00FF30C5" w14:paraId="1567D471" w14:textId="77777777">
        <w:trPr>
          <w:cantSplit/>
        </w:trPr>
        <w:tc>
          <w:tcPr>
            <w:tcW w:w="4968" w:type="dxa"/>
          </w:tcPr>
          <w:p>
            <w:r>
              <w:t>Frozen archive, DOI and archive checksums</w:t>
            </w:r>
          </w:p>
        </w:tc>
        <w:tc>
          <w:tcPr>
            <w:tcW w:w="4968" w:type="dxa"/>
          </w:tcPr>
          <w:p>
            <w:r>
              <w:t>Pending final manifest freeze and deposition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Package schema and integrity assertions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</w:tbl>
    <w:p w14:paraId="3388B95C" w14:textId="77777777" w:rsidR="007B75F2" w:rsidRDefault="007B75F2" w:rsidP="007B75F2">
      <w:pPr>
        <w:spacing w:line="360" w:lineRule="auto"/>
        <w:rPr>
          <w:rFonts w:ascii="Times New Roman" w:eastAsia="DengXian" w:hAnsi="Times New Roman" w:cs="Times New Roman"/>
          <w:b/>
          <w:sz w:val="24"/>
        </w:rPr>
      </w:pPr>
    </w:p>
    <w:p w14:paraId="4B4DBA62" w14:textId="6B9E50A5" w:rsidR="00FF30C5" w:rsidRPr="007B75F2" w:rsidRDefault="00DE5A73" w:rsidP="007B75F2">
      <w:pPr>
        <w:keepNext/>
        <w:spacing w:line="360" w:lineRule="auto"/>
        <w:rPr>
          <w:rFonts w:ascii="Times New Roman" w:eastAsia="DengXian" w:hAnsi="Times New Roman" w:cs="Times New Roman"/>
          <w:b/>
          <w:sz w:val="24"/>
        </w:rPr>
      </w:pPr>
      <w:r w:rsidRPr="007B75F2">
        <w:rPr>
          <w:rFonts w:ascii="Times New Roman" w:eastAsia="DengXian" w:hAnsi="Times New Roman" w:cs="Times New Roman"/>
          <w:b/>
          <w:sz w:val="24"/>
        </w:rPr>
        <w:t>Supplementary Note 2. Structure provenance and protocol groups</w:t>
      </w:r>
    </w:p>
    <w:p w14:paraId="7FF41871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Supplementary Data S1 serializes the final 207-system identifier, source PDB identifier, receptor name and mapped accession/gene when available, GPCR class, G-protein family and subtype label, authoritative ligand name and chemical identifier when present, selected-replica counts and durations, force-field/protocol label, lipid composition, structural-provenance label, bilayer/trajectory flags and source-availability flags. It does not serialize activation state, biological assembly, retained-chain lists or retrieval dates because those fields are not supported consistently by the authoritative sources.</w:t>
      </w:r>
    </w:p>
    <w:p w14:paraId="525A94E5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The release defines three protocol groups: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F30C5" w14:paraId="7D3DE27D" w14:textId="77777777">
        <w:trPr>
          <w:cantSplit/>
          <w:tblHeader w:val="true"/>
        </w:trPr>
        <w:tc>
          <w:tcPr>
            <w:tcW w:w="2484" w:type="dxa"/>
          </w:tcPr>
          <w:p w14:paraId="780EFA1E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Protocol</w:t>
            </w:r>
          </w:p>
        </w:tc>
        <w:tc>
          <w:tcPr>
            <w:tcW w:w="2484" w:type="dxa"/>
          </w:tcPr>
          <w:p w14:paraId="719E446F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Systems</w:t>
            </w:r>
          </w:p>
        </w:tc>
        <w:tc>
          <w:tcPr>
            <w:tcW w:w="2484" w:type="dxa"/>
          </w:tcPr>
          <w:p w14:paraId="5FB45A1F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Engine</w:t>
            </w:r>
          </w:p>
        </w:tc>
        <w:tc>
          <w:tcPr>
            <w:tcW w:w="2484" w:type="dxa"/>
          </w:tcPr>
          <w:p w14:paraId="24F24496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Current label</w:t>
            </w:r>
          </w:p>
        </w:tc>
      </w:tr>
      <w:tr w:rsidR="00FF30C5" w14:paraId="4E406C25" w14:textId="77777777">
        <w:trPr>
          <w:cantSplit/>
        </w:trPr>
        <w:tc>
          <w:tcPr>
            <w:tcW w:w="2484" w:type="dxa"/>
          </w:tcPr>
          <w:p w14:paraId="4A26D7DC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P1</w:t>
            </w:r>
          </w:p>
        </w:tc>
        <w:tc>
          <w:tcPr>
            <w:tcW w:w="2484" w:type="dxa"/>
          </w:tcPr>
          <w:p w14:paraId="4F33F5E7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180</w:t>
            </w:r>
          </w:p>
        </w:tc>
        <w:tc>
          <w:tcPr>
            <w:tcW w:w="2484" w:type="dxa"/>
          </w:tcPr>
          <w:p w14:paraId="176D76BD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 xml:space="preserve">AMBER </w:t>
            </w:r>
            <w:r w:rsidRPr="00FE1376">
              <w:rPr>
                <w:rFonts w:ascii="Times New Roman" w:hAnsi="Times New Roman"/>
                <w:szCs w:val="20"/>
              </w:rPr>
              <w:t>pmemd</w:t>
            </w:r>
          </w:p>
        </w:tc>
        <w:tc>
          <w:tcPr>
            <w:tcW w:w="2484" w:type="dxa"/>
          </w:tcPr>
          <w:p w14:paraId="5D70DFA4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CHARMM36 (chamber, AMBER pmemd)</w:t>
            </w:r>
          </w:p>
        </w:tc>
      </w:tr>
      <w:tr w:rsidR="00FF30C5" w14:paraId="1687B666" w14:textId="77777777">
        <w:trPr>
          <w:cantSplit/>
        </w:trPr>
        <w:tc>
          <w:tcPr>
            <w:tcW w:w="2484" w:type="dxa"/>
          </w:tcPr>
          <w:p w14:paraId="1881B1EB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P2</w:t>
            </w:r>
          </w:p>
        </w:tc>
        <w:tc>
          <w:tcPr>
            <w:tcW w:w="2484" w:type="dxa"/>
          </w:tcPr>
          <w:p w14:paraId="42933C1E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26</w:t>
            </w:r>
          </w:p>
        </w:tc>
        <w:tc>
          <w:tcPr>
            <w:tcW w:w="2484" w:type="dxa"/>
          </w:tcPr>
          <w:p w14:paraId="25762A22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AMBER (CHARMM-GUI)</w:t>
            </w:r>
          </w:p>
        </w:tc>
        <w:tc>
          <w:tcPr>
            <w:tcW w:w="2484" w:type="dxa"/>
          </w:tcPr>
          <w:p w14:paraId="413B2F05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CHARMM36 (via AMBER CHARMM-GUI)</w:t>
            </w:r>
          </w:p>
        </w:tc>
      </w:tr>
      <w:tr w:rsidR="00FF30C5" w14:paraId="10269044" w14:textId="77777777">
        <w:trPr>
          <w:cantSplit/>
        </w:trPr>
        <w:tc>
          <w:tcPr>
            <w:tcW w:w="2484" w:type="dxa"/>
          </w:tcPr>
          <w:p w14:paraId="6F6D29E3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P3</w:t>
            </w:r>
          </w:p>
        </w:tc>
        <w:tc>
          <w:tcPr>
            <w:tcW w:w="2484" w:type="dxa"/>
          </w:tcPr>
          <w:p w14:paraId="49ECEA91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2</w:t>
            </w:r>
          </w:p>
        </w:tc>
        <w:tc>
          <w:tcPr>
            <w:tcW w:w="2484" w:type="dxa"/>
          </w:tcPr>
          <w:p w14:paraId="20EF9551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GROMACS</w:t>
            </w:r>
          </w:p>
        </w:tc>
        <w:tc>
          <w:tcPr>
            <w:tcW w:w="2484" w:type="dxa"/>
          </w:tcPr>
          <w:p w14:paraId="224019B2" w14:textId="77777777" w:rsidR="00FF30C5" w:rsidRPr="00FE1376" w:rsidRDefault="00DE5A73" w:rsidP="007B75F2">
            <w:pPr>
              <w:spacing w:after="80" w:line="360" w:lineRule="auto"/>
              <w:ind w:firstLineChars="200" w:firstLine="400"/>
              <w:jc w:val="both"/>
              <w:rPr>
                <w:rFonts w:ascii="Times New Roman" w:hAnsi="Times New Roman"/>
                <w:szCs w:val="20"/>
              </w:rPr>
            </w:pPr>
            <w:r w:rsidRPr="00FE1376">
              <w:rPr>
                <w:rFonts w:ascii="Times New Roman" w:hAnsi="Times New Roman"/>
                <w:szCs w:val="20"/>
              </w:rPr>
              <w:t>CHARMM36 (membrane-embedded, GROMACS)</w:t>
            </w:r>
          </w:p>
        </w:tc>
      </w:tr>
    </w:tbl>
    <w:p w14:paraId="327948EF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The shared thermodynamic and non-bonded settings, and the engine-specific thermostat and barostat algorithm</w:t>
      </w:r>
      <w:r>
        <w:t>s, are given in the main Methods; only the per-group force-field labeling above is release-specific.</w:t>
      </w:r>
    </w:p>
    <w:p w14:paraId="71EFD68F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Supplementary Data S10 inventories the current plotting, package-build and API code, repository-relative paths, byte sizes, SHA-256 values, languages and versions available in the package-build environment. No authoritative record of the exact historical AMBER or GROMACS engine versions was located; therefore the supplement does not claim exact simulation-engine versions.</w:t>
      </w:r>
    </w:p>
    <w:p w14:paraId="0C47EAF3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9070EB5" w14:textId="5069F77A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Note 3. Production and reduced trajectory records</w:t>
      </w:r>
    </w:p>
    <w:p w14:paraId="3ECBF8D1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Supplementary Data S4 is a 414-row source-inventory evidence table with one aggregate production-trajectory source row and one topology source row per final system. It reports limited source locators, existence and byte size observed during audit, and the three-replica/500-ns release scope. S4 is not a frozen archive manifest and does not claim one row per deposited physical file, repository paths, per-file checksums or DOI deposition.</w:t>
      </w:r>
    </w:p>
    <w:p w14:paraId="32153335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Supplementary Data S7 is the 621-row selected-replica release ledger and records three 500-ns selected replicas per system. The complete 621-file trajectory manifest, matched per-file topology identifiers, checksums and a self-contained file-level QC package remain pending final manifest freeze and deposition.</w:t>
      </w:r>
    </w:p>
    <w:p w14:paraId="19BB92F3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725A4474" w14:textId="3E0D27C5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Note 4. Pocket workflow</w:t>
      </w:r>
    </w:p>
    <w:p w14:paraId="0C010BEE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Ligand heavy atoms were identified from retained HETATM records after excluding protein, lipid, water and ion residu</w:t>
      </w:r>
      <w:r>
        <w:t>e names. The per-cluster metric mean_freq is the mean occupied-frame fraction of its grid points; best_ortho_freq (defined in the main Methods) is the maximum mean_freq among clusters labelled orthosteric.</w:t>
      </w:r>
    </w:p>
    <w:p w14:paraId="1F33719F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Supplementary Data S5 contains 2,149 detected-pocket rows from 205 systems. Gi_7YK6 and Gi_8YIC have valid API pocket records with n_pockets=0 and are represented by two explicit available_zero_pockets rows rather than by numerical-zero pocket measurements or unavailable records. Detected rows report pocket size, mean frequency, orthosteric annotation, stored location, reader-facing anatomical zone and mapped GPCRdb generic positions.</w:t>
      </w:r>
    </w:p>
    <w:p w14:paraId="66362810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2BBFDF23" w14:textId="4C013AB6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Note 5. Gateway workflow</w:t>
      </w:r>
    </w:p>
    <w:p w14:paraId="7AE0043F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The seven adjacent helix pairs scored for lipid access are TM1–TM2, TM2–TM3, T</w:t>
      </w:r>
      <w:r>
        <w:t>M3–TM4, TM4–TM5, TM5–TM6, TM6–TM7 and TM7–TM1, with TM boundaries taken from GPCRdb assignments.</w:t>
      </w:r>
    </w:p>
    <w:p w14:paraId="7F0FF079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Supplementary Data S6 contains 5,796 tidy system-interface-metric rows (207 systems x seven adjacent TM-helix pairs x four metrics). The metrics are penetration and penetration_p90 (angstrom), open_fraction (unitless fraction) and occupancy (lipid heavy atoms per frame). Every row reports the three replica values, their mean, stored interval bounds, replica count, unit and schema version. The 95% intervals were obtained by resampling the three replica summaries 1,000 times under a fixed seed.</w:t>
      </w:r>
    </w:p>
    <w:p w14:paraId="4BC00DAB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2E6C2643" w14:textId="46ABE6BF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Note 6. Technical validation</w:t>
      </w:r>
    </w:p>
    <w:p w14:paraId="78ED31A7" w14:textId="77777777" w:rsidR="00FF30C5" w:rsidRPr="007B75F2" w:rsidRDefault="00DE5A73" w:rsidP="007B75F2">
      <w:pPr>
        <w:spacing w:after="80" w:line="360" w:lineRule="auto"/>
        <w:ind w:firstLineChars="200" w:firstLine="400"/>
        <w:jc w:val="both"/>
        <w:rPr>
          <w:rFonts w:ascii="Times New Roman" w:hAnsi="Times New Roman"/>
          <w:sz w:val="24"/>
          <w:szCs w:val="24"/>
        </w:rPr>
      </w:pPr>
      <w:r>
        <w:t>The production-trajectory acceptance criteria, orthosteric-pocket-recovery validation and reduced-visualization audit are described in the main Technical Validation. Supplementary Data S7 is the 621-row selected-replica ledger. Supplementary Data S8 is a 207-system readiness/QC summary with pointers to the underlying evidence; it is not a self-contained full QC package. Supplementary Data S9 summarizes current portal/API file and content availability. A valid zero-pocket JSON record counts as available, and API file presence is not interpreted as deposited-archive coverage.</w:t>
      </w:r>
    </w:p>
    <w:p w14:paraId="26DD9E03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64E5F737" w14:textId="21D9429F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Table S1. Canonical metadata dictionary</w:t>
      </w:r>
    </w:p>
    <w:p w14:paraId="6549E121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Supplementary Data S3 contains one row for each of the 105 unique field names actually serialized across S1-S10. Every row reports field, entity_level, type, unit, requiredness, nullable, allowed_vocabulary, definition, example, provenance_authority and schema_version. Hypothetical archive-manifest fields are not listed.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F30C5" w:rsidRPr="007B75F2" w14:paraId="7A8E448C" w14:textId="77777777">
        <w:trPr>
          <w:cantSplit/>
          <w:tblHeader w:val="true"/>
        </w:trPr>
        <w:tc>
          <w:tcPr>
            <w:tcW w:w="2484" w:type="dxa"/>
          </w:tcPr>
          <w:p>
            <w:r>
              <w:t>S3 field</w:t>
            </w:r>
          </w:p>
        </w:tc>
        <w:tc>
          <w:tcPr>
            <w:tcW w:w="2484" w:type="dxa"/>
          </w:tcPr>
          <w:p>
            <w:r>
              <w:t>Type</w:t>
            </w:r>
          </w:p>
        </w:tc>
        <w:tc>
          <w:tcPr>
            <w:tcW w:w="2484" w:type="dxa"/>
          </w:tcPr>
          <w:p>
            <w:r>
              <w:t>Requiredness</w:t>
            </w:r>
          </w:p>
        </w:tc>
        <w:tc>
          <w:tcPr>
            <w:tcW w:w="2484" w:type="dxa"/>
          </w:tcPr>
          <w:p>
            <w:r>
              <w:t>Meaning</w:t>
            </w:r>
          </w:p>
        </w:tc>
      </w:tr>
      <w:tr w:rsidR="00FF30C5" w:rsidRPr="007B75F2" w14:paraId="050D40E3" w14:textId="77777777">
        <w:trPr>
          <w:cantSplit/>
        </w:trPr>
        <w:tc>
          <w:tcPr>
            <w:tcW w:w="2484" w:type="dxa"/>
          </w:tcPr>
          <w:p>
            <w:r>
              <w:t>field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Exact column name serialized in S1-S10</w:t>
            </w:r>
          </w:p>
        </w:tc>
      </w:tr>
      <w:tr w:rsidR="00FF30C5" w:rsidRPr="007B75F2" w14:paraId="3D083457" w14:textId="77777777">
        <w:trPr>
          <w:cantSplit/>
        </w:trPr>
        <w:tc>
          <w:tcPr>
            <w:tcW w:w="2484" w:type="dxa"/>
          </w:tcPr>
          <w:p>
            <w:r>
              <w:t>entity_level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Actual record level at which the field is interpreted</w:t>
            </w:r>
          </w:p>
        </w:tc>
      </w:tr>
      <w:tr w:rsidR="00FF30C5" w:rsidRPr="007B75F2" w14:paraId="6E43AFA7" w14:textId="77777777">
        <w:trPr>
          <w:cantSplit/>
        </w:trPr>
        <w:tc>
          <w:tcPr>
            <w:tcW w:w="2484" w:type="dxa"/>
          </w:tcPr>
          <w:p>
            <w:r>
              <w:t>type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Logical serialized type</w:t>
            </w:r>
          </w:p>
        </w:tc>
      </w:tr>
      <w:tr w:rsidR="00FF30C5" w:rsidRPr="007B75F2" w14:paraId="170A2683" w14:textId="77777777">
        <w:trPr>
          <w:cantSplit/>
        </w:trPr>
        <w:tc>
          <w:tcPr>
            <w:tcW w:w="2484" w:type="dxa"/>
          </w:tcPr>
          <w:p>
            <w:r>
              <w:t>unit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Measurement unit or explicit unitless/not-applicable label</w:t>
            </w:r>
          </w:p>
        </w:tc>
      </w:tr>
      <w:tr w:rsidR="00FF30C5" w:rsidRPr="007B75F2" w14:paraId="5CFAF059" w14:textId="77777777">
        <w:trPr>
          <w:cantSplit/>
        </w:trPr>
        <w:tc>
          <w:tcPr>
            <w:tcW w:w="2484" w:type="dxa"/>
          </w:tcPr>
          <w:p>
            <w:r>
              <w:t>requiredness</w:t>
            </w:r>
          </w:p>
        </w:tc>
        <w:tc>
          <w:tcPr>
            <w:tcW w:w="2484" w:type="dxa"/>
          </w:tcPr>
          <w:p>
            <w:r>
              <w:t>enum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required or conditional</w:t>
            </w:r>
          </w:p>
        </w:tc>
      </w:tr>
      <w:tr w:rsidR="00FF30C5" w:rsidRPr="007B75F2" w14:paraId="207E15B2" w14:textId="77777777">
        <w:trPr>
          <w:cantSplit/>
        </w:trPr>
        <w:tc>
          <w:tcPr>
            <w:tcW w:w="2484" w:type="dxa"/>
          </w:tcPr>
          <w:p>
            <w:r>
              <w:t>nullable</w:t>
            </w:r>
          </w:p>
        </w:tc>
        <w:tc>
          <w:tcPr>
            <w:tcW w:w="2484" w:type="dxa"/>
          </w:tcPr>
          <w:p>
            <w:r>
              <w:t>boolean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Whether an empty CSV value is permitted</w:t>
            </w:r>
          </w:p>
        </w:tc>
      </w:tr>
      <w:tr w:rsidR="00FF30C5" w:rsidRPr="007B75F2" w14:paraId="2F72BD53" w14:textId="77777777">
        <w:trPr>
          <w:cantSplit/>
        </w:trPr>
        <w:tc>
          <w:tcPr>
            <w:tcW w:w="2484" w:type="dxa"/>
          </w:tcPr>
          <w:p>
            <w:r>
              <w:t>allowed_vocabulary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conditional</w:t>
            </w:r>
          </w:p>
        </w:tc>
        <w:tc>
          <w:tcPr>
            <w:tcW w:w="2484" w:type="dxa"/>
          </w:tcPr>
          <w:p>
            <w:r>
              <w:t>Pipe-delimited closed vocabulary when applicable</w:t>
            </w:r>
          </w:p>
        </w:tc>
      </w:tr>
      <w:tr w:rsidR="00FF30C5" w:rsidRPr="007B75F2" w14:paraId="26CBB43E" w14:textId="77777777">
        <w:trPr>
          <w:cantSplit/>
        </w:trPr>
        <w:tc>
          <w:tcPr>
            <w:tcW w:w="2484" w:type="dxa"/>
          </w:tcPr>
          <w:p>
            <w:r>
              <w:t>definition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Reader-facing semantic definition</w:t>
            </w:r>
          </w:p>
        </w:tc>
      </w:tr>
      <w:tr w:rsidR="00FF30C5" w:rsidRPr="007B75F2" w14:paraId="2C15D08E" w14:textId="77777777">
        <w:trPr>
          <w:cantSplit/>
        </w:trPr>
        <w:tc>
          <w:tcPr>
            <w:tcW w:w="2484" w:type="dxa"/>
          </w:tcPr>
          <w:p>
            <w:r>
              <w:t>example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conditional</w:t>
            </w:r>
          </w:p>
        </w:tc>
        <w:tc>
          <w:tcPr>
            <w:tcW w:w="2484" w:type="dxa"/>
          </w:tcPr>
          <w:p>
            <w:r>
              <w:t>Example non-null serialized value</w:t>
            </w:r>
          </w:p>
        </w:tc>
      </w:tr>
      <w:tr w:rsidR="00FF30C5" w:rsidRPr="007B75F2" w14:paraId="09F0EB92" w14:textId="77777777">
        <w:trPr>
          <w:cantSplit/>
        </w:trPr>
        <w:tc>
          <w:tcPr>
            <w:tcW w:w="2484" w:type="dxa"/>
          </w:tcPr>
          <w:p>
            <w:r>
              <w:t>provenance_authority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Authoritative source or computation</w:t>
            </w:r>
          </w:p>
        </w:tc>
      </w:tr>
      <w:tr w:rsidR="00FF30C5" w:rsidRPr="007B75F2" w14:paraId="6D91BED4" w14:textId="77777777">
        <w:trPr>
          <w:cantSplit/>
        </w:trPr>
        <w:tc>
          <w:tcPr>
            <w:tcW w:w="2484" w:type="dxa"/>
          </w:tcPr>
          <w:p>
            <w:r>
              <w:t>schema_version</w:t>
            </w:r>
          </w:p>
        </w:tc>
        <w:tc>
          <w:tcPr>
            <w:tcW w:w="2484" w:type="dxa"/>
          </w:tcPr>
          <w:p>
            <w:r>
              <w:t>string</w:t>
            </w:r>
          </w:p>
        </w:tc>
        <w:tc>
          <w:tcPr>
            <w:tcW w:w="2484" w:type="dxa"/>
          </w:tcPr>
          <w:p>
            <w:r>
              <w:t>required</w:t>
            </w:r>
          </w:p>
        </w:tc>
        <w:tc>
          <w:tcPr>
            <w:tcW w:w="2484" w:type="dxa"/>
          </w:tcPr>
          <w:p>
            <w:r>
              <w:t>Schema identifier v9-final207.1</w:t>
            </w:r>
          </w:p>
        </w:tc>
      </w:tr>
    </w:tbl>
    <w:p w14:paraId="23BFD742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Empty strings, literal nan, zero and absent keys are not interchangeable; each serialization defines the null representation.</w:t>
      </w:r>
    </w:p>
    <w:p w14:paraId="694AE4C8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1B1BE4B" w14:textId="1F03A12C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Table S2. Unresolved and excluded records</w:t>
      </w:r>
    </w:p>
    <w:p w14:paraId="6ADE0960" w14:textId="4959423B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Supplementary Data S2 combines the 13 unresolved records and the single excluded record, Gq_7E9W, in one 14-row release-boundary table. There is no separate exclusions file. Neither unresolved nor excluded records contribute to final-cohort derived tables.</w:t>
      </w:r>
    </w:p>
    <w:p w14:paraId="504A5262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631AA8AD" w14:textId="712FC29F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Tabl</w:t>
      </w:r>
      <w:r w:rsidRPr="005970B5">
        <w:rPr>
          <w:rFonts w:ascii="Times New Roman" w:hAnsi="Times New Roman"/>
          <w:b/>
          <w:bCs/>
          <w:sz w:val="24"/>
          <w:szCs w:val="24"/>
        </w:rPr>
        <w:t>e S3. Molecular-file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F30C5" w:rsidRPr="007B75F2" w14:paraId="4BE32E24" w14:textId="77777777">
        <w:trPr>
          <w:cantSplit/>
          <w:tblHeader w:val="true"/>
        </w:trPr>
        <w:tc>
          <w:tcPr>
            <w:tcW w:w="2484" w:type="dxa"/>
          </w:tcPr>
          <w:p>
            <w:r>
              <w:t>Record role</w:t>
            </w:r>
          </w:p>
        </w:tc>
        <w:tc>
          <w:tcPr>
            <w:tcW w:w="2484" w:type="dxa"/>
          </w:tcPr>
          <w:p>
            <w:r>
              <w:t>Format</w:t>
            </w:r>
          </w:p>
        </w:tc>
        <w:tc>
          <w:tcPr>
            <w:tcW w:w="2484" w:type="dxa"/>
          </w:tcPr>
          <w:p>
            <w:r>
              <w:t>Required pairing/source</w:t>
            </w:r>
          </w:p>
        </w:tc>
        <w:tc>
          <w:tcPr>
            <w:tcW w:w="2484" w:type="dxa"/>
          </w:tcPr>
          <w:p>
            <w:r>
              <w:t>Current interpretation</w:t>
            </w:r>
          </w:p>
        </w:tc>
      </w:tr>
      <w:tr w:rsidR="00FF30C5" w:rsidRPr="007B75F2" w14:paraId="4573CB90" w14:textId="77777777">
        <w:trPr>
          <w:cantSplit/>
        </w:trPr>
        <w:tc>
          <w:tcPr>
            <w:tcW w:w="2484" w:type="dxa"/>
          </w:tcPr>
          <w:p>
            <w:r>
              <w:t>Production-trajectory source evidence</w:t>
            </w:r>
          </w:p>
        </w:tc>
        <w:tc>
          <w:tcPr>
            <w:tcW w:w="2484" w:type="dxa"/>
          </w:tcPr>
          <w:p>
            <w:r>
              <w:t>NetCDF or TRR</w:t>
            </w:r>
          </w:p>
        </w:tc>
        <w:tc>
          <w:tcPr>
            <w:tcW w:w="2484" w:type="dxa"/>
          </w:tcPr>
          <w:p>
            <w:r>
              <w:t>Matched source topology</w:t>
            </w:r>
          </w:p>
        </w:tc>
        <w:tc>
          <w:tcPr>
            <w:tcW w:w="2484" w:type="dxa"/>
          </w:tcPr>
          <w:p>
            <w:r>
              <w:t>Aggregate S4 evidence; not a deposited per-file manifest</w:t>
            </w:r>
          </w:p>
        </w:tc>
      </w:tr>
      <w:tr w:rsidR="00FF30C5" w:rsidRPr="007B75F2" w14:paraId="30E3A075" w14:textId="77777777">
        <w:trPr>
          <w:cantSplit/>
        </w:trPr>
        <w:tc>
          <w:tcPr>
            <w:tcW w:w="2484" w:type="dxa"/>
          </w:tcPr>
          <w:p>
            <w:r>
              <w:t>Topology source evidence</w:t>
            </w:r>
          </w:p>
        </w:tc>
        <w:tc>
          <w:tcPr>
            <w:tcW w:w="2484" w:type="dxa"/>
          </w:tcPr>
          <w:p>
            <w:r>
              <w:t>PRMTOP/PARM7 or TPR</w:t>
            </w:r>
          </w:p>
        </w:tc>
        <w:tc>
          <w:tcPr>
            <w:tcW w:w="2484" w:type="dxa"/>
          </w:tcPr>
          <w:p>
            <w:r>
              <w:t>Production trajectory</w:t>
            </w:r>
          </w:p>
        </w:tc>
        <w:tc>
          <w:tcPr>
            <w:tcW w:w="2484" w:type="dxa"/>
          </w:tcPr>
          <w:p>
            <w:r>
              <w:t>Aggregate S4 evidence; not a deposited per-file manifest</w:t>
            </w:r>
          </w:p>
        </w:tc>
      </w:tr>
      <w:tr w:rsidR="00FF30C5" w:rsidRPr="007B75F2" w14:paraId="6E0CDA42" w14:textId="77777777">
        <w:trPr>
          <w:cantSplit/>
        </w:trPr>
        <w:tc>
          <w:tcPr>
            <w:tcW w:w="2484" w:type="dxa"/>
          </w:tcPr>
          <w:p>
            <w:r>
              <w:t>Reduced reference</w:t>
            </w:r>
          </w:p>
        </w:tc>
        <w:tc>
          <w:tcPr>
            <w:tcW w:w="2484" w:type="dxa"/>
          </w:tcPr>
          <w:p>
            <w:r>
              <w:t>PDB</w:t>
            </w:r>
          </w:p>
        </w:tc>
        <w:tc>
          <w:tcPr>
            <w:tcW w:w="2484" w:type="dxa"/>
          </w:tcPr>
          <w:p>
            <w:r>
              <w:t>Reduced XTC</w:t>
            </w:r>
          </w:p>
        </w:tc>
        <w:tc>
          <w:tcPr>
            <w:tcW w:w="2484" w:type="dxa"/>
          </w:tcPr>
          <w:p>
            <w:r>
              <w:t>Current portal visualization</w:t>
            </w:r>
          </w:p>
        </w:tc>
      </w:tr>
      <w:tr w:rsidR="00FF30C5" w:rsidRPr="007B75F2" w14:paraId="1959BDCA" w14:textId="77777777">
        <w:trPr>
          <w:cantSplit/>
        </w:trPr>
        <w:tc>
          <w:tcPr>
            <w:tcW w:w="2484" w:type="dxa"/>
          </w:tcPr>
          <w:p>
            <w:r>
              <w:t>Reduced trajectory</w:t>
            </w:r>
          </w:p>
        </w:tc>
        <w:tc>
          <w:tcPr>
            <w:tcW w:w="2484" w:type="dxa"/>
          </w:tcPr>
          <w:p>
            <w:r>
              <w:t>XTC</w:t>
            </w:r>
          </w:p>
        </w:tc>
        <w:tc>
          <w:tcPr>
            <w:tcW w:w="2484" w:type="dxa"/>
          </w:tcPr>
          <w:p>
            <w:r>
              <w:t>Reduced PDB</w:t>
            </w:r>
          </w:p>
        </w:tc>
        <w:tc>
          <w:tcPr>
            <w:tcW w:w="2484" w:type="dxa"/>
          </w:tcPr>
          <w:p>
            <w:r>
              <w:t>Visualization and lightweight inspection</w:t>
            </w:r>
          </w:p>
        </w:tc>
      </w:tr>
      <w:tr w:rsidR="00FF30C5" w:rsidRPr="007B75F2" w14:paraId="39D159C3" w14:textId="77777777">
        <w:trPr>
          <w:cantSplit/>
        </w:trPr>
        <w:tc>
          <w:tcPr>
            <w:tcW w:w="2484" w:type="dxa"/>
          </w:tcPr>
          <w:p>
            <w:r>
              <w:t>Pocket/gateway records</w:t>
            </w:r>
          </w:p>
        </w:tc>
        <w:tc>
          <w:tcPr>
            <w:tcW w:w="2484" w:type="dxa"/>
          </w:tcPr>
          <w:p>
            <w:r>
              <w:t>JSON/NPZ and CSV</w:t>
            </w:r>
          </w:p>
        </w:tc>
        <w:tc>
          <w:tcPr>
            <w:tcW w:w="2484" w:type="dxa"/>
          </w:tcPr>
          <w:p>
            <w:r>
              <w:t>Per-system schema version</w:t>
            </w:r>
          </w:p>
        </w:tc>
        <w:tc>
          <w:tcPr>
            <w:tcW w:w="2484" w:type="dxa"/>
          </w:tcPr>
          <w:p>
            <w:r>
              <w:t>Current derived annotations</w:t>
            </w:r>
          </w:p>
        </w:tc>
      </w:tr>
      <w:tr w:rsidR="00FF30C5" w:rsidRPr="007B75F2" w14:paraId="470249C5" w14:textId="77777777">
        <w:trPr>
          <w:cantSplit/>
        </w:trPr>
        <w:tc>
          <w:tcPr>
            <w:tcW w:w="2484" w:type="dxa"/>
          </w:tcPr>
          <w:p>
            <w:r>
              <w:t>Readiness/QC summary</w:t>
            </w:r>
          </w:p>
        </w:tc>
        <w:tc>
          <w:tcPr>
            <w:tcW w:w="2484" w:type="dxa"/>
          </w:tcPr>
          <w:p>
            <w:r>
              <w:t>CSV</w:t>
            </w:r>
          </w:p>
        </w:tc>
        <w:tc>
          <w:tcPr>
            <w:tcW w:w="2484" w:type="dxa"/>
          </w:tcPr>
          <w:p>
            <w:r>
              <w:t>Evidence pointers</w:t>
            </w:r>
          </w:p>
        </w:tc>
        <w:tc>
          <w:tcPr>
            <w:tcW w:w="2484" w:type="dxa"/>
          </w:tcPr>
          <w:p>
            <w:r>
              <w:t>Release evidence summary, not full per-file QC</w:t>
            </w:r>
          </w:p>
        </w:tc>
      </w:tr>
    </w:tbl>
    <w:p w14:paraId="3DD4E887" w14:textId="77777777" w:rsidR="00FF30C5" w:rsidRPr="007B75F2" w:rsidRDefault="00DE5A73" w:rsidP="007B75F2">
      <w:pPr>
        <w:keepNext/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Supplementary Table S3 distinguishes the molecular-record roles relevant to the current server and future deposition. The current Supplementary Data package contains aggregate source evidence and derived CSV records; frozen per-file format metadata, pairings, checksums and recommended-reader details remain pending archive-manifest freeze.</w:t>
      </w:r>
    </w:p>
    <w:p w14:paraId="698D6A31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2BE95457" w14:textId="7937B7A7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Table S4. API and versioning contract</w:t>
      </w:r>
    </w:p>
    <w:p w14:paraId="31556A85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The current OpenAPI schema describes the final-207 API access layer. Supplementary Data S9 reports ten current portal/API record types using explicit file/content availability semantics, including valid zero-pocket JSON records. These counts describe the current server and do not demonstrate a deposited archive or frozen file manifest.</w:t>
      </w:r>
    </w:p>
    <w:p w14:paraId="2444461A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41E000F2" w14:textId="77777777" w:rsidR="00DE5A73" w:rsidRPr="0036634C" w:rsidRDefault="00DE5A73" w:rsidP="00DE5A73">
      <w:pPr>
        <w:spacing w:after="80" w:line="360" w:lineRule="auto"/>
        <w:jc w:val="both"/>
        <w:rPr>
          <w:rFonts w:ascii="Times New Roman" w:hAnsi="Times New Roman"/>
          <w:sz w:val="21"/>
          <w:szCs w:val="21"/>
        </w:rPr>
      </w:pPr>
    </w:p>
    <w:p w14:paraId="49910B18" w14:textId="77777777" w:rsidR="00DE5A73" w:rsidRPr="0036634C" w:rsidRDefault="00DE5A73" w:rsidP="00DE5A73">
      <w:pPr>
        <w:keepNext/>
        <w:spacing w:after="80" w:line="360" w:lineRule="auto"/>
        <w:jc w:val="both"/>
        <w:rPr>
          <w:rFonts w:ascii="Times New Roman" w:hAnsi="Times New Roman"/>
          <w:sz w:val="21"/>
          <w:szCs w:val="21"/>
        </w:rPr>
      </w:pPr>
      <w:r w:rsidRPr="0036634C">
        <w:rPr>
          <w:rFonts w:ascii="Times New Roman" w:hAnsi="Times New Roman"/>
          <w:sz w:val="21"/>
          <w:szCs w:val="21"/>
        </w:rPr>
        <w:t>Supplementary Figure S1 | Receptor representation across G-protein families. Circular dendrogram of 174 receptor names clustered by Jaccard distance and</w:t>
      </w:r>
      <w:r>
        <w:rPr>
          <w:rFonts w:ascii="Times New Roman" w:hAnsi="Times New Roman"/>
          <w:sz w:val="21"/>
          <w:szCs w:val="21"/>
        </w:rPr>
        <w:t xml:space="preserve"> </w:t>
      </w:r>
      <w:r w:rsidRPr="0036634C">
        <w:rPr>
          <w:rFonts w:ascii="Times New Roman" w:hAnsi="Times New Roman"/>
          <w:sz w:val="21"/>
          <w:szCs w:val="21"/>
        </w:rPr>
        <w:t xml:space="preserve">average linkage using binary family-presence profiles. Leaves are labeled by representative PDB identifiers and colored by G-protein family; gray denotes receptors represented with multiple families. The asterisk identifies Gs_8HTI, which lacks a mapped </w:t>
      </w:r>
      <w:proofErr w:type="spellStart"/>
      <w:r w:rsidRPr="0036634C">
        <w:rPr>
          <w:rFonts w:ascii="Times New Roman" w:hAnsi="Times New Roman"/>
          <w:sz w:val="21"/>
          <w:szCs w:val="21"/>
        </w:rPr>
        <w:t>UniProt</w:t>
      </w:r>
      <w:proofErr w:type="spellEnd"/>
      <w:r w:rsidRPr="0036634C">
        <w:rPr>
          <w:rFonts w:ascii="Times New Roman" w:hAnsi="Times New Roman"/>
          <w:sz w:val="21"/>
          <w:szCs w:val="21"/>
        </w:rPr>
        <w:t xml:space="preserve"> accession. Branch proximity reflects release</w:t>
      </w:r>
      <w:r>
        <w:rPr>
          <w:rFonts w:ascii="Times New Roman" w:hAnsi="Times New Roman"/>
          <w:sz w:val="21"/>
          <w:szCs w:val="21"/>
        </w:rPr>
        <w:t xml:space="preserve"> </w:t>
      </w:r>
      <w:r w:rsidRPr="0036634C">
        <w:rPr>
          <w:rFonts w:ascii="Times New Roman" w:hAnsi="Times New Roman"/>
          <w:sz w:val="21"/>
          <w:szCs w:val="21"/>
        </w:rPr>
        <w:t>coverage only, not sequence or structural similarity.</w:t>
      </w:r>
    </w:p>
    <w:p w14:paraId="5C6386FC" w14:textId="77777777" w:rsidR="00DE5A73" w:rsidRPr="0036634C" w:rsidRDefault="00DE5A73" w:rsidP="00DE5A73">
      <w:pPr>
        <w:spacing w:after="80" w:line="360" w:lineRule="auto"/>
        <w:jc w:val="both"/>
        <w:rPr>
          <w:rFonts w:ascii="Times New Roman" w:hAnsi="Times New Roman"/>
          <w:sz w:val="21"/>
          <w:szCs w:val="21"/>
        </w:rPr>
      </w:pPr>
    </w:p>
    <w:p w14:paraId="713E67A2" w14:textId="77777777" w:rsidR="00DE5A73" w:rsidRPr="0036634C" w:rsidRDefault="00DE5A73" w:rsidP="00DE5A73">
      <w:pPr>
        <w:keepNext/>
        <w:spacing w:after="80" w:line="360" w:lineRule="auto"/>
        <w:jc w:val="both"/>
        <w:rPr>
          <w:rFonts w:ascii="Times New Roman" w:hAnsi="Times New Roman"/>
          <w:sz w:val="21"/>
          <w:szCs w:val="21"/>
        </w:rPr>
      </w:pPr>
      <w:r>
        <w:t>Supplementary Figure S2 | Definition and aggregation of transmembrane-gateway records. (A) Seven gateways formed by adjacent TM-helix pairs and the associated record-identity requirements. (B) A lipid heavy atom is classified as wedged when it lies within 5.0 Å of both helices and inside the central TM z-band; a frame is open when the maximum inward penetration, pmax, is at least 0.5 Å. (C) Frame-level measurements are summarized per replica and combined across three replicas to produce penetration, penetration-P90, open-fraction and occupancy records with stored 95% intervals.</w:t>
      </w:r>
    </w:p>
    <w:p w14:paraId="5EF5FE5F" w14:textId="77777777" w:rsidR="005970B5" w:rsidRDefault="005970B5" w:rsidP="007B75F2">
      <w:pPr>
        <w:spacing w:after="80" w:line="360" w:lineRule="auto"/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267B1EE5" w14:textId="77777777" w:rsidR="005970B5" w:rsidRDefault="005970B5" w:rsidP="007B75F2">
      <w:pPr>
        <w:spacing w:after="80" w:line="360" w:lineRule="auto"/>
        <w:ind w:firstLineChars="200" w:firstLine="48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4160899B" w14:textId="1E2C59BB" w:rsidR="00FF30C5" w:rsidRPr="007B75F2" w:rsidRDefault="00DE5A73" w:rsidP="007B75F2">
      <w:pPr>
        <w:keepNext/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Supplementary Data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F30C5" w:rsidRPr="007B75F2" w14:paraId="59C962D6" w14:textId="77777777">
        <w:trPr>
          <w:cantSplit/>
          <w:tblHeader w:val="true"/>
        </w:trPr>
        <w:tc>
          <w:tcPr>
            <w:tcW w:w="3312" w:type="dxa"/>
          </w:tcPr>
          <w:p>
            <w:r>
              <w:t>File</w:t>
            </w:r>
          </w:p>
        </w:tc>
        <w:tc>
          <w:tcPr>
            <w:tcW w:w="3312" w:type="dxa"/>
          </w:tcPr>
          <w:p>
            <w:r>
              <w:t>Content</w:t>
            </w:r>
          </w:p>
        </w:tc>
        <w:tc>
          <w:tcPr>
            <w:tcW w:w="3312" w:type="dxa"/>
          </w:tcPr>
          <w:p>
            <w:r>
              <w:t>Granularity</w:t>
            </w:r>
          </w:p>
        </w:tc>
      </w:tr>
      <w:tr w:rsidR="00FF30C5" w:rsidRPr="007B75F2" w14:paraId="059FBD36" w14:textId="77777777">
        <w:trPr>
          <w:cantSplit/>
        </w:trPr>
        <w:tc>
          <w:tcPr>
            <w:tcW w:w="3312" w:type="dxa"/>
          </w:tcPr>
          <w:p>
            <w:r>
              <w:t>S1</w:t>
            </w:r>
          </w:p>
        </w:tc>
        <w:tc>
          <w:tcPr>
            <w:tcW w:w="3312" w:type="dxa"/>
          </w:tcPr>
          <w:p>
            <w:r>
              <w:t>Included-system inventory; ligand fields populated only from authoritative metadata</w:t>
            </w:r>
          </w:p>
        </w:tc>
        <w:tc>
          <w:tcPr>
            <w:tcW w:w="3312" w:type="dxa"/>
          </w:tcPr>
          <w:p>
            <w:r>
              <w:t>207 systems</w:t>
            </w:r>
          </w:p>
        </w:tc>
      </w:tr>
      <w:tr w:rsidR="00FF30C5" w:rsidRPr="007B75F2" w14:paraId="6BD8545D" w14:textId="77777777">
        <w:trPr>
          <w:cantSplit/>
        </w:trPr>
        <w:tc>
          <w:tcPr>
            <w:tcW w:w="3312" w:type="dxa"/>
          </w:tcPr>
          <w:p>
            <w:r>
              <w:t>S2</w:t>
            </w:r>
          </w:p>
        </w:tc>
        <w:tc>
          <w:tcPr>
            <w:tcW w:w="3312" w:type="dxa"/>
          </w:tcPr>
          <w:p>
            <w:r>
              <w:t>Combined release-boundary table: 13 unresolved and two excluded records</w:t>
            </w:r>
          </w:p>
        </w:tc>
        <w:tc>
          <w:tcPr>
            <w:tcW w:w="3312" w:type="dxa"/>
          </w:tcPr>
          <w:p>
            <w:r>
              <w:t>15 records</w:t>
            </w:r>
          </w:p>
        </w:tc>
      </w:tr>
      <w:tr w:rsidR="00FF30C5" w:rsidRPr="007B75F2" w14:paraId="3FC1D88B" w14:textId="77777777">
        <w:trPr>
          <w:cantSplit/>
        </w:trPr>
        <w:tc>
          <w:tcPr>
            <w:tcW w:w="3312" w:type="dxa"/>
          </w:tcPr>
          <w:p>
            <w:r>
              <w:t>S3</w:t>
            </w:r>
          </w:p>
        </w:tc>
        <w:tc>
          <w:tcPr>
            <w:tcW w:w="3312" w:type="dxa"/>
          </w:tcPr>
          <w:p>
            <w:r>
              <w:t>Dictionary for every field actually serialized in S1-S10</w:t>
            </w:r>
          </w:p>
        </w:tc>
        <w:tc>
          <w:tcPr>
            <w:tcW w:w="3312" w:type="dxa"/>
          </w:tcPr>
          <w:p>
            <w:r>
              <w:t>105 unique fields</w:t>
            </w:r>
          </w:p>
        </w:tc>
      </w:tr>
      <w:tr w:rsidR="00FF30C5" w:rsidRPr="007B75F2" w14:paraId="0C01ADA9" w14:textId="77777777">
        <w:trPr>
          <w:cantSplit/>
        </w:trPr>
        <w:tc>
          <w:tcPr>
            <w:tcW w:w="3312" w:type="dxa"/>
          </w:tcPr>
          <w:p>
            <w:r>
              <w:t>S4</w:t>
            </w:r>
          </w:p>
        </w:tc>
        <w:tc>
          <w:tcPr>
            <w:tcW w:w="3312" w:type="dxa"/>
          </w:tcPr>
          <w:p>
            <w:r>
              <w:t>Production/topology source-inventory evidence; not an archive manifest</w:t>
            </w:r>
          </w:p>
        </w:tc>
        <w:tc>
          <w:tcPr>
            <w:tcW w:w="3312" w:type="dxa"/>
          </w:tcPr>
          <w:p>
            <w:r>
              <w:t>414 rows; two per final system</w:t>
            </w:r>
          </w:p>
        </w:tc>
      </w:tr>
      <w:tr w:rsidR="00FF30C5" w:rsidRPr="007B75F2" w14:paraId="2FE1E0C3" w14:textId="77777777">
        <w:trPr>
          <w:cantSplit/>
        </w:trPr>
        <w:tc>
          <w:tcPr>
            <w:tcW w:w="3312" w:type="dxa"/>
          </w:tcPr>
          <w:p>
            <w:r>
              <w:t>S5</w:t>
            </w:r>
          </w:p>
        </w:tc>
        <w:tc>
          <w:tcPr>
            <w:tcW w:w="3312" w:type="dxa"/>
          </w:tcPr>
          <w:p>
            <w:r>
              <w:t>Pocket summaries with GPCRdb mappings and explicit valid zero-pocket records</w:t>
            </w:r>
          </w:p>
        </w:tc>
        <w:tc>
          <w:tcPr>
            <w:tcW w:w="3312" w:type="dxa"/>
          </w:tcPr>
          <w:p>
            <w:r>
              <w:t>2,149 pocket rows + 2 zero-pocket rows</w:t>
            </w:r>
          </w:p>
        </w:tc>
      </w:tr>
      <w:tr w:rsidR="00FF30C5" w:rsidRPr="007B75F2" w14:paraId="2CB3A766" w14:textId="77777777">
        <w:trPr>
          <w:cantSplit/>
        </w:trPr>
        <w:tc>
          <w:tcPr>
            <w:tcW w:w="3312" w:type="dxa"/>
          </w:tcPr>
          <w:p>
            <w:r>
              <w:t>S6</w:t>
            </w:r>
          </w:p>
        </w:tc>
        <w:tc>
          <w:tcPr>
            <w:tcW w:w="3312" w:type="dxa"/>
          </w:tcPr>
          <w:p>
            <w:r>
              <w:t>Tidy gateway means, intervals and three replica values for four metrics</w:t>
            </w:r>
          </w:p>
        </w:tc>
        <w:tc>
          <w:tcPr>
            <w:tcW w:w="3312" w:type="dxa"/>
          </w:tcPr>
          <w:p>
            <w:r>
              <w:t>5,796 system/interface/metric rows</w:t>
            </w:r>
          </w:p>
        </w:tc>
      </w:tr>
      <w:tr w:rsidR="00FF30C5" w:rsidRPr="007B75F2" w14:paraId="288E544D" w14:textId="77777777">
        <w:trPr>
          <w:cantSplit/>
        </w:trPr>
        <w:tc>
          <w:tcPr>
            <w:tcW w:w="3312" w:type="dxa"/>
          </w:tcPr>
          <w:p>
            <w:r>
              <w:t>S7</w:t>
            </w:r>
          </w:p>
        </w:tc>
        <w:tc>
          <w:tcPr>
            <w:tcW w:w="3312" w:type="dxa"/>
          </w:tcPr>
          <w:p>
            <w:r>
              <w:t>Selected-replica release ledger; not frozen file-level QC</w:t>
            </w:r>
          </w:p>
        </w:tc>
        <w:tc>
          <w:tcPr>
            <w:tcW w:w="3312" w:type="dxa"/>
          </w:tcPr>
          <w:p>
            <w:r>
              <w:t>621 system/replica rows</w:t>
            </w:r>
          </w:p>
        </w:tc>
      </w:tr>
      <w:tr w:rsidR="00FF30C5" w:rsidRPr="007B75F2" w14:paraId="4930BB8C" w14:textId="77777777">
        <w:trPr>
          <w:cantSplit/>
        </w:trPr>
        <w:tc>
          <w:tcPr>
            <w:tcW w:w="3312" w:type="dxa"/>
          </w:tcPr>
          <w:p>
            <w:r>
              <w:t>S8</w:t>
            </w:r>
          </w:p>
        </w:tc>
        <w:tc>
          <w:tcPr>
            <w:tcW w:w="3312" w:type="dxa"/>
          </w:tcPr>
          <w:p>
            <w:r>
              <w:t>Final-cohort readiness/QC summary with evidence pointers</w:t>
            </w:r>
          </w:p>
        </w:tc>
        <w:tc>
          <w:tcPr>
            <w:tcW w:w="3312" w:type="dxa"/>
          </w:tcPr>
          <w:p>
            <w:r>
              <w:t>207 systems</w:t>
            </w:r>
          </w:p>
        </w:tc>
      </w:tr>
      <w:tr w:rsidR="00FF30C5" w:rsidRPr="007B75F2" w14:paraId="1D479C2F" w14:textId="77777777">
        <w:trPr>
          <w:cantSplit/>
        </w:trPr>
        <w:tc>
          <w:tcPr>
            <w:tcW w:w="3312" w:type="dxa"/>
          </w:tcPr>
          <w:p>
            <w:r>
              <w:t>S9</w:t>
            </w:r>
          </w:p>
        </w:tc>
        <w:tc>
          <w:tcPr>
            <w:tcW w:w="3312" w:type="dxa"/>
          </w:tcPr>
          <w:p>
            <w:r>
              <w:t>Current portal/API file and content availability; not archive coverage</w:t>
            </w:r>
          </w:p>
        </w:tc>
        <w:tc>
          <w:tcPr>
            <w:tcW w:w="3312" w:type="dxa"/>
          </w:tcPr>
          <w:p>
            <w:r>
              <w:t>10 record types</w:t>
            </w:r>
          </w:p>
        </w:tc>
      </w:tr>
      <w:tr w:rsidR="00FF30C5" w:rsidRPr="007B75F2" w14:paraId="35C468F7" w14:textId="77777777">
        <w:trPr>
          <w:cantSplit/>
        </w:trPr>
        <w:tc>
          <w:tcPr>
            <w:tcW w:w="3312" w:type="dxa"/>
          </w:tcPr>
          <w:p>
            <w:r>
              <w:t>S10</w:t>
            </w:r>
          </w:p>
        </w:tc>
        <w:tc>
          <w:tcPr>
            <w:tcW w:w="3312" w:type="dxa"/>
          </w:tcPr>
          <w:p>
            <w:r>
              <w:t>Current code files, environment files and package-build dependencies</w:t>
            </w:r>
          </w:p>
        </w:tc>
        <w:tc>
          <w:tcPr>
            <w:tcW w:w="3312" w:type="dxa"/>
          </w:tcPr>
          <w:p>
            <w:r>
              <w:t>24 inventory items</w:t>
            </w:r>
          </w:p>
        </w:tc>
      </w:tr>
    </w:tbl>
    <w:p w14:paraId="1970669A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4AFB8CFE" w14:textId="5BF67842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reuse cautions</w:t>
      </w:r>
    </w:p>
    <w:p w14:paraId="2F5CCE22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Split machine-learning datasets by receptor accession, not by replica, to avoid data leakage.</w:t>
      </w:r>
    </w:p>
    <w:p w14:paraId="165CAA5F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Treat protocol_id, GPCR class, ligand context, construct type and source PDB as potential confounders.</w:t>
      </w:r>
    </w:p>
    <w:p w14:paraId="7C00C4F1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 xml:space="preserve">Do not infer </w:t>
      </w:r>
      <w:r w:rsidRPr="007B75F2">
        <w:rPr>
          <w:rFonts w:ascii="Times New Roman" w:hAnsi="Times New Roman"/>
          <w:sz w:val="24"/>
          <w:szCs w:val="24"/>
        </w:rPr>
        <w:t>physiological coupling prevalence from this structurally determined cohort.</w:t>
      </w:r>
    </w:p>
    <w:p w14:paraId="449047DD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Do not use reduced records for lipid, ion, solvent or fast-kinetics analyses.</w:t>
      </w:r>
    </w:p>
    <w:p w14:paraId="6E21BBEE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 w:rsidRPr="007B75F2">
        <w:rPr>
          <w:rFonts w:ascii="Times New Roman" w:hAnsi="Times New Roman"/>
          <w:sz w:val="24"/>
          <w:szCs w:val="24"/>
        </w:rPr>
        <w:t>occupancy is a count of wedged lipid atoms, not a distance; do not label it as Å.</w:t>
      </w:r>
    </w:p>
    <w:p w14:paraId="1F3380B7" w14:textId="77777777" w:rsidR="00FF30C5" w:rsidRPr="007B75F2" w:rsidRDefault="00DE5A73" w:rsidP="007B75F2">
      <w:pPr>
        <w:spacing w:after="80" w:line="360" w:lineRule="auto"/>
        <w:ind w:firstLineChars="200" w:firstLine="480"/>
        <w:jc w:val="both"/>
        <w:rPr>
          <w:rFonts w:ascii="Times New Roman" w:hAnsi="Times New Roman"/>
          <w:sz w:val="24"/>
          <w:szCs w:val="24"/>
        </w:rPr>
      </w:pPr>
      <w:r>
        <w:t>Cite the Scientific Data article and identify the CoupledMD server access date. Once a DOI-linked immutable archive is deposited, also cite its exact DOI and version.</w:t>
      </w:r>
    </w:p>
    <w:p w14:paraId="1EEDE7FC" w14:textId="77777777" w:rsidR="005970B5" w:rsidRDefault="005970B5" w:rsidP="005970B5">
      <w:pPr>
        <w:spacing w:after="80" w:line="36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5DDABA6" w14:textId="02735E1B" w:rsidR="00FF30C5" w:rsidRPr="005970B5" w:rsidRDefault="00DE5A73" w:rsidP="005970B5">
      <w:pPr>
        <w:keepNext/>
        <w:spacing w:after="8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970B5">
        <w:rPr>
          <w:rFonts w:ascii="Times New Roman" w:hAnsi="Times New Roman"/>
          <w:b/>
          <w:bCs/>
          <w:sz w:val="24"/>
          <w:szCs w:val="24"/>
        </w:rPr>
        <w:t>Supplementary Data Availability</w:t>
      </w:r>
    </w:p>
    <w:p w14:paraId="740EB780" w14:textId="77777777" w:rsidR="00FF30C5" w:rsidRDefault="00DE5A73" w:rsidP="007B75F2">
      <w:pPr>
        <w:spacing w:after="80" w:line="360" w:lineRule="auto"/>
        <w:ind w:firstLineChars="200" w:firstLine="480"/>
        <w:jc w:val="both"/>
      </w:pPr>
      <w:r>
        <w:t>Current final-207 records are available at https://www.coupledmd.cn (API documentation: /api/docs). The frozen manifest, checksums and DOI-linked archive remain pending deposition; no archive-completeness, licensing or direct-download claim is made.</w:t>
      </w:r>
    </w:p>
    <w:sectPr w:rsidR="00FF30C5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941"/>
    <w:rsid w:val="0029639D"/>
    <w:rsid w:val="00326F90"/>
    <w:rsid w:val="0036695B"/>
    <w:rsid w:val="003D43E7"/>
    <w:rsid w:val="00574F03"/>
    <w:rsid w:val="005970B5"/>
    <w:rsid w:val="007A4372"/>
    <w:rsid w:val="007B75F2"/>
    <w:rsid w:val="00AA1D8D"/>
    <w:rsid w:val="00B47730"/>
    <w:rsid w:val="00BB1722"/>
    <w:rsid w:val="00CB0664"/>
    <w:rsid w:val="00D72931"/>
    <w:rsid w:val="00DE5A73"/>
    <w:rsid w:val="00F634AE"/>
    <w:rsid w:val="00FC693F"/>
    <w:rsid w:val="00FE1376"/>
    <w:rsid w:val="00F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105FC"/>
  <w14:defaultImageDpi w14:val="300"/>
  <w15:docId w15:val="{DAFC6A2B-37D2-4DD4-B847-9299A3FC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jianxiang huang</cp:lastModifiedBy>
  <cp:revision>12</cp:revision>
  <dcterms:created xsi:type="dcterms:W3CDTF">2013-12-23T23:15:00Z</dcterms:created>
  <dcterms:modified xsi:type="dcterms:W3CDTF">2026-07-17T10:45:15Z</dcterms:modified>
  <cp:category/>
</cp:coreProperties>
</file>