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F62DA">
      <w:pPr>
        <w:spacing w:after="160" w:line="360" w:lineRule="auto"/>
        <w:jc w:val="both"/>
      </w:pPr>
      <w:r>
        <w:rPr>
          <w:b/>
          <w:sz w:val="32"/>
        </w:rPr>
        <w:t>CoupledMD: a molecular dynamics dataset of GPCR/G-protein complexes</w:t>
      </w:r>
    </w:p>
    <w:p w14:paraId="4AACAB47">
      <w:pPr>
        <w:spacing w:line="360" w:lineRule="auto"/>
        <w:jc w:val="center"/>
        <w:rPr>
          <w:rFonts w:cs="Times New Roman"/>
          <w:sz w:val="24"/>
          <w:szCs w:val="24"/>
          <w:vertAlign w:val="superscript"/>
        </w:rPr>
      </w:pPr>
      <w:r>
        <w:rPr>
          <w:rFonts w:eastAsia="Times New Roman" w:cs="Times New Roman"/>
          <w:sz w:val="24"/>
          <w:szCs w:val="24"/>
        </w:rPr>
        <w:t>Jianxiang Huang</w:t>
      </w:r>
      <w:r>
        <w:rPr>
          <w:rFonts w:cs="Times New Roman"/>
          <w:sz w:val="24"/>
          <w:szCs w:val="24"/>
          <w:vertAlign w:val="superscript"/>
        </w:rPr>
        <w:t>1,2,3</w:t>
      </w:r>
      <w:r>
        <w:rPr>
          <w:rFonts w:eastAsia="Times New Roman" w:cs="Times New Roman"/>
          <w:sz w:val="24"/>
          <w:szCs w:val="24"/>
        </w:rPr>
        <w:t xml:space="preserve">, </w:t>
      </w:r>
      <w:r>
        <w:rPr>
          <w:rFonts w:cs="Times New Roman"/>
          <w:sz w:val="24"/>
          <w:szCs w:val="24"/>
        </w:rPr>
        <w:t>Xin Qiao</w:t>
      </w:r>
      <w:r>
        <w:rPr>
          <w:rFonts w:cs="Times New Roman"/>
          <w:sz w:val="24"/>
          <w:szCs w:val="24"/>
          <w:vertAlign w:val="superscript"/>
        </w:rPr>
        <w:t>3</w:t>
      </w:r>
      <w:r>
        <w:rPr>
          <w:rFonts w:cs="Times New Roman"/>
          <w:sz w:val="24"/>
          <w:szCs w:val="24"/>
        </w:rPr>
        <w:t xml:space="preserve">, </w:t>
      </w:r>
      <w:r>
        <w:rPr>
          <w:rFonts w:eastAsia="Times New Roman" w:cs="Times New Roman"/>
          <w:sz w:val="24"/>
          <w:szCs w:val="24"/>
        </w:rPr>
        <w:t>Shaoyong Lu</w:t>
      </w:r>
      <w:r>
        <w:rPr>
          <w:rFonts w:cs="Times New Roman"/>
          <w:sz w:val="24"/>
          <w:szCs w:val="24"/>
          <w:vertAlign w:val="superscript"/>
        </w:rPr>
        <w:t>1,2,3,*</w:t>
      </w:r>
    </w:p>
    <w:p w14:paraId="5D339F8E">
      <w:pPr>
        <w:spacing w:line="360" w:lineRule="auto"/>
        <w:jc w:val="both"/>
        <w:rPr>
          <w:rFonts w:cs="Times New Roman"/>
          <w:sz w:val="24"/>
          <w:szCs w:val="24"/>
        </w:rPr>
      </w:pPr>
    </w:p>
    <w:p w14:paraId="207CDF7B">
      <w:pPr>
        <w:kinsoku w:val="0"/>
        <w:overflowPunct w:val="0"/>
        <w:autoSpaceDE w:val="0"/>
        <w:autoSpaceDN w:val="0"/>
        <w:adjustRightInd w:val="0"/>
        <w:spacing w:line="360" w:lineRule="auto"/>
        <w:jc w:val="both"/>
        <w:rPr>
          <w:rFonts w:cs="Times New Roman"/>
          <w:sz w:val="24"/>
          <w:szCs w:val="24"/>
        </w:rPr>
      </w:pPr>
      <w:r>
        <w:rPr>
          <w:rFonts w:cs="Times New Roman"/>
          <w:sz w:val="24"/>
          <w:szCs w:val="24"/>
          <w:vertAlign w:val="superscript"/>
        </w:rPr>
        <w:t>1</w:t>
      </w:r>
      <w:r>
        <w:rPr>
          <w:rFonts w:eastAsia="Times New Roman" w:cs="Times New Roman"/>
          <w:sz w:val="24"/>
          <w:szCs w:val="24"/>
        </w:rPr>
        <w:t>Artificial Intelligence Clinical Research Center for Drug Discovery,</w:t>
      </w:r>
      <w:r>
        <w:rPr>
          <w:rFonts w:cs="Times New Roman"/>
          <w:sz w:val="24"/>
          <w:szCs w:val="24"/>
        </w:rPr>
        <w:t xml:space="preserve"> </w:t>
      </w:r>
      <w:r>
        <w:rPr>
          <w:rFonts w:eastAsia="Times New Roman" w:cs="Times New Roman"/>
          <w:sz w:val="24"/>
          <w:szCs w:val="24"/>
        </w:rPr>
        <w:t>Shanghai Key Laboratory of Flexible Medical Robotics, Institute of Medical Robotics, Tongren Hospital, Shanghai Jiao Tong University School of Medicine, Shanghai 200336, China</w:t>
      </w:r>
    </w:p>
    <w:p w14:paraId="719643CD">
      <w:pPr>
        <w:spacing w:line="360" w:lineRule="auto"/>
        <w:jc w:val="both"/>
        <w:rPr>
          <w:rFonts w:eastAsia="宋体" w:cs="Times New Roman"/>
          <w:sz w:val="24"/>
          <w:szCs w:val="24"/>
          <w:lang w:eastAsia="zh-CN"/>
        </w:rPr>
      </w:pPr>
      <w:r>
        <w:rPr>
          <w:rFonts w:cs="Times New Roman"/>
          <w:sz w:val="24"/>
          <w:szCs w:val="24"/>
          <w:vertAlign w:val="superscript"/>
        </w:rPr>
        <w:t>2</w:t>
      </w:r>
      <w:r>
        <w:rPr>
          <w:rFonts w:eastAsia="Times New Roman" w:cs="Times New Roman"/>
          <w:sz w:val="24"/>
          <w:szCs w:val="24"/>
        </w:rPr>
        <w:t>Key Laboratory of Protection, Development and Utilization of Medicinal Resources in Liupanshan Area, Ministry of Education, Peptide &amp; Protein Drug Research Center, School of Pharmacy, Ningxia Medical University, Yinchuan 750004, China</w:t>
      </w:r>
    </w:p>
    <w:p w14:paraId="05D52BA5">
      <w:pPr>
        <w:spacing w:line="360" w:lineRule="auto"/>
        <w:jc w:val="both"/>
        <w:rPr>
          <w:rFonts w:eastAsia="宋体" w:cs="Times New Roman"/>
          <w:lang w:eastAsia="zh-CN"/>
        </w:rPr>
      </w:pPr>
    </w:p>
    <w:p w14:paraId="4A78D1A8">
      <w:pPr>
        <w:spacing w:line="360" w:lineRule="auto"/>
        <w:rPr>
          <w:rFonts w:eastAsia="等线" w:cs="Times New Roman"/>
          <w:bCs/>
          <w:sz w:val="24"/>
        </w:rPr>
      </w:pPr>
      <w:r>
        <w:rPr>
          <w:rFonts w:eastAsia="等线" w:cs="Times New Roman"/>
          <w:bCs/>
          <w:sz w:val="24"/>
          <w:vertAlign w:val="superscript"/>
        </w:rPr>
        <w:t>*</w:t>
      </w:r>
      <w:r>
        <w:rPr>
          <w:rFonts w:eastAsia="等线" w:cs="Times New Roman"/>
          <w:bCs/>
          <w:sz w:val="24"/>
        </w:rPr>
        <w:t>To whom correspondence should be addressed</w:t>
      </w:r>
    </w:p>
    <w:p w14:paraId="18100734">
      <w:pPr>
        <w:spacing w:line="360" w:lineRule="auto"/>
        <w:rPr>
          <w:rFonts w:eastAsia="Times New Roman" w:cs="Times New Roman"/>
          <w:sz w:val="24"/>
          <w:szCs w:val="24"/>
        </w:rPr>
      </w:pPr>
      <w:r>
        <w:rPr>
          <w:rFonts w:eastAsia="Times New Roman" w:cs="Times New Roman"/>
          <w:sz w:val="24"/>
          <w:szCs w:val="24"/>
        </w:rPr>
        <w:t>Dr. Shaoyong Lu</w:t>
      </w:r>
      <w:r>
        <w:rPr>
          <w:rFonts w:cs="Times New Roman"/>
          <w:sz w:val="24"/>
          <w:szCs w:val="24"/>
        </w:rPr>
        <w:t>;</w:t>
      </w:r>
      <w:r>
        <w:rPr>
          <w:rFonts w:eastAsia="Times New Roman" w:cs="Times New Roman"/>
          <w:sz w:val="24"/>
          <w:szCs w:val="24"/>
        </w:rPr>
        <w:t xml:space="preserve"> </w:t>
      </w:r>
      <w:r>
        <w:rPr>
          <w:rFonts w:cs="Times New Roman"/>
          <w:sz w:val="24"/>
          <w:szCs w:val="24"/>
        </w:rPr>
        <w:t xml:space="preserve">E-mail: </w:t>
      </w:r>
      <w:r>
        <w:rPr>
          <w:rFonts w:eastAsia="Times New Roman" w:cs="Times New Roman"/>
          <w:sz w:val="24"/>
          <w:szCs w:val="24"/>
        </w:rPr>
        <w:t>lushaoyong@sjtu.edu.cn</w:t>
      </w:r>
    </w:p>
    <w:p w14:paraId="1214FE9F">
      <w:pPr>
        <w:spacing w:line="360" w:lineRule="auto"/>
        <w:jc w:val="both"/>
        <w:rPr>
          <w:rFonts w:eastAsia="宋体" w:cs="Times New Roman"/>
          <w:sz w:val="22"/>
          <w:lang w:eastAsia="zh-CN"/>
        </w:rPr>
      </w:pPr>
    </w:p>
    <w:p w14:paraId="6A80260A">
      <w:pPr>
        <w:spacing w:line="360" w:lineRule="auto"/>
        <w:jc w:val="both"/>
        <w:rPr>
          <w:rFonts w:eastAsia="宋体" w:cs="Times New Roman"/>
          <w:sz w:val="22"/>
          <w:lang w:eastAsia="zh-CN"/>
        </w:rPr>
      </w:pPr>
    </w:p>
    <w:p w14:paraId="2861BA29">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Abstract</w:t>
      </w:r>
    </w:p>
    <w:p w14:paraId="2FAD4CA0">
      <w:pPr>
        <w:spacing w:line="360" w:lineRule="auto"/>
        <w:ind w:firstLine="480" w:firstLineChars="200"/>
        <w:jc w:val="both"/>
        <w:rPr>
          <w:rFonts w:hint="eastAsia" w:eastAsia="宋体"/>
          <w:sz w:val="24"/>
          <w:szCs w:val="24"/>
          <w:lang w:eastAsia="zh-CN"/>
        </w:rPr>
      </w:pPr>
      <w:r>
        <w:rPr>
          <w:rFonts w:eastAsia="宋体"/>
          <w:sz w:val="24"/>
          <w:szCs w:val="24"/>
          <w:lang w:eastAsia="zh-CN"/>
        </w:rPr>
        <w:t>G protein-coupled receptors (GPCRs) couple to heterotrimeric G proteins to transduce extracellular signals and remain one of the most frequently targeted protein families in drug discovery. Reusable molecular dynamics (MD) records for active GPCR/G-protein complexes remain limited by heterogeneity in protocols, formats and access. We present CoupledMD clean-v1, a standardized MD dataset of 208 active-state GPCR/G-protein complex systems covering 174 unique receptors, two GPCR classes</w:t>
      </w:r>
      <w:r>
        <w:rPr>
          <w:rFonts w:hint="default" w:eastAsia="宋体"/>
          <w:sz w:val="24"/>
          <w:szCs w:val="24"/>
          <w:lang w:val="en-US" w:eastAsia="zh-CN"/>
        </w:rPr>
        <w:t xml:space="preserve"> (Class A and B</w:t>
      </w:r>
      <w:bookmarkStart w:id="0" w:name="_GoBack"/>
      <w:bookmarkEnd w:id="0"/>
      <w:r>
        <w:rPr>
          <w:rFonts w:hint="default" w:eastAsia="宋体"/>
          <w:sz w:val="24"/>
          <w:szCs w:val="24"/>
          <w:lang w:val="en-US" w:eastAsia="zh-CN"/>
        </w:rPr>
        <w:t>)</w:t>
      </w:r>
      <w:r>
        <w:rPr>
          <w:rFonts w:eastAsia="宋体"/>
          <w:sz w:val="24"/>
          <w:szCs w:val="24"/>
          <w:lang w:eastAsia="zh-CN"/>
        </w:rPr>
        <w:t xml:space="preserve"> and the four major G-protein families (Gi/o, Gs, Gq/11 and G12/13). Each system includes three independent 500 ns replicas in a POPC membrane environment, yielding 312.0 µs of aggregate sampling. The release provides trajectories, topology files, reduced visualizations, GPCRdb-compatible annotations, pocket records, quality-control summaries and reproducible figure generation scripts. Data are accessible through a stable archive, an interactive web portal and a versioned REST API. CoupledMD supports reuse, benchmarking, method development, annotation workflows and GPCR-targeted drug-design studies.</w:t>
      </w:r>
    </w:p>
    <w:p w14:paraId="34F2BE43">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Background &amp; Summary</w:t>
      </w:r>
    </w:p>
    <w:p w14:paraId="5F79D067">
      <w:pPr>
        <w:spacing w:line="360" w:lineRule="auto"/>
        <w:ind w:firstLine="480" w:firstLineChars="200"/>
        <w:jc w:val="both"/>
        <w:rPr>
          <w:sz w:val="24"/>
          <w:szCs w:val="24"/>
        </w:rPr>
      </w:pPr>
      <w:r>
        <w:rPr>
          <w:sz w:val="24"/>
          <w:szCs w:val="24"/>
        </w:rPr>
        <w:t>GPCRs translate extracellular signals into intracellular responses and remain one of the most productive protein families for therapeutic intervention</w:t>
      </w:r>
      <w:r>
        <w:rPr>
          <w:sz w:val="24"/>
          <w:szCs w:val="24"/>
        </w:rPr>
        <w:fldChar w:fldCharType="begin"/>
      </w:r>
      <w:r>
        <w:rPr>
          <w:sz w:val="24"/>
          <w:szCs w:val="24"/>
        </w:rPr>
        <w:instrText xml:space="preserve"> ADDIN EN.CITE &lt;EndNote&gt;&lt;Cite&gt;&lt;Author&gt;Hauser&lt;/Author&gt;&lt;Year&gt;2018&lt;/Year&gt;&lt;RecNum&gt;1978&lt;/RecNum&gt;&lt;DisplayText&gt;&lt;style face="superscript"&gt;1&lt;/style&gt;&lt;/DisplayText&gt;&lt;record&gt;&lt;rec-number&gt;1978&lt;/rec-number&gt;&lt;foreign-keys&gt;&lt;key app="EN" db-id="dftpt9a5ep2a0wev9prvz597dsf0vwptfxes" timestamp="1783428547"&gt;1978&lt;/key&gt;&lt;/foreign-keys&gt;&lt;ref-type name="Journal Article"&gt;17&lt;/ref-type&gt;&lt;contributors&gt;&lt;authors&gt;&lt;author&gt;Hauser, Alexander S.&lt;/author&gt;&lt;author&gt;Chavali, Sreenivas&lt;/author&gt;&lt;author&gt;Masuho, Ikuo&lt;/author&gt;&lt;author&gt;Jahn, Leonie J.&lt;/author&gt;&lt;author&gt;Martemyanov, Kirill A.&lt;/author&gt;&lt;author&gt;Gloriam, David E.&lt;/author&gt;&lt;author&gt;Babu, M. Madan&lt;/author&gt;&lt;/authors&gt;&lt;/contributors&gt;&lt;titles&gt;&lt;title&gt;Pharmacogenomics of GPCR Drug Targets&lt;/title&gt;&lt;secondary-title&gt;Cell&lt;/secondary-title&gt;&lt;/titles&gt;&lt;periodical&gt;&lt;full-title&gt;Cell&lt;/full-title&gt;&lt;abbr-1&gt;Cell&lt;/abbr-1&gt;&lt;abbr-2&gt;Cell&lt;/abbr-2&gt;&lt;/periodical&gt;&lt;pages&gt;41-54.e19&lt;/pages&gt;&lt;volume&gt;172&lt;/volume&gt;&lt;number&gt;1&lt;/number&gt;&lt;dates&gt;&lt;year&gt;2018&lt;/year&gt;&lt;/dates&gt;&lt;publisher&gt;Elsevier&lt;/publisher&gt;&lt;isbn&gt;0092-8674&lt;/isbn&gt;&lt;urls&gt;&lt;related-urls&gt;&lt;url&gt;https://doi.org/10.1016/j.cell.2017.11.033&lt;/url&gt;&lt;/related-urls&gt;&lt;/urls&gt;&lt;electronic-resource-num&gt;10.1016/j.cell.2017.11.033&lt;/electronic-resource-num&gt;&lt;access-date&gt;2026/07/07&lt;/access-date&gt;&lt;/record&gt;&lt;/Cite&gt;&lt;/EndNote&gt;</w:instrText>
      </w:r>
      <w:r>
        <w:rPr>
          <w:sz w:val="24"/>
          <w:szCs w:val="24"/>
        </w:rPr>
        <w:fldChar w:fldCharType="separate"/>
      </w:r>
      <w:r>
        <w:rPr>
          <w:sz w:val="24"/>
          <w:szCs w:val="24"/>
          <w:vertAlign w:val="superscript"/>
        </w:rPr>
        <w:t>1</w:t>
      </w:r>
      <w:r>
        <w:rPr>
          <w:sz w:val="24"/>
          <w:szCs w:val="24"/>
        </w:rPr>
        <w:fldChar w:fldCharType="end"/>
      </w:r>
      <w:r>
        <w:rPr>
          <w:sz w:val="24"/>
          <w:szCs w:val="24"/>
        </w:rPr>
        <w:t>. Active GPCRs couple to heterotrimeric G proteins from the Gi/o, Gs, Gq/11 and G12/13 families</w:t>
      </w:r>
      <w:r>
        <w:rPr>
          <w:sz w:val="24"/>
          <w:szCs w:val="24"/>
        </w:rPr>
        <w:fldChar w:fldCharType="begin"/>
      </w:r>
      <w:r>
        <w:rPr>
          <w:sz w:val="24"/>
          <w:szCs w:val="24"/>
        </w:rPr>
        <w:instrText xml:space="preserve"> ADDIN EN.CITE &lt;EndNote&gt;&lt;Cite&gt;&lt;Author&gt;Weis&lt;/Author&gt;&lt;Year&gt;2018&lt;/Year&gt;&lt;RecNum&gt;1980&lt;/RecNum&gt;&lt;DisplayText&gt;&lt;style face="superscript"&gt;2&lt;/style&gt;&lt;/DisplayText&gt;&lt;record&gt;&lt;rec-number&gt;1980&lt;/rec-number&gt;&lt;foreign-keys&gt;&lt;key app="EN" db-id="dftpt9a5ep2a0wev9prvz597dsf0vwptfxes" timestamp="1783428674"&gt;1980&lt;/key&gt;&lt;/foreign-keys&gt;&lt;ref-type name="Journal Article"&gt;17&lt;/ref-type&gt;&lt;contributors&gt;&lt;authors&gt;&lt;author&gt;Weis, William I.&lt;/author&gt;&lt;author&gt;Kobilka, Brian K.&lt;/author&gt;&lt;/authors&gt;&lt;/contributors&gt;&lt;titles&gt;&lt;title&gt;The Molecular Basis of G Protein–Coupled Receptor Activation&lt;/title&gt;&lt;secondary-title&gt;Annual Review of Biochemistry&lt;/secondary-title&gt;&lt;/titles&gt;&lt;periodical&gt;&lt;full-title&gt;Annual Review of Biochemistry&lt;/full-title&gt;&lt;abbr-1&gt;Annu. Rev. Biochem.&lt;/abbr-1&gt;&lt;abbr-2&gt;Annu Rev Biochem&lt;/abbr-2&gt;&lt;/periodical&gt;&lt;pages&gt;897-919&lt;/pages&gt;&lt;volume&gt;87&lt;/volume&gt;&lt;number&gt;Volume 87, 2018&lt;/number&gt;&lt;keywords&gt;&lt;keyword&gt;β2-adrenergic receptor&lt;/keyword&gt;&lt;keyword&gt;allostery&lt;/keyword&gt;&lt;keyword&gt;7-TM receptors&lt;/keyword&gt;&lt;keyword&gt;G protein–coupled receptor&lt;/keyword&gt;&lt;keyword&gt;GPCR&lt;/keyword&gt;&lt;keyword&gt;energy landscape&lt;/keyword&gt;&lt;/keywords&gt;&lt;dates&gt;&lt;year&gt;2018&lt;/year&gt;&lt;/dates&gt;&lt;isbn&gt;1545-4509&lt;/isbn&gt;&lt;urls&gt;&lt;related-urls&gt;&lt;url&gt;https://www.annualreviews.org/content/journals/10.1146/annurev-biochem-060614-033910&lt;/url&gt;&lt;/related-urls&gt;&lt;/urls&gt;&lt;electronic-resource-num&gt;https://doi.org/10.1146/annurev-biochem-060614-033910&lt;/electronic-resource-num&gt;&lt;/record&gt;&lt;/Cite&gt;&lt;/EndNote&gt;</w:instrText>
      </w:r>
      <w:r>
        <w:rPr>
          <w:sz w:val="24"/>
          <w:szCs w:val="24"/>
        </w:rPr>
        <w:fldChar w:fldCharType="separate"/>
      </w:r>
      <w:r>
        <w:rPr>
          <w:sz w:val="24"/>
          <w:szCs w:val="24"/>
          <w:vertAlign w:val="superscript"/>
        </w:rPr>
        <w:t>2</w:t>
      </w:r>
      <w:r>
        <w:rPr>
          <w:sz w:val="24"/>
          <w:szCs w:val="24"/>
        </w:rPr>
        <w:fldChar w:fldCharType="end"/>
      </w:r>
      <w:r>
        <w:rPr>
          <w:sz w:val="24"/>
          <w:szCs w:val="24"/>
        </w:rPr>
        <w:t>, and the expanding number of experimentally determined receptor/G-protein complex structures provides an increasingly rich structural record. These structures supply essential snapshots, but comparative reuse across receptors and G-protein families still depends on standardized simulation records, consistent annotation and practical access routes.</w:t>
      </w:r>
    </w:p>
    <w:p w14:paraId="5F3CE4DF">
      <w:pPr>
        <w:spacing w:line="360" w:lineRule="auto"/>
        <w:ind w:firstLine="480" w:firstLineChars="200"/>
        <w:jc w:val="both"/>
        <w:rPr>
          <w:sz w:val="24"/>
          <w:szCs w:val="24"/>
        </w:rPr>
      </w:pPr>
      <w:r>
        <w:rPr>
          <w:sz w:val="24"/>
          <w:szCs w:val="24"/>
        </w:rPr>
        <w:t>Several public resources have shaped this landscape. GPCRdb provides receptor classification, sequence alignments, structural annotations and the generic residue numbering that makes cross-receptor comparison possible</w:t>
      </w:r>
      <w:r>
        <w:rPr>
          <w:sz w:val="24"/>
          <w:szCs w:val="24"/>
        </w:rPr>
        <w:fldChar w:fldCharType="begin"/>
      </w:r>
      <w:r>
        <w:rPr>
          <w:sz w:val="24"/>
          <w:szCs w:val="24"/>
        </w:rPr>
        <w:instrText xml:space="preserve"> ADDIN EN.CITE &lt;EndNote&gt;&lt;Cite&gt;&lt;Author&gt;Pándy-Szekeres&lt;/Author&gt;&lt;Year&gt;2024&lt;/Year&gt;&lt;RecNum&gt;1981&lt;/RecNum&gt;&lt;DisplayText&gt;&lt;style face="superscript"&gt;3&lt;/style&gt;&lt;/DisplayText&gt;&lt;record&gt;&lt;rec-number&gt;1981&lt;/rec-number&gt;&lt;foreign-keys&gt;&lt;key app="EN" db-id="dftpt9a5ep2a0wev9prvz597dsf0vwptfxes" timestamp="1783428784"&gt;1981&lt;/key&gt;&lt;/foreign-keys&gt;&lt;ref-type name="Journal Article"&gt;17&lt;/ref-type&gt;&lt;contributors&gt;&lt;authors&gt;&lt;author&gt;Pándy-Szekeres, Gáspár&lt;/author&gt;&lt;author&gt;Taracena Herrera, Luis P.&lt;/author&gt;&lt;author&gt;Caroli, Jimmy&lt;/author&gt;&lt;author&gt;Kermani, Ali A.&lt;/author&gt;&lt;author&gt;Kulkarni, Yashraj&lt;/author&gt;&lt;author&gt;Keserű, György M.&lt;/author&gt;&lt;author&gt;Gloriam, David E.&lt;/author&gt;&lt;/authors&gt;&lt;/contributors&gt;&lt;titles&gt;&lt;title&gt;GproteinDb in 2024: new G protein-GPCR couplings, AlphaFold2-multimer models and interface interactions&lt;/title&gt;&lt;secondary-title&gt;Nucleic Acids Research&lt;/secondary-title&gt;&lt;/titles&gt;&lt;periodical&gt;&lt;full-title&gt;Nucleic Acids Research&lt;/full-title&gt;&lt;abbr-1&gt;Nucleic Acids Res.&lt;/abbr-1&gt;&lt;abbr-2&gt;Nucleic Acids Res&lt;/abbr-2&gt;&lt;/periodical&gt;&lt;pages&gt;D466-D475&lt;/pages&gt;&lt;volume&gt;52&lt;/volume&gt;&lt;number&gt;D1&lt;/number&gt;&lt;dates&gt;&lt;year&gt;2024&lt;/year&gt;&lt;/dates&gt;&lt;isbn&gt;0305-1048&lt;/isbn&gt;&lt;urls&gt;&lt;related-urls&gt;&lt;url&gt;https://doi.org/10.1093/nar/gkad1089&lt;/url&gt;&lt;/related-urls&gt;&lt;/urls&gt;&lt;electronic-resource-num&gt;10.1093/nar/gkad1089&lt;/electronic-resource-num&gt;&lt;access-date&gt;7/7/2026&lt;/access-date&gt;&lt;/record&gt;&lt;/Cite&gt;&lt;/EndNote&gt;</w:instrText>
      </w:r>
      <w:r>
        <w:rPr>
          <w:sz w:val="24"/>
          <w:szCs w:val="24"/>
        </w:rPr>
        <w:fldChar w:fldCharType="separate"/>
      </w:r>
      <w:r>
        <w:rPr>
          <w:sz w:val="24"/>
          <w:szCs w:val="24"/>
          <w:vertAlign w:val="superscript"/>
        </w:rPr>
        <w:t>3</w:t>
      </w:r>
      <w:r>
        <w:rPr>
          <w:sz w:val="24"/>
          <w:szCs w:val="24"/>
        </w:rPr>
        <w:fldChar w:fldCharType="end"/>
      </w:r>
      <w:r>
        <w:rPr>
          <w:sz w:val="24"/>
          <w:szCs w:val="24"/>
        </w:rPr>
        <w:t>. GPCRmd has demonstrated the value of community-accessible GPCR trajectory resources</w:t>
      </w:r>
      <w:r>
        <w:rPr>
          <w:sz w:val="24"/>
          <w:szCs w:val="24"/>
        </w:rPr>
        <w:fldChar w:fldCharType="begin">
          <w:fldData xml:space="preserve">PEVuZE5vdGU+PENpdGU+PEF1dGhvcj5Sb2Ryw61ndWV6LUVzcGlnYXJlczwvQXV0aG9yPjxZZWFy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</w:fldData>
        </w:fldChar>
      </w:r>
      <w:r>
        <w:rPr>
          <w:sz w:val="24"/>
          <w:szCs w:val="24"/>
        </w:rPr>
        <w:instrText xml:space="preserve"> ADDIN EN.CITE </w:instrText>
      </w:r>
      <w:r>
        <w:rPr>
          <w:sz w:val="24"/>
          <w:szCs w:val="24"/>
        </w:rPr>
        <w:fldChar w:fldCharType="begin">
          <w:fldData xml:space="preserve">PEVuZE5vdGU+PENpdGU+PEF1dGhvcj5Sb2Ryw61ndWV6LUVzcGlnYXJlczwvQXV0aG9yPjxZZWFy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4</w:t>
      </w:r>
      <w:r>
        <w:rPr>
          <w:sz w:val="24"/>
          <w:szCs w:val="24"/>
        </w:rPr>
        <w:fldChar w:fldCharType="end"/>
      </w:r>
      <w:r>
        <w:rPr>
          <w:sz w:val="24"/>
          <w:szCs w:val="24"/>
        </w:rPr>
        <w:t>. The mdCATH Data Descriptor offers a useful organizational model for presenting a large MD resource through cohort definition, file organization, technical validation and usage notes</w:t>
      </w:r>
      <w:r>
        <w:rPr>
          <w:sz w:val="24"/>
          <w:szCs w:val="24"/>
        </w:rPr>
        <w:fldChar w:fldCharType="begin"/>
      </w:r>
      <w:r>
        <w:rPr>
          <w:sz w:val="24"/>
          <w:szCs w:val="24"/>
        </w:rPr>
        <w:instrText xml:space="preserve"> ADDIN EN.CITE &lt;EndNote&gt;&lt;Cite&gt;&lt;Author&gt;Mirarchi&lt;/Author&gt;&lt;Year&gt;2024&lt;/Year&gt;&lt;RecNum&gt;1982&lt;/RecNum&gt;&lt;DisplayText&gt;&lt;style face="superscript"&gt;5&lt;/style&gt;&lt;/DisplayText&gt;&lt;record&gt;&lt;rec-number&gt;1982&lt;/rec-number&gt;&lt;foreign-keys&gt;&lt;key app="EN" db-id="dftpt9a5ep2a0wev9prvz597dsf0vwptfxes" timestamp="1783428856"&gt;1982&lt;/key&gt;&lt;/foreign-keys&gt;&lt;ref-type name="Journal Article"&gt;17&lt;/ref-type&gt;&lt;contributors&gt;&lt;authors&gt;&lt;author&gt;Mirarchi, Antonio&lt;/author&gt;&lt;author&gt;Giorgino, Toni&lt;/author&gt;&lt;author&gt;De Fabritiis, Gianni&lt;/author&gt;&lt;/authors&gt;&lt;/contributors&gt;&lt;titles&gt;&lt;title&gt;mdCATH: A Large-Scale MD Dataset for Data-Driven Computational Biophysics&lt;/title&gt;&lt;secondary-title&gt;Scientific Data&lt;/secondary-title&gt;&lt;/titles&gt;&lt;periodical&gt;&lt;full-title&gt;Scientific Data&lt;/full-title&gt;&lt;/periodical&gt;&lt;pages&gt;1299&lt;/pages&gt;&lt;volume&gt;11&lt;/volume&gt;&lt;number&gt;1&lt;/number&gt;&lt;dates&gt;&lt;year&gt;2024&lt;/year&gt;&lt;pub-dates&gt;&lt;date&gt;2024/11/28&lt;/date&gt;&lt;/pub-dates&gt;&lt;/dates&gt;&lt;isbn&gt;2052-4463&lt;/isbn&gt;&lt;urls&gt;&lt;related-urls&gt;&lt;url&gt;https://doi.org/10.1038/s41597-024-04140-z&lt;/url&gt;&lt;/related-urls&gt;&lt;/urls&gt;&lt;electronic-resource-num&gt;10.1038/s41597-024-04140-z&lt;/electronic-resource-num&gt;&lt;/record&gt;&lt;/Cite&gt;&lt;/EndNote&gt;</w:instrText>
      </w:r>
      <w:r>
        <w:rPr>
          <w:sz w:val="24"/>
          <w:szCs w:val="24"/>
        </w:rPr>
        <w:fldChar w:fldCharType="separate"/>
      </w:r>
      <w:r>
        <w:rPr>
          <w:sz w:val="24"/>
          <w:szCs w:val="24"/>
          <w:vertAlign w:val="superscript"/>
        </w:rPr>
        <w:t>5</w:t>
      </w:r>
      <w:r>
        <w:rPr>
          <w:sz w:val="24"/>
          <w:szCs w:val="24"/>
        </w:rPr>
        <w:fldChar w:fldCharType="end"/>
      </w:r>
      <w:r>
        <w:rPr>
          <w:sz w:val="24"/>
          <w:szCs w:val="24"/>
        </w:rPr>
        <w:t>. CoupledMD follows the same descriptor discipline but addresses a different data type: multi-chain, membrane-embedded active GPCR/G-protein complexes with receptor, G-protein, pocket and web/API annotation layers.</w:t>
      </w:r>
    </w:p>
    <w:p w14:paraId="37CD3620">
      <w:pPr>
        <w:spacing w:line="360" w:lineRule="auto"/>
        <w:ind w:firstLine="480" w:firstLineChars="200"/>
        <w:jc w:val="both"/>
        <w:rPr>
          <w:rFonts w:hint="eastAsia" w:eastAsia="宋体"/>
          <w:sz w:val="24"/>
          <w:szCs w:val="24"/>
          <w:lang w:eastAsia="zh-CN"/>
        </w:rPr>
      </w:pPr>
      <w:r>
        <w:rPr>
          <w:sz w:val="24"/>
          <w:szCs w:val="24"/>
        </w:rPr>
        <w:t>CoupledMD clean-v1 contains 208 included systems selected from an initial designed inventory of 222 systems. The cohort spans 174 unique receptors, both Class A and Class B GPCRs and all four major G-protein families represented in the current structural record. Family composition is 93 Gi/o, 67 Gs, 42 Gq/11 and 6 G12/13 systems; by GPCR class, 182 systems are Class A and 26 are Class B. The nominal design is three independent 500 ns production replicas per system, corresponding to 1.5 µs of sampling per system and 312.0 µs of aggregate sampling across the release.</w:t>
      </w:r>
      <w:r>
        <w:rPr>
          <w:rFonts w:hint="eastAsia" w:eastAsia="宋体"/>
          <w:sz w:val="24"/>
          <w:szCs w:val="24"/>
          <w:lang w:eastAsia="zh-CN"/>
        </w:rPr>
        <w:t xml:space="preserve"> The composition, ligand context, multi-family receptor coverage and 222-to-208 release boundary are summarized in </w:t>
      </w:r>
      <w:r>
        <w:rPr>
          <w:rFonts w:hint="eastAsia" w:eastAsia="宋体"/>
          <w:color w:val="0000FF"/>
          <w:sz w:val="24"/>
          <w:szCs w:val="24"/>
          <w:lang w:eastAsia="zh-CN"/>
        </w:rPr>
        <w:t>Figure 1</w:t>
      </w:r>
      <w:r>
        <w:rPr>
          <w:sz w:val="24"/>
          <w:szCs w:val="24"/>
        </w:rPr>
        <w:t xml:space="preserve">, with an extended coverage overview provided in </w:t>
      </w:r>
      <w:r>
        <w:rPr>
          <w:color w:val="0000FF"/>
          <w:sz w:val="24"/>
          <w:szCs w:val="24"/>
        </w:rPr>
        <w:t>Supplementary Figure S1</w:t>
      </w:r>
      <w:r>
        <w:rPr>
          <w:sz w:val="24"/>
          <w:szCs w:val="24"/>
        </w:rPr>
        <w:t>.</w:t>
      </w:r>
    </w:p>
    <w:p w14:paraId="2ED5181E">
      <w:pPr>
        <w:spacing w:line="360" w:lineRule="auto"/>
        <w:ind w:firstLine="480" w:firstLineChars="200"/>
        <w:jc w:val="both"/>
        <w:rPr>
          <w:rFonts w:hint="eastAsia" w:eastAsia="宋体"/>
          <w:sz w:val="24"/>
          <w:szCs w:val="24"/>
          <w:lang w:eastAsia="zh-CN"/>
        </w:rPr>
      </w:pPr>
      <w:r>
        <w:t>Figure 1 serves as the entry-point figure for the dataset, so its purpose is to show what is in clean-v1 and where direct comparative reuse is possible. We therefore organized the figure to move from overall cohort composition to receptor-level reuse potential: panel A quantifies class-by-family coverage across the 208 included systems, panels B and D show that a smaller but important subset of receptors appears in more than one G-protein-family context, panel C separates ligand-present from apo or no-ligand systems, and panel E keeps the 208-included and 14-held-back boundary explicit. The main implication is that CoupledMD is broad enough for cross-family benchmarking and within-receptor comparisons, but still curated enough that readers can see exactly which systems define the release and which records remain outside it.</w:t>
      </w:r>
    </w:p>
    <w:p w14:paraId="5430EB67">
      <w:pPr>
        <w:spacing w:line="360" w:lineRule="auto"/>
        <w:ind w:firstLine="480" w:firstLineChars="200"/>
        <w:jc w:val="both"/>
        <w:rPr>
          <w:rFonts w:eastAsia="宋体"/>
          <w:sz w:val="24"/>
          <w:szCs w:val="24"/>
          <w:lang w:eastAsia="zh-CN"/>
        </w:rPr>
      </w:pPr>
      <w:r>
        <w:rPr>
          <w:sz w:val="24"/>
          <w:szCs w:val="24"/>
        </w:rPr>
        <w:t xml:space="preserve">The resource is organized around three questions that match the expectations of a Scientific Data Data Descriptor. First, what is in the release? CoupledMD provides a defined clean-v1 cohort, a transparent held-back cohort and coverage summaries by receptor class, G-protein family and ligand context. Second, can users trust the records? The release includes technical validation of pocket recovery, pocket-count distributions, reduced-trajectory frame counts and periodic-boundary audits. Third, how can users access and reuse the dataset? The archival repository is the citable data record; the web portal and REST API provide interactive and programmatic access to metadata, reduced trajectories and derived annotations; this archive-first organization is summarized in </w:t>
      </w:r>
      <w:r>
        <w:rPr>
          <w:color w:val="0000FF"/>
          <w:sz w:val="24"/>
          <w:szCs w:val="24"/>
        </w:rPr>
        <w:t>Figure 2</w:t>
      </w:r>
      <w:r>
        <w:rPr>
          <w:sz w:val="24"/>
          <w:szCs w:val="24"/>
        </w:rPr>
        <w:t>. Third, can users trust the records? The release includes technical validation of pocket recovery, pocket-count distributions, reduced-trajectory frame counts and periodic-boundary audits.</w:t>
      </w:r>
    </w:p>
    <w:p w14:paraId="64B39951">
      <w:pPr>
        <w:spacing w:line="360" w:lineRule="auto"/>
        <w:ind w:firstLine="480" w:firstLineChars="200"/>
        <w:jc w:val="both"/>
        <w:rPr>
          <w:sz w:val="24"/>
          <w:szCs w:val="24"/>
        </w:rPr>
      </w:pPr>
      <w:r>
        <w:rPr>
          <w:sz w:val="24"/>
          <w:szCs w:val="24"/>
        </w:rPr>
        <w:t>Pocket, gateway and G-protein records are described in this manuscript as derived annotations distributed with the resource. They are included to make the dataset reusable, not to claim a mechanism of coupling, family selectivity, biased signalling or partner switching; those analyses are outside the scope of this Data Descriptor.</w:t>
      </w:r>
    </w:p>
    <w:p w14:paraId="590DA1C6">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Methods</w:t>
      </w:r>
    </w:p>
    <w:p w14:paraId="7B04119A">
      <w:pPr>
        <w:keepNext/>
        <w:spacing w:before="160" w:line="360" w:lineRule="auto"/>
      </w:pPr>
      <w:r>
        <w:rPr>
          <w:b/>
          <w:sz w:val="22"/>
        </w:rPr>
        <w:t>System selection and clean-v1 cohort definition</w:t>
      </w:r>
    </w:p>
    <w:p w14:paraId="662437A1">
      <w:pPr>
        <w:spacing w:line="360" w:lineRule="auto"/>
        <w:ind w:firstLine="480" w:firstLineChars="200"/>
        <w:jc w:val="both"/>
        <w:rPr>
          <w:sz w:val="24"/>
          <w:szCs w:val="24"/>
        </w:rPr>
      </w:pPr>
      <w:r>
        <w:rPr>
          <w:sz w:val="24"/>
          <w:szCs w:val="24"/>
        </w:rPr>
        <w:t>The starting inventory contained 222 GPCR/G-protein complex systems. Each candidate system was curated with a system identifier, primary PDB identifier</w:t>
      </w:r>
      <w:r>
        <w:t xml:space="preserve"> </w:t>
      </w:r>
      <w:r>
        <w:rPr>
          <w:sz w:val="24"/>
          <w:szCs w:val="24"/>
        </w:rPr>
        <w:fldChar w:fldCharType="begin"/>
      </w:r>
      <w:r>
        <w:rPr>
          <w:sz w:val="24"/>
          <w:szCs w:val="24"/>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24"/>
          <w:szCs w:val="24"/>
        </w:rPr>
        <w:fldChar w:fldCharType="separate"/>
      </w:r>
      <w:r>
        <w:rPr>
          <w:sz w:val="24"/>
          <w:szCs w:val="24"/>
          <w:vertAlign w:val="superscript"/>
        </w:rPr>
        <w:t>6</w:t>
      </w:r>
      <w:r>
        <w:rPr>
          <w:sz w:val="24"/>
          <w:szCs w:val="24"/>
        </w:rPr>
        <w:fldChar w:fldCharType="end"/>
      </w:r>
      <w:r>
        <w:rPr>
          <w:sz w:val="24"/>
          <w:szCs w:val="24"/>
        </w:rPr>
        <w:t>, receptor name, UniProt accession</w:t>
      </w:r>
      <w:r>
        <w:t xml:space="preserve"> </w:t>
      </w:r>
      <w:r>
        <w:rPr>
          <w:sz w:val="24"/>
          <w:szCs w:val="24"/>
        </w:rPr>
        <w:fldChar w:fldCharType="begin"/>
      </w:r>
      <w:r>
        <w:rPr>
          <w:sz w:val="24"/>
          <w:szCs w:val="24"/>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24"/>
          <w:szCs w:val="24"/>
        </w:rPr>
        <w:fldChar w:fldCharType="separate"/>
      </w:r>
      <w:r>
        <w:rPr>
          <w:sz w:val="24"/>
          <w:szCs w:val="24"/>
          <w:vertAlign w:val="superscript"/>
        </w:rPr>
        <w:t>7</w:t>
      </w:r>
      <w:r>
        <w:rPr>
          <w:sz w:val="24"/>
          <w:szCs w:val="24"/>
        </w:rPr>
        <w:fldChar w:fldCharType="end"/>
      </w:r>
      <w:r>
        <w:rPr>
          <w:sz w:val="24"/>
          <w:szCs w:val="24"/>
        </w:rPr>
        <w:t>, GPCR class, G-protein family assignment, Gα-subtype annotation, ligand annotation, structural-provenance flag and simulation and file-availability metadata. The clean-v1 release contains the 208 systems that passed the current release gates for a uniform 3 × 500 ns design and for the availability of the associated metadata, topology, trajectory and processed records.</w:t>
      </w:r>
    </w:p>
    <w:p w14:paraId="167710E7">
      <w:pPr>
        <w:spacing w:line="360" w:lineRule="auto"/>
        <w:ind w:firstLine="480" w:firstLineChars="200"/>
        <w:jc w:val="both"/>
        <w:rPr>
          <w:sz w:val="24"/>
          <w:szCs w:val="24"/>
        </w:rPr>
      </w:pPr>
      <w:r>
        <w:rPr>
          <w:sz w:val="24"/>
          <w:szCs w:val="24"/>
        </w:rPr>
        <w:t>Fourteen systems were held back from the initial clean-v1 release. Held-back reasons include nonstandard trajectory lengths, nonstandard replica counts, temporary or incomplete source-file flags, missing processed pocket or grid outputs and source records requiring verification or rerun. These systems are not silently removed: they are listed in Supplementary Table S2 with exclusion reasons and verification status, so the release boundary remains traceable.</w:t>
      </w:r>
    </w:p>
    <w:p w14:paraId="70D03998">
      <w:pPr>
        <w:keepNext/>
        <w:spacing w:before="160" w:line="360" w:lineRule="auto"/>
      </w:pPr>
      <w:r>
        <w:rPr>
          <w:b/>
          <w:sz w:val="22"/>
        </w:rPr>
        <w:t>Structure sourcing and annotation</w:t>
      </w:r>
    </w:p>
    <w:p w14:paraId="7F3E6796">
      <w:pPr>
        <w:spacing w:line="360" w:lineRule="auto"/>
        <w:ind w:firstLine="480" w:firstLineChars="200"/>
        <w:jc w:val="both"/>
        <w:rPr>
          <w:sz w:val="24"/>
          <w:szCs w:val="24"/>
        </w:rPr>
      </w:pPr>
      <w:r>
        <w:rPr>
          <w:sz w:val="24"/>
          <w:szCs w:val="24"/>
        </w:rPr>
        <w:t>Active-state GPCR/G-protein complex structures were identified from experimentally determined structures</w:t>
      </w:r>
      <w:r>
        <w:rPr>
          <w:sz w:val="24"/>
          <w:szCs w:val="24"/>
        </w:rPr>
        <w:fldChar w:fldCharType="begin"/>
      </w:r>
      <w:r>
        <w:rPr>
          <w:sz w:val="24"/>
          <w:szCs w:val="24"/>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24"/>
          <w:szCs w:val="24"/>
        </w:rPr>
        <w:fldChar w:fldCharType="separate"/>
      </w:r>
      <w:r>
        <w:rPr>
          <w:sz w:val="24"/>
          <w:szCs w:val="24"/>
          <w:vertAlign w:val="superscript"/>
        </w:rPr>
        <w:t>6</w:t>
      </w:r>
      <w:r>
        <w:rPr>
          <w:sz w:val="24"/>
          <w:szCs w:val="24"/>
        </w:rPr>
        <w:fldChar w:fldCharType="end"/>
      </w:r>
      <w:r>
        <w:rPr>
          <w:sz w:val="24"/>
          <w:szCs w:val="24"/>
        </w:rPr>
        <w:t xml:space="preserve"> together with associated receptor and G-protein annotations. Receptor records were cross-referenced with UniProt accessions</w:t>
      </w:r>
      <w:r>
        <w:rPr>
          <w:sz w:val="24"/>
          <w:szCs w:val="24"/>
        </w:rPr>
        <w:fldChar w:fldCharType="begin"/>
      </w:r>
      <w:r>
        <w:rPr>
          <w:sz w:val="24"/>
          <w:szCs w:val="24"/>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24"/>
          <w:szCs w:val="24"/>
        </w:rPr>
        <w:fldChar w:fldCharType="separate"/>
      </w:r>
      <w:r>
        <w:rPr>
          <w:sz w:val="24"/>
          <w:szCs w:val="24"/>
          <w:vertAlign w:val="superscript"/>
        </w:rPr>
        <w:t>7</w:t>
      </w:r>
      <w:r>
        <w:rPr>
          <w:sz w:val="24"/>
          <w:szCs w:val="24"/>
        </w:rPr>
        <w:fldChar w:fldCharType="end"/>
      </w:r>
      <w:r>
        <w:rPr>
          <w:sz w:val="24"/>
          <w:szCs w:val="24"/>
        </w:rPr>
        <w:t xml:space="preserve"> and GPCRdb-compatible identifiers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r>
        <w:rPr>
          <w:sz w:val="24"/>
          <w:szCs w:val="24"/>
        </w:rPr>
        <w:t>. G-protein records were grouped into the Gi/o, Gs, Gq/11 and G12/13 family categories and annotated with Gα-subtype labels where available. Structural provenance (experimental versus engineered or uncertain) was recorded for every system. In clean-v1, 197 included systems are experimental-coordinate derived and 11 carry an engineered or uncertain flag, so that users may apply stricter filters if required.</w:t>
      </w:r>
    </w:p>
    <w:p w14:paraId="1818F0F0">
      <w:pPr>
        <w:spacing w:line="360" w:lineRule="auto"/>
        <w:ind w:firstLine="480" w:firstLineChars="200"/>
        <w:jc w:val="both"/>
        <w:rPr>
          <w:sz w:val="24"/>
          <w:szCs w:val="24"/>
        </w:rPr>
      </w:pPr>
      <w:r>
        <w:rPr>
          <w:sz w:val="24"/>
          <w:szCs w:val="24"/>
        </w:rPr>
        <w:t>The primary system identifier follows a family-plus-PDB pattern (for example, Gi_7F1Q), and the metadata table stores the corresponding PDB identifier, receptor name, UniProt accession, receptor gene where available, GPCR class, G-protein family, Gα-subtype, ligand fields, simulation fields and QC fields.</w:t>
      </w:r>
    </w:p>
    <w:p w14:paraId="0FDFDC04">
      <w:pPr>
        <w:keepNext/>
        <w:spacing w:before="160" w:line="360" w:lineRule="auto"/>
      </w:pPr>
      <w:r>
        <w:rPr>
          <w:b/>
          <w:sz w:val="22"/>
        </w:rPr>
        <w:t>Simulation preparation and production design</w:t>
      </w:r>
    </w:p>
    <w:p w14:paraId="1A083B1B">
      <w:pPr>
        <w:spacing w:line="360" w:lineRule="auto"/>
        <w:ind w:firstLine="480" w:firstLineChars="200"/>
        <w:jc w:val="both"/>
        <w:rPr>
          <w:sz w:val="24"/>
          <w:szCs w:val="24"/>
        </w:rPr>
      </w:pPr>
      <w:r>
        <w:rPr>
          <w:sz w:val="24"/>
          <w:szCs w:val="24"/>
        </w:rPr>
        <w:t>Included systems were prepared under a common CHARMM36-family membrane simulation protocol and embedded in a POPC membrane environment</w:t>
      </w:r>
      <w:r>
        <w:rPr>
          <w:sz w:val="24"/>
          <w:szCs w:val="24"/>
        </w:rPr>
        <w:fldChar w:fldCharType="begin">
          <w:fldData xml:space="preserve">PEVuZE5vdGU+PENpdGU+PEF1dGhvcj5IdWFuZzwvQXV0aG9yPjxZZWFyPjIwMTc8L1llYXI+PFJl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</w:fldData>
        </w:fldChar>
      </w:r>
      <w:r>
        <w:rPr>
          <w:sz w:val="24"/>
          <w:szCs w:val="24"/>
        </w:rPr>
        <w:instrText xml:space="preserve"> ADDIN EN.CITE </w:instrText>
      </w:r>
      <w:r>
        <w:rPr>
          <w:sz w:val="24"/>
          <w:szCs w:val="24"/>
        </w:rPr>
        <w:fldChar w:fldCharType="begin">
          <w:fldData xml:space="preserve">PEVuZE5vdGU+PENpdGU+PEF1dGhvcj5IdWFuZzwvQXV0aG9yPjxZZWFyPjIwMTc8L1llYXI+PFJl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9,10</w:t>
      </w:r>
      <w:r>
        <w:rPr>
          <w:sz w:val="24"/>
          <w:szCs w:val="24"/>
        </w:rPr>
        <w:fldChar w:fldCharType="end"/>
      </w:r>
      <w:r>
        <w:rPr>
          <w:sz w:val="24"/>
          <w:szCs w:val="24"/>
        </w:rPr>
        <w:t>. System setup used CHARMM-GUI</w:t>
      </w:r>
      <w:r>
        <w:rPr>
          <w:sz w:val="24"/>
          <w:szCs w:val="24"/>
        </w:rPr>
        <w:fldChar w:fldCharType="begin"/>
      </w:r>
      <w:r>
        <w:rPr>
          <w:sz w:val="24"/>
          <w:szCs w:val="24"/>
        </w:rPr>
        <w:instrText xml:space="preserve"> ADDIN EN.CITE &lt;EndNote&gt;&lt;Cite&gt;&lt;Author&gt;Jo&lt;/Author&gt;&lt;Year&gt;2008&lt;/Year&gt;&lt;RecNum&gt;572&lt;/RecNum&gt;&lt;DisplayText&gt;&lt;style face="superscript"&gt;11&lt;/style&gt;&lt;/DisplayText&gt;&lt;record&gt;&lt;rec-number&gt;572&lt;/rec-number&gt;&lt;foreign-keys&gt;&lt;key app="EN" db-id="dftpt9a5ep2a0wev9prvz597dsf0vwptfxes" timestamp="1629468210" guid="c1c8fe91-d16f-4cc8-8591-09e36404c709"&gt;572&lt;/key&gt;&lt;/foreign-keys&gt;&lt;ref-type name="Journal Article"&gt;17&lt;/ref-type&gt;&lt;contributors&gt;&lt;authors&gt;&lt;author&gt;Jo, Sunhwan&lt;/author&gt;&lt;author&gt;Kim, Taehoon&lt;/author&gt;&lt;author&gt;Iyer, Vidyashankara G.&lt;/author&gt;&lt;author&gt;Im, Wonpil&lt;/author&gt;&lt;/authors&gt;&lt;/contributors&gt;&lt;titles&gt;&lt;title&gt;CHARMM-GUI: A web-based graphical user interface for CHARMM&lt;/title&gt;&lt;secondary-title&gt;Journal of Computational Chemistry&lt;/secondary-title&gt;&lt;/titles&gt;&lt;periodical&gt;&lt;full-title&gt;Journal of Computational Chemistry&lt;/full-title&gt;&lt;abbr-1&gt;J. Comput. Chem.&lt;/abbr-1&gt;&lt;abbr-2&gt;J Comput Chem&lt;/abbr-2&gt;&lt;/periodical&gt;&lt;pages&gt;1859-1865&lt;/pages&gt;&lt;volume&gt;29&lt;/volume&gt;&lt;number&gt;11&lt;/number&gt;&lt;dates&gt;&lt;year&gt;2008&lt;/year&gt;&lt;/dates&gt;&lt;isbn&gt;0192-8651&lt;/isbn&gt;&lt;urls&gt;&lt;related-urls&gt;&lt;url&gt;https://onlinelibrary.wiley.com/doi/abs/10.1002/jcc.20945&lt;/url&gt;&lt;/related-urls&gt;&lt;/urls&gt;&lt;electronic-resource-num&gt;https://doi.org/10.1002/jcc.20945&lt;/electronic-resource-num&gt;&lt;/record&gt;&lt;/Cite&gt;&lt;/EndNote&gt;</w:instrText>
      </w:r>
      <w:r>
        <w:rPr>
          <w:sz w:val="24"/>
          <w:szCs w:val="24"/>
        </w:rPr>
        <w:fldChar w:fldCharType="separate"/>
      </w:r>
      <w:r>
        <w:rPr>
          <w:sz w:val="24"/>
          <w:szCs w:val="24"/>
          <w:vertAlign w:val="superscript"/>
        </w:rPr>
        <w:t>11</w:t>
      </w:r>
      <w:r>
        <w:rPr>
          <w:sz w:val="24"/>
          <w:szCs w:val="24"/>
        </w:rPr>
        <w:fldChar w:fldCharType="end"/>
      </w:r>
      <w:r>
        <w:rPr>
          <w:sz w:val="24"/>
          <w:szCs w:val="24"/>
        </w:rPr>
        <w:t xml:space="preserve"> and standard MD packages appropriate to the source structure and trajectory format</w:t>
      </w:r>
      <w:r>
        <w:rPr>
          <w:sz w:val="24"/>
          <w:szCs w:val="24"/>
        </w:rPr>
        <w:fldChar w:fldCharType="begin"/>
      </w:r>
      <w:r>
        <w:rPr>
          <w:sz w:val="24"/>
          <w:szCs w:val="24"/>
        </w:rPr>
        <w:instrText xml:space="preserve"> ADDIN EN.CITE &lt;EndNote&gt;&lt;Cite&gt;&lt;Author&gt;Lee&lt;/Author&gt;&lt;Year&gt;2016&lt;/Year&gt;&lt;RecNum&gt;945&lt;/RecNum&gt;&lt;DisplayText&gt;&lt;style face="superscript"&gt;12&lt;/style&gt;&lt;/DisplayText&gt;&lt;record&gt;&lt;rec-number&gt;945&lt;/rec-number&gt;&lt;foreign-keys&gt;&lt;key app="EN" db-id="dftpt9a5ep2a0wev9prvz597dsf0vwptfxes" timestamp="1651918748" guid="3eb95697-7163-4395-9e06-b5497b5e3906"&gt;945&lt;/key&gt;&lt;/foreign-keys&gt;&lt;ref-type name="Journal Article"&gt;17&lt;/ref-type&gt;&lt;contributors&gt;&lt;authors&gt;&lt;author&gt;Lee, Jumin&lt;/author&gt;&lt;author&gt;Cheng, Xi&lt;/author&gt;&lt;author&gt;Swails, Jason M.&lt;/author&gt;&lt;author&gt;Yeom, Min Sun&lt;/author&gt;&lt;author&gt;Eastman, Peter K.&lt;/author&gt;&lt;author&gt;Lemkul, Justin A.&lt;/author&gt;&lt;author&gt;Wei, Shuai&lt;/author&gt;&lt;author&gt;Buckner, Joshua&lt;/author&gt;&lt;author&gt;Jeong, Jong Cheol&lt;/author&gt;&lt;author&gt;Qi, Yifei&lt;/author&gt;&lt;author&gt;Jo, Sunhwan&lt;/author&gt;&lt;author&gt;Pande, Vijay S.&lt;/author&gt;&lt;author&gt;Case, David A.&lt;/author&gt;&lt;author&gt;Brooks, Charles L.&lt;/author&gt;&lt;author&gt;MacKerell, Alexander D.&lt;/author&gt;&lt;author&gt;Klauda, Jeffery B.&lt;/author&gt;&lt;author&gt;Im, Wonpil&lt;/author&gt;&lt;/authors&gt;&lt;/contributors&gt;&lt;titles&gt;&lt;title&gt;CHARMM-GUI Input Generator for NAMD, GROMACS, AMBER, OpenMM, and CHARMM/OpenMM Simulations Using the CHARMM36 Additive Force Field&lt;/title&gt;&lt;secondary-title&gt;Journal of Chemical Theory and Computation&lt;/secondary-title&gt;&lt;/titles&gt;&lt;periodical&gt;&lt;full-title&gt;Journal of Chemical Theory and Computation&lt;/full-title&gt;&lt;abbr-1&gt;J. Chem. Theory Comput.&lt;/abbr-1&gt;&lt;abbr-2&gt;J Chem Theory Comput&lt;/abbr-2&gt;&lt;abbr-3&gt;Journal of Chemical Theory &amp;amp; Computation&lt;/abbr-3&gt;&lt;/periodical&gt;&lt;pages&gt;405-413&lt;/pages&gt;&lt;volume&gt;12&lt;/volume&gt;&lt;number&gt;1&lt;/number&gt;&lt;dates&gt;&lt;year&gt;2016&lt;/year&gt;&lt;pub-dates&gt;&lt;date&gt;2016/01/12&lt;/date&gt;&lt;/pub-dates&gt;&lt;/dates&gt;&lt;publisher&gt;American Chemical Society&lt;/publisher&gt;&lt;isbn&gt;1549-9618&lt;/isbn&gt;&lt;urls&gt;&lt;related-urls&gt;&lt;url&gt;https://doi.org/10.1021/acs.jctc.5b00935&lt;/url&gt;&lt;/related-urls&gt;&lt;/urls&gt;&lt;electronic-resource-num&gt;10.1021/acs.jctc.5b00935&lt;/electronic-resource-num&gt;&lt;/record&gt;&lt;/Cite&gt;&lt;/EndNote&gt;</w:instrText>
      </w:r>
      <w:r>
        <w:rPr>
          <w:sz w:val="24"/>
          <w:szCs w:val="24"/>
        </w:rPr>
        <w:fldChar w:fldCharType="separate"/>
      </w:r>
      <w:r>
        <w:rPr>
          <w:sz w:val="24"/>
          <w:szCs w:val="24"/>
          <w:vertAlign w:val="superscript"/>
        </w:rPr>
        <w:t>12</w:t>
      </w:r>
      <w:r>
        <w:rPr>
          <w:sz w:val="24"/>
          <w:szCs w:val="24"/>
        </w:rPr>
        <w:fldChar w:fldCharType="end"/>
      </w:r>
      <w:r>
        <w:rPr>
          <w:sz w:val="24"/>
          <w:szCs w:val="24"/>
        </w:rPr>
        <w:t>. The clean-v1 release is defined around a uniform production design of three 500 ns replicas per included system. The metadata table records the force-field and protocol annotation, lipid composition, trajectory type, replica count, per-replica length and aggregate sampling per system.</w:t>
      </w:r>
    </w:p>
    <w:p w14:paraId="48D03062">
      <w:pPr>
        <w:spacing w:line="360" w:lineRule="auto"/>
        <w:ind w:firstLine="480" w:firstLineChars="200"/>
        <w:jc w:val="both"/>
        <w:rPr>
          <w:sz w:val="24"/>
          <w:szCs w:val="24"/>
        </w:rPr>
      </w:pPr>
      <w:r>
        <w:rPr>
          <w:sz w:val="24"/>
          <w:szCs w:val="24"/>
        </w:rPr>
        <w:t>Where trajectories originate from different engines or were converted between topology formats, the archive metadata state the format and required software explicitly; engine-specific input and topology files are retained alongside the production trajectories so that downstream users can reproduce or extend analyses.</w:t>
      </w:r>
    </w:p>
    <w:p w14:paraId="75DCF491">
      <w:pPr>
        <w:keepNext/>
        <w:spacing w:before="160" w:line="360" w:lineRule="auto"/>
      </w:pPr>
      <w:r>
        <w:rPr>
          <w:b/>
          <w:sz w:val="22"/>
        </w:rPr>
        <w:t>Trajectory processing and reduced visualization records</w:t>
      </w:r>
    </w:p>
    <w:p w14:paraId="389F5E21">
      <w:pPr>
        <w:spacing w:line="360" w:lineRule="auto"/>
        <w:ind w:firstLine="480" w:firstLineChars="200"/>
        <w:jc w:val="both"/>
        <w:rPr>
          <w:sz w:val="24"/>
          <w:szCs w:val="24"/>
        </w:rPr>
      </w:pPr>
      <w:r>
        <w:rPr>
          <w:sz w:val="24"/>
          <w:szCs w:val="24"/>
        </w:rPr>
        <w:t>Full production trajectories are the primary molecular records and belong in the stable archive. A reduced visualization tier was generated for web and lightweight reuse. Reduced trajectories are protein-focused, decimated records accompanied by matching reduced reference structures; they are intended for interactive inspection through the portal and for rapid system review</w:t>
      </w:r>
      <w:r>
        <w:rPr>
          <w:sz w:val="24"/>
          <w:szCs w:val="24"/>
        </w:rPr>
        <w:fldChar w:fldCharType="begin"/>
      </w:r>
      <w:r>
        <w:rPr>
          <w:sz w:val="24"/>
          <w:szCs w:val="24"/>
        </w:rPr>
        <w:instrText xml:space="preserve"> ADDIN EN.CITE &lt;EndNote&gt;&lt;Cite&gt;&lt;Author&gt;Rose&lt;/Author&gt;&lt;Year&gt;2018&lt;/Year&gt;&lt;RecNum&gt;1986&lt;/RecNum&gt;&lt;DisplayText&gt;&lt;style face="superscript"&gt;13&lt;/style&gt;&lt;/DisplayText&gt;&lt;record&gt;&lt;rec-number&gt;1986&lt;/rec-number&gt;&lt;foreign-keys&gt;&lt;key app="EN" db-id="dftpt9a5ep2a0wev9prvz597dsf0vwptfxes" timestamp="1783429455"&gt;1986&lt;/key&gt;&lt;/foreign-keys&gt;&lt;ref-type name="Journal Article"&gt;17&lt;/ref-type&gt;&lt;contributors&gt;&lt;authors&gt;&lt;author&gt;Rose, Alexander S.&lt;/author&gt;&lt;author&gt;Bradley, Anthony R.&lt;/author&gt;&lt;author&gt;Valasatava, Yana&lt;/author&gt;&lt;author&gt;Duarte, Jose M.&lt;/author&gt;&lt;author&gt;Prlić, Andreas&lt;/author&gt;&lt;author&gt;Rose, Peter W.&lt;/author&gt;&lt;/authors&gt;&lt;/contributors&gt;&lt;titles&gt;&lt;title&gt;NGL viewer: web-based molecular graphics for large complexes&lt;/title&gt;&lt;secondary-title&gt;Bioinformatics&lt;/secondary-title&gt;&lt;/titles&gt;&lt;periodical&gt;&lt;full-title&gt;Bioinformatics&lt;/full-title&gt;&lt;abbr-1&gt;Bioinformatics&lt;/abbr-1&gt;&lt;abbr-2&gt;Bioinformatics&lt;/abbr-2&gt;&lt;/periodical&gt;&lt;pages&gt;3755-3758&lt;/pages&gt;&lt;volume&gt;34&lt;/volume&gt;&lt;number&gt;21&lt;/number&gt;&lt;dates&gt;&lt;year&gt;2018&lt;/year&gt;&lt;/dates&gt;&lt;isbn&gt;1367-4803&lt;/isbn&gt;&lt;urls&gt;&lt;related-urls&gt;&lt;url&gt;https://doi.org/10.1093/bioinformatics/bty419&lt;/url&gt;&lt;/related-urls&gt;&lt;/urls&gt;&lt;electronic-resource-num&gt;10.1093/bioinformatics/bty419&lt;/electronic-resource-num&gt;&lt;access-date&gt;7/7/2026&lt;/access-date&gt;&lt;/record&gt;&lt;/Cite&gt;&lt;/EndNote&gt;</w:instrText>
      </w:r>
      <w:r>
        <w:rPr>
          <w:sz w:val="24"/>
          <w:szCs w:val="24"/>
        </w:rPr>
        <w:fldChar w:fldCharType="separate"/>
      </w:r>
      <w:r>
        <w:rPr>
          <w:sz w:val="24"/>
          <w:szCs w:val="24"/>
          <w:vertAlign w:val="superscript"/>
        </w:rPr>
        <w:t>13</w:t>
      </w:r>
      <w:r>
        <w:rPr>
          <w:sz w:val="24"/>
          <w:szCs w:val="24"/>
        </w:rPr>
        <w:fldChar w:fldCharType="end"/>
      </w:r>
      <w:r>
        <w:rPr>
          <w:sz w:val="24"/>
          <w:szCs w:val="24"/>
        </w:rPr>
        <w:t>. These reduced records are useful for visualization and screening but do not replace full production trajectories in quantitative reanalysis.</w:t>
      </w:r>
    </w:p>
    <w:p w14:paraId="54EAF0C7">
      <w:pPr>
        <w:spacing w:line="360" w:lineRule="auto"/>
        <w:ind w:firstLine="480" w:firstLineChars="200"/>
        <w:jc w:val="both"/>
        <w:rPr>
          <w:sz w:val="24"/>
          <w:szCs w:val="24"/>
        </w:rPr>
      </w:pPr>
      <w:r>
        <w:rPr>
          <w:sz w:val="24"/>
          <w:szCs w:val="24"/>
        </w:rPr>
        <w:t xml:space="preserve">The reduced visualization layer was audited for frame count, atom-count agreement, blank element fields, box-mismatch flags, intra-chain breaks, inter-chain splits and scatter-frame warnings; the audit results are summarized in Technical Validation and in </w:t>
      </w:r>
      <w:r>
        <w:rPr>
          <w:color w:val="0000FF"/>
          <w:sz w:val="24"/>
          <w:szCs w:val="24"/>
        </w:rPr>
        <w:t>Supplementary Tables S15–S17</w:t>
      </w:r>
      <w:r>
        <w:rPr>
          <w:sz w:val="24"/>
          <w:szCs w:val="24"/>
        </w:rPr>
        <w:t>.</w:t>
      </w:r>
    </w:p>
    <w:p w14:paraId="5423E57F">
      <w:pPr>
        <w:keepNext/>
        <w:spacing w:before="160" w:line="360" w:lineRule="auto"/>
      </w:pPr>
      <w:r>
        <w:rPr>
          <w:b/>
          <w:sz w:val="22"/>
        </w:rPr>
        <w:t>Pocket detection and GPCRdb mapping</w:t>
      </w:r>
    </w:p>
    <w:p w14:paraId="002825DD">
      <w:pPr>
        <w:spacing w:line="360" w:lineRule="auto"/>
        <w:ind w:firstLine="480" w:firstLineChars="200"/>
        <w:jc w:val="both"/>
        <w:rPr>
          <w:sz w:val="24"/>
          <w:szCs w:val="24"/>
        </w:rPr>
      </w:pPr>
      <w:r>
        <w:rPr>
          <w:sz w:val="24"/>
          <w:szCs w:val="24"/>
        </w:rPr>
        <w:t>Pocket records were generated as derived annotations for each included system for which pocket outputs were available</w:t>
      </w:r>
      <w:r>
        <w:rPr>
          <w:sz w:val="24"/>
          <w:szCs w:val="24"/>
        </w:rPr>
        <w:fldChar w:fldCharType="begin"/>
      </w:r>
      <w:r>
        <w:rPr>
          <w:sz w:val="24"/>
          <w:szCs w:val="24"/>
        </w:rPr>
        <w:instrText xml:space="preserve"> ADDIN EN.CITE &lt;EndNote&gt;&lt;Cite&gt;&lt;Author&gt;Le Guilloux&lt;/Author&gt;&lt;Year&gt;2009&lt;/Year&gt;&lt;RecNum&gt;1956&lt;/RecNum&gt;&lt;DisplayText&gt;&lt;style face="superscript"&gt;14&lt;/style&gt;&lt;/DisplayText&gt;&lt;record&gt;&lt;rec-number&gt;1956&lt;/rec-number&gt;&lt;foreign-keys&gt;&lt;key app="EN" db-id="dftpt9a5ep2a0wev9prvz597dsf0vwptfxes" timestamp="1783427781"&gt;1956&lt;/key&gt;&lt;/foreign-keys&gt;&lt;ref-type name="Journal Article"&gt;17&lt;/ref-type&gt;&lt;contributors&gt;&lt;authors&gt;&lt;author&gt;Le Guilloux, Vincent&lt;/author&gt;&lt;author&gt;Schmidtke, Peter&lt;/author&gt;&lt;author&gt;Tuffery, Pierre&lt;/author&gt;&lt;/authors&gt;&lt;/contributors&gt;&lt;titles&gt;&lt;title&gt;Fpocket: An open source platform for ligand pocket detection&lt;/title&gt;&lt;secondary-title&gt;BMC Bioinformatics&lt;/secondary-title&gt;&lt;/titles&gt;&lt;periodical&gt;&lt;full-title&gt;BMC Bioinformatics&lt;/full-title&gt;&lt;abbr-1&gt;BMC Bioinformatics&lt;/abbr-1&gt;&lt;abbr-2&gt;BMC Bioinformatics&lt;/abbr-2&gt;&lt;/periodical&gt;&lt;volume&gt;10&lt;/volume&gt;&lt;number&gt;1&lt;/number&gt;&lt;dates&gt;&lt;year&gt;2009&lt;/year&gt;&lt;/dates&gt;&lt;publisher&gt;Springer Science and Business Media LLC&lt;/publisher&gt;&lt;urls&gt;&lt;related-urls&gt;&lt;url&gt;http://dx.doi.org/10.1186/1471-2105-10-168&lt;/url&gt;&lt;/related-urls&gt;&lt;/urls&gt;&lt;/record&gt;&lt;/Cite&gt;&lt;/EndNote&gt;</w:instrText>
      </w:r>
      <w:r>
        <w:rPr>
          <w:sz w:val="24"/>
          <w:szCs w:val="24"/>
        </w:rPr>
        <w:fldChar w:fldCharType="separate"/>
      </w:r>
      <w:r>
        <w:rPr>
          <w:sz w:val="24"/>
          <w:szCs w:val="24"/>
          <w:vertAlign w:val="superscript"/>
        </w:rPr>
        <w:t>14</w:t>
      </w:r>
      <w:r>
        <w:rPr>
          <w:sz w:val="24"/>
          <w:szCs w:val="24"/>
        </w:rPr>
        <w:fldChar w:fldCharType="end"/>
      </w:r>
      <w:r>
        <w:rPr>
          <w:sz w:val="24"/>
          <w:szCs w:val="24"/>
        </w:rPr>
        <w:t>. The technical validation workflow uses orthosteric-pocket recovery as a positive-control style check, because ligand-accessible receptor pockets are expected to be recovered in many ligand-bearing active complexes. Pocket-lining residues were mapped to GPCRdb generic positions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r>
        <w:rPr>
          <w:sz w:val="24"/>
          <w:szCs w:val="24"/>
        </w:rPr>
        <w:t>, allowing users to compare pocket records across receptors without relying solely on receptor-specific residue numbers.</w:t>
      </w:r>
    </w:p>
    <w:p w14:paraId="1F4131E8">
      <w:pPr>
        <w:spacing w:line="360" w:lineRule="auto"/>
        <w:ind w:firstLine="480" w:firstLineChars="200"/>
        <w:jc w:val="both"/>
        <w:rPr>
          <w:sz w:val="24"/>
          <w:szCs w:val="24"/>
        </w:rPr>
      </w:pPr>
      <w:r>
        <w:rPr>
          <w:sz w:val="24"/>
          <w:szCs w:val="24"/>
        </w:rPr>
        <w:t>Orthosteric-pocket recovery was evaluated using the best per-system orthosteric-pocket frequency and a 0.85 frequency threshold. This metric is used as technical validation of known structural-feature recovery and annotation stability; it is not interpreted as a biological mechanism or as experimental evidence of ligand binding.</w:t>
      </w:r>
    </w:p>
    <w:p w14:paraId="2324419D">
      <w:pPr>
        <w:keepNext/>
        <w:spacing w:before="160" w:line="360" w:lineRule="auto"/>
      </w:pPr>
      <w:r>
        <w:rPr>
          <w:b/>
          <w:sz w:val="22"/>
        </w:rPr>
        <w:t>Gateway and G-protein derived annotations</w:t>
      </w:r>
    </w:p>
    <w:p w14:paraId="40F5EBF7">
      <w:pPr>
        <w:spacing w:line="360" w:lineRule="auto"/>
        <w:ind w:firstLine="480" w:firstLineChars="200"/>
        <w:jc w:val="both"/>
        <w:rPr>
          <w:rFonts w:eastAsia="宋体"/>
          <w:lang w:eastAsia="zh-CN"/>
        </w:rPr>
      </w:pPr>
      <w:r>
        <w:rPr>
          <w:sz w:val="24"/>
          <w:szCs w:val="24"/>
        </w:rPr>
        <w:t>The dataset also distributes derived gateway and G-protein annotation records. Gateway records summarize defined transmembrane-helix interface measurements, while G-protein records provide CGN-compatible annotation layers where available</w:t>
      </w:r>
      <w:r>
        <w:rPr>
          <w:sz w:val="24"/>
          <w:szCs w:val="24"/>
        </w:rPr>
        <w:fldChar w:fldCharType="begin"/>
      </w:r>
      <w:r>
        <w:rPr>
          <w:sz w:val="24"/>
          <w:szCs w:val="24"/>
        </w:rPr>
        <w:instrText xml:space="preserve"> ADDIN EN.CITE &lt;EndNote&gt;&lt;Cite&gt;&lt;Author&gt;Pándy-Szekeres&lt;/Author&gt;&lt;Year&gt;2024&lt;/Year&gt;&lt;RecNum&gt;1981&lt;/RecNum&gt;&lt;DisplayText&gt;&lt;style face="superscript"&gt;3&lt;/style&gt;&lt;/DisplayText&gt;&lt;record&gt;&lt;rec-number&gt;1981&lt;/rec-number&gt;&lt;foreign-keys&gt;&lt;key app="EN" db-id="dftpt9a5ep2a0wev9prvz597dsf0vwptfxes" timestamp="1783428784"&gt;1981&lt;/key&gt;&lt;/foreign-keys&gt;&lt;ref-type name="Journal Article"&gt;17&lt;/ref-type&gt;&lt;contributors&gt;&lt;authors&gt;&lt;author&gt;Pándy-Szekeres, Gáspár&lt;/author&gt;&lt;author&gt;Taracena Herrera, Luis P.&lt;/author&gt;&lt;author&gt;Caroli, Jimmy&lt;/author&gt;&lt;author&gt;Kermani, Ali A.&lt;/author&gt;&lt;author&gt;Kulkarni, Yashraj&lt;/author&gt;&lt;author&gt;Keserű, György M.&lt;/author&gt;&lt;author&gt;Gloriam, David E.&lt;/author&gt;&lt;/authors&gt;&lt;/contributors&gt;&lt;titles&gt;&lt;title&gt;GproteinDb in 2024: new G protein-GPCR couplings, AlphaFold2-multimer models and interface interactions&lt;/title&gt;&lt;secondary-title&gt;Nucleic Acids Research&lt;/secondary-title&gt;&lt;/titles&gt;&lt;periodical&gt;&lt;full-title&gt;Nucleic Acids Research&lt;/full-title&gt;&lt;abbr-1&gt;Nucleic Acids Res.&lt;/abbr-1&gt;&lt;abbr-2&gt;Nucleic Acids Res&lt;/abbr-2&gt;&lt;/periodical&gt;&lt;pages&gt;D466-D475&lt;/pages&gt;&lt;volume&gt;52&lt;/volume&gt;&lt;number&gt;D1&lt;/number&gt;&lt;dates&gt;&lt;year&gt;2024&lt;/year&gt;&lt;/dates&gt;&lt;isbn&gt;0305-1048&lt;/isbn&gt;&lt;urls&gt;&lt;related-urls&gt;&lt;url&gt;https://doi.org/10.1093/nar/gkad1089&lt;/url&gt;&lt;/related-urls&gt;&lt;/urls&gt;&lt;electronic-resource-num&gt;10.1093/nar/gkad1089&lt;/electronic-resource-num&gt;&lt;access-date&gt;7/7/2026&lt;/access-date&gt;&lt;/record&gt;&lt;/Cite&gt;&lt;/EndNote&gt;</w:instrText>
      </w:r>
      <w:r>
        <w:rPr>
          <w:sz w:val="24"/>
          <w:szCs w:val="24"/>
        </w:rPr>
        <w:fldChar w:fldCharType="separate"/>
      </w:r>
      <w:r>
        <w:rPr>
          <w:sz w:val="24"/>
          <w:szCs w:val="24"/>
          <w:vertAlign w:val="superscript"/>
        </w:rPr>
        <w:t>3</w:t>
      </w:r>
      <w:r>
        <w:rPr>
          <w:sz w:val="24"/>
          <w:szCs w:val="24"/>
        </w:rPr>
        <w:fldChar w:fldCharType="end"/>
      </w:r>
      <w:r>
        <w:rPr>
          <w:sz w:val="24"/>
          <w:szCs w:val="24"/>
        </w:rPr>
        <w:t>. In this Data Descriptor, these records are described as machine-readable annotations and access-layer features. Family-resolved biological interpretation of gateway or G-protein dynamics is outside the scope of Paper 1 and is reserved for downstream studies.</w:t>
      </w:r>
      <w:r>
        <w:rPr>
          <w:rFonts w:hint="eastAsia" w:eastAsia="宋体"/>
          <w:sz w:val="24"/>
          <w:szCs w:val="24"/>
          <w:lang w:eastAsia="zh-CN"/>
        </w:rPr>
        <w:t xml:space="preserve">  </w:t>
      </w:r>
    </w:p>
    <w:p w14:paraId="356A4AF5">
      <w:pPr>
        <w:keepNext/>
        <w:spacing w:before="160" w:line="360" w:lineRule="auto"/>
      </w:pPr>
      <w:r>
        <w:rPr>
          <w:b/>
          <w:sz w:val="22"/>
        </w:rPr>
        <w:t>Archive, portal and API generation</w:t>
      </w:r>
    </w:p>
    <w:p w14:paraId="49CA65E1">
      <w:pPr>
        <w:spacing w:line="360" w:lineRule="auto"/>
        <w:ind w:firstLine="480" w:firstLineChars="200"/>
        <w:jc w:val="both"/>
        <w:rPr>
          <w:sz w:val="24"/>
          <w:szCs w:val="24"/>
        </w:rPr>
      </w:pPr>
      <w:r>
        <w:rPr>
          <w:sz w:val="24"/>
          <w:szCs w:val="24"/>
        </w:rPr>
        <w:t>CoupledMD is designed with three access layers. The stable archive is the citable data record and contains the full trajectories, topologies, structures, metadata, processed annotations, manifests, checksums, documentation and code snapshots. The web portal at www.coupledmd.cn provides interactive browsing, filtering, visualization and selected downloads. The REST API exposes metadata and processed records for programmatic reuse.</w:t>
      </w:r>
    </w:p>
    <w:p w14:paraId="74B35083">
      <w:pPr>
        <w:spacing w:line="360" w:lineRule="auto"/>
        <w:ind w:firstLine="480" w:firstLineChars="200"/>
        <w:jc w:val="both"/>
        <w:rPr>
          <w:sz w:val="24"/>
          <w:szCs w:val="24"/>
        </w:rPr>
      </w:pPr>
      <w:r>
        <w:rPr>
          <w:sz w:val="24"/>
          <w:szCs w:val="24"/>
        </w:rPr>
        <w:t>The portal is implemented as an access layer rather than as the authoritative archive; the manuscript and the website both point users to the final repository DOI or accession once that record is minted. An OpenAPI snapshot dated 2026-07-07 is present in the manuscript figure workspace and is refreshed at submission if the API changes.</w:t>
      </w:r>
    </w:p>
    <w:p w14:paraId="1E24A163">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Data Records</w:t>
      </w:r>
    </w:p>
    <w:p w14:paraId="7E5006BD">
      <w:pPr>
        <w:keepNext/>
        <w:spacing w:before="160" w:line="360" w:lineRule="auto"/>
      </w:pPr>
      <w:r>
        <w:rPr>
          <w:b/>
          <w:sz w:val="22"/>
        </w:rPr>
        <w:t>Dataset scope</w:t>
      </w:r>
    </w:p>
    <w:p w14:paraId="5F1F6E34">
      <w:pPr>
        <w:spacing w:line="360" w:lineRule="auto"/>
        <w:ind w:firstLine="480" w:firstLineChars="200"/>
        <w:jc w:val="both"/>
        <w:rPr>
          <w:sz w:val="24"/>
          <w:szCs w:val="24"/>
        </w:rPr>
      </w:pPr>
      <w:r>
        <w:rPr>
          <w:sz w:val="24"/>
          <w:szCs w:val="24"/>
        </w:rPr>
        <w:t>The clean-v1 release includes 208 GPCR/G-protein systems, 174 unique receptors and 312.0 µs of aggregate sampling. The cohort comprises 93 Gi/o systems, 67 Gs systems, 42 Gq/11 systems and 6 G12/13 systems; by GPCR class, the release contains 182 Class A and 26 Class B systems. All clean-v1 systems are represented by three 500 ns replicas in the metadata-level release definition.</w:t>
      </w:r>
    </w:p>
    <w:p w14:paraId="53D3B04F">
      <w:pPr>
        <w:spacing w:line="360" w:lineRule="auto"/>
        <w:ind w:firstLine="480" w:firstLineChars="200"/>
        <w:jc w:val="both"/>
        <w:rPr>
          <w:sz w:val="24"/>
          <w:szCs w:val="24"/>
        </w:rPr>
      </w:pPr>
      <w:r>
        <w:rPr>
          <w:sz w:val="24"/>
          <w:szCs w:val="24"/>
        </w:rPr>
        <w:t>The full designed inventory and the held-back systems are documented to make the release boundary transparent: the held-back cohort contains 14 systems and is excluded from the 208-system clean-v1 counts, figures and technical validation unless otherwise stated.</w:t>
      </w:r>
    </w:p>
    <w:p w14:paraId="7B1FA45B">
      <w:pPr>
        <w:keepNext/>
        <w:spacing w:before="160" w:line="360" w:lineRule="auto"/>
      </w:pPr>
      <w:r>
        <w:rPr>
          <w:b/>
          <w:sz w:val="22"/>
        </w:rPr>
        <w:t>Repository organization</w:t>
      </w:r>
    </w:p>
    <w:p w14:paraId="5B305E06">
      <w:pPr>
        <w:spacing w:line="360" w:lineRule="auto"/>
        <w:ind w:firstLine="480" w:firstLineChars="200"/>
        <w:jc w:val="both"/>
        <w:rPr>
          <w:rFonts w:hint="eastAsia" w:eastAsia="宋体"/>
          <w:sz w:val="24"/>
          <w:szCs w:val="24"/>
          <w:lang w:eastAsia="zh-CN"/>
        </w:rPr>
      </w:pPr>
      <w:r>
        <w:rPr>
          <w:sz w:val="24"/>
          <w:szCs w:val="24"/>
        </w:rPr>
        <w:t xml:space="preserve">The final archive uses the predictable hierarchy summarized in Main Table 2 and illustrated in </w:t>
      </w:r>
      <w:r>
        <w:rPr>
          <w:color w:val="0000FF"/>
          <w:sz w:val="24"/>
          <w:szCs w:val="24"/>
        </w:rPr>
        <w:t>Figure 2A</w:t>
      </w:r>
      <w:r>
        <w:rPr>
          <w:sz w:val="24"/>
          <w:szCs w:val="24"/>
        </w:rPr>
        <w:t xml:space="preserve">. The submitted archive contains final file sizes and SHA-256 checksums; current metadata-derived manifest tables are useful for manuscript drafting but are replaced or confirmed against the frozen archive before submission. </w:t>
      </w:r>
      <w:r>
        <w:rPr>
          <w:color w:val="0000FF"/>
          <w:sz w:val="24"/>
          <w:szCs w:val="24"/>
        </w:rPr>
        <w:t>Figure 2</w:t>
      </w:r>
      <w:r>
        <w:rPr>
          <w:sz w:val="24"/>
          <w:szCs w:val="24"/>
        </w:rPr>
        <w:t xml:space="preserve"> also summarizes the per-system metadata schema and the archive-first access model linking the stable repository, web portal and REST API.</w:t>
      </w:r>
      <w:r>
        <w:rPr>
          <w:rFonts w:hint="eastAsia" w:eastAsia="宋体"/>
          <w:sz w:val="24"/>
          <w:szCs w:val="24"/>
          <w:lang w:eastAsia="zh-CN"/>
        </w:rPr>
        <w:t xml:space="preserve"> </w:t>
      </w:r>
      <w:r>
        <w:rPr>
          <w:color w:val="0000FF"/>
          <w:sz w:val="24"/>
          <w:szCs w:val="24"/>
        </w:rPr>
        <w:t>Supplementary Figure S2</w:t>
      </w:r>
      <w:r>
        <w:rPr>
          <w:sz w:val="24"/>
          <w:szCs w:val="24"/>
        </w:rPr>
        <w:t xml:space="preserve"> provides an expanded portal, archive and API coverage view.</w:t>
      </w:r>
    </w:p>
    <w:p w14:paraId="16C5F14F">
      <w:pPr>
        <w:spacing w:line="360" w:lineRule="auto"/>
        <w:ind w:firstLine="480" w:firstLineChars="200"/>
        <w:jc w:val="both"/>
        <w:rPr>
          <w:sz w:val="24"/>
          <w:szCs w:val="24"/>
        </w:rPr>
      </w:pPr>
      <w:r>
        <w:t>Figure 2 is included to explain how the data product is organized and how a reader should move through it. We therefore show the archive hierarchy in panel A, the per-system metadata logic in panel B, the archive-first access relationship in panel C, and the practical portal/API route in panel D through search, filters, structure viewing, download actions and API entry points. The figure makes clear that CoupledMD is not only a collection of trajectories but a structured resource with a stable archival core and lighter access layers, which is important for readers deciding whether they need reproducible archive files, processed metadata, or rapid web-based inspection.</w:t>
      </w:r>
    </w:p>
    <w:p w14:paraId="42D4170F">
      <w:pPr>
        <w:spacing w:line="360" w:lineRule="auto"/>
        <w:jc w:val="both"/>
        <w:rPr>
          <w:rFonts w:hint="eastAsia" w:eastAsia="宋体"/>
          <w:sz w:val="24"/>
          <w:szCs w:val="24"/>
          <w:lang w:eastAsia="zh-CN"/>
        </w:rPr>
      </w:pPr>
    </w:p>
    <w:p w14:paraId="4C2C93B9">
      <w:pPr>
        <w:spacing w:before="40" w:after="160" w:line="360" w:lineRule="auto"/>
      </w:pPr>
      <w:r>
        <w:rPr>
          <w:b/>
          <w:sz w:val="18"/>
        </w:rPr>
        <w:t xml:space="preserve">Table 1. Repository organization of the CoupledMD clean-v1 archive. </w:t>
      </w:r>
      <w:r>
        <w:rPr>
          <w:i/>
          <w:sz w:val="18"/>
        </w:rPr>
        <w:t>Authoritative file-hierarchy for the stable archive. Paths are illustrative; the submitted archive contains the frozen layout with final sizes and SHA-256 checksums.</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75"/>
        <w:gridCol w:w="3515"/>
        <w:gridCol w:w="2608"/>
      </w:tblGrid>
      <w:tr w14:paraId="4FCEF4F8">
        <w:trPr>
          <w:jc w:val="center"/>
        </w:trPr>
        <w:tc>
          <w:tcPr>
            <w:tcW w:w="3175"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52C0881">
            <w:pPr>
              <w:spacing w:before="0" w:line="360" w:lineRule="auto"/>
              <w:jc w:val="center"/>
              <w:rPr>
                <w:rFonts w:eastAsiaTheme="majorEastAsia" w:cstheme="majorBidi"/>
                <w:b/>
                <w:bCs/>
              </w:rPr>
            </w:pPr>
            <w:r>
              <w:rPr>
                <w:rFonts w:eastAsiaTheme="majorEastAsia" w:cstheme="majorBidi"/>
                <w:b/>
                <w:bCs/>
                <w:sz w:val="18"/>
              </w:rPr>
              <w:t>Path</w:t>
            </w:r>
          </w:p>
        </w:tc>
        <w:tc>
          <w:tcPr>
            <w:tcW w:w="3515"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54F3712">
            <w:pPr>
              <w:spacing w:before="0" w:line="360" w:lineRule="auto"/>
              <w:jc w:val="center"/>
              <w:rPr>
                <w:rFonts w:eastAsiaTheme="majorEastAsia" w:cstheme="majorBidi"/>
                <w:b/>
                <w:bCs/>
              </w:rPr>
            </w:pPr>
            <w:r>
              <w:rPr>
                <w:rFonts w:eastAsiaTheme="majorEastAsia" w:cstheme="majorBidi"/>
                <w:b/>
                <w:bCs/>
                <w:sz w:val="18"/>
              </w:rPr>
              <w:t>Contents</w:t>
            </w:r>
          </w:p>
        </w:tc>
        <w:tc>
          <w:tcPr>
            <w:tcW w:w="2608"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2B009132">
            <w:pPr>
              <w:spacing w:before="0" w:line="360" w:lineRule="auto"/>
              <w:jc w:val="center"/>
              <w:rPr>
                <w:rFonts w:eastAsiaTheme="majorEastAsia" w:cstheme="majorBidi"/>
                <w:b/>
                <w:bCs/>
              </w:rPr>
            </w:pPr>
            <w:r>
              <w:rPr>
                <w:rFonts w:eastAsiaTheme="majorEastAsia" w:cstheme="majorBidi"/>
                <w:b/>
                <w:bCs/>
                <w:sz w:val="18"/>
              </w:rPr>
              <w:t>Manuscript use</w:t>
            </w:r>
          </w:p>
        </w:tc>
      </w:tr>
      <w:tr w14:paraId="4186C28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198A4B6">
            <w:pPr>
              <w:spacing w:line="360" w:lineRule="auto"/>
              <w:rPr>
                <w:rFonts w:eastAsiaTheme="majorEastAsia" w:cstheme="majorBidi"/>
                <w:b/>
                <w:bCs/>
              </w:rPr>
            </w:pPr>
            <w:r>
              <w:rPr>
                <w:rFonts w:eastAsiaTheme="majorEastAsia" w:cstheme="majorBidi"/>
                <w:b/>
                <w:bCs/>
                <w:sz w:val="18"/>
              </w:rPr>
              <w:t>manifest/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7F3B30E">
            <w:pPr>
              <w:spacing w:line="360" w:lineRule="auto"/>
            </w:pPr>
            <w:r>
              <w:rPr>
                <w:sz w:val="18"/>
              </w:rPr>
              <w:t>Dataset-level file manifest, version, checksums and archive index</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29113B">
            <w:pPr>
              <w:spacing w:line="360" w:lineRule="auto"/>
            </w:pPr>
            <w:r>
              <w:rPr>
                <w:sz w:val="18"/>
              </w:rPr>
              <w:t>Main archive; required before submission</w:t>
            </w:r>
          </w:p>
        </w:tc>
      </w:tr>
      <w:tr w14:paraId="4A26A951">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9E264F3">
            <w:pPr>
              <w:spacing w:line="360" w:lineRule="auto"/>
              <w:rPr>
                <w:rFonts w:eastAsiaTheme="majorEastAsia" w:cstheme="majorBidi"/>
                <w:b/>
                <w:bCs/>
              </w:rPr>
            </w:pPr>
            <w:r>
              <w:rPr>
                <w:rFonts w:eastAsiaTheme="majorEastAsia" w:cstheme="majorBidi"/>
                <w:b/>
                <w:bCs/>
                <w:sz w:val="18"/>
              </w:rPr>
              <w:t>metadata/systems.csv</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D47B44A">
            <w:pPr>
              <w:spacing w:line="360" w:lineRule="auto"/>
            </w:pPr>
            <w:r>
              <w:rPr>
                <w:sz w:val="18"/>
              </w:rPr>
              <w:t>Per-system metadata for included clean-v1 systems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2DC57F2">
            <w:pPr>
              <w:spacing w:line="360" w:lineRule="auto"/>
            </w:pPr>
            <w:r>
              <w:rPr>
                <w:sz w:val="18"/>
              </w:rPr>
              <w:t>Clean-v1 inventory</w:t>
            </w:r>
          </w:p>
        </w:tc>
      </w:tr>
      <w:tr w14:paraId="79797D3F">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83A706D">
            <w:pPr>
              <w:spacing w:line="360" w:lineRule="auto"/>
              <w:rPr>
                <w:rFonts w:eastAsiaTheme="majorEastAsia" w:cstheme="majorBidi"/>
                <w:b/>
                <w:bCs/>
              </w:rPr>
            </w:pPr>
            <w:r>
              <w:rPr>
                <w:rFonts w:eastAsiaTheme="majorEastAsia" w:cstheme="majorBidi"/>
                <w:b/>
                <w:bCs/>
                <w:sz w:val="18"/>
              </w:rPr>
              <w:t>metadata/held_back_systems.csv</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4F7E3F0">
            <w:pPr>
              <w:spacing w:line="360" w:lineRule="auto"/>
            </w:pPr>
            <w:r>
              <w:rPr>
                <w:sz w:val="18"/>
              </w:rPr>
              <w:t>Systems excluded from the initial release with reasons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4F0159A">
            <w:pPr>
              <w:spacing w:line="360" w:lineRule="auto"/>
            </w:pPr>
            <w:r>
              <w:rPr>
                <w:sz w:val="18"/>
              </w:rPr>
              <w:t>Supplementary transparency table</w:t>
            </w:r>
          </w:p>
        </w:tc>
      </w:tr>
      <w:tr w14:paraId="3B9FE373">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4C6E4F4">
            <w:pPr>
              <w:spacing w:line="360" w:lineRule="auto"/>
              <w:rPr>
                <w:rFonts w:eastAsiaTheme="majorEastAsia" w:cstheme="majorBidi"/>
                <w:b/>
                <w:bCs/>
              </w:rPr>
            </w:pPr>
            <w:r>
              <w:rPr>
                <w:rFonts w:eastAsiaTheme="majorEastAsia" w:cstheme="majorBidi"/>
                <w:b/>
                <w:bCs/>
                <w:sz w:val="18"/>
              </w:rPr>
              <w:t>systems/&lt;system_id&gt;/metadata.json</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D4A4347">
            <w:pPr>
              <w:spacing w:line="360" w:lineRule="auto"/>
            </w:pPr>
            <w:r>
              <w:rPr>
                <w:sz w:val="18"/>
              </w:rPr>
              <w:t>System, receptor, G-protein, ligand, source and QC fields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503BE14">
            <w:pPr>
              <w:spacing w:line="360" w:lineRule="auto"/>
            </w:pPr>
            <w:r>
              <w:rPr>
                <w:sz w:val="18"/>
              </w:rPr>
              <w:t>One record per included system</w:t>
            </w:r>
          </w:p>
        </w:tc>
      </w:tr>
      <w:tr w14:paraId="19F0FC04">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FE598FA">
            <w:pPr>
              <w:spacing w:line="360" w:lineRule="auto"/>
              <w:rPr>
                <w:rFonts w:eastAsiaTheme="majorEastAsia" w:cstheme="majorBidi"/>
                <w:b/>
                <w:bCs/>
              </w:rPr>
            </w:pPr>
            <w:r>
              <w:rPr>
                <w:rFonts w:eastAsiaTheme="majorEastAsia" w:cstheme="majorBidi"/>
                <w:b/>
                <w:bCs/>
                <w:sz w:val="18"/>
              </w:rPr>
              <w:t>systems/&lt;system_id&gt;/topology/</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62AA5BC">
            <w:pPr>
              <w:spacing w:line="360" w:lineRule="auto"/>
            </w:pPr>
            <w:r>
              <w:rPr>
                <w:sz w:val="18"/>
              </w:rPr>
              <w:t>Prepared structures and topology/parameter files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24DAF6">
            <w:pPr>
              <w:spacing w:line="360" w:lineRule="auto"/>
            </w:pPr>
            <w:r>
              <w:rPr>
                <w:sz w:val="18"/>
              </w:rPr>
              <w:t>Archive record</w:t>
            </w:r>
          </w:p>
        </w:tc>
      </w:tr>
      <w:tr w14:paraId="74AA2F95">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D00E777">
            <w:pPr>
              <w:spacing w:line="360" w:lineRule="auto"/>
              <w:rPr>
                <w:rFonts w:eastAsiaTheme="majorEastAsia" w:cstheme="majorBidi"/>
                <w:b/>
                <w:bCs/>
              </w:rPr>
            </w:pPr>
            <w:r>
              <w:rPr>
                <w:rFonts w:eastAsiaTheme="majorEastAsia" w:cstheme="majorBidi"/>
                <w:b/>
                <w:bCs/>
                <w:sz w:val="18"/>
              </w:rPr>
              <w:t>systems/&lt;system_id&gt;/trajectories/rep</w:t>
            </w:r>
            <w:r>
              <w:rPr>
                <w:rFonts w:hint="eastAsia" w:eastAsia="宋体" w:cstheme="majorBidi"/>
                <w:b/>
                <w:bCs/>
                <w:sz w:val="18"/>
                <w:lang w:eastAsia="zh-CN"/>
              </w:rPr>
              <w:t>1,2,3</w:t>
            </w:r>
            <w:r>
              <w:rPr>
                <w:rFonts w:eastAsiaTheme="majorEastAsia" w:cstheme="majorBidi"/>
                <w:b/>
                <w:bCs/>
                <w:sz w:val="18"/>
              </w:rPr>
              <w: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6BC9B0B">
            <w:pPr>
              <w:spacing w:line="360" w:lineRule="auto"/>
            </w:pPr>
            <w:r>
              <w:rPr>
                <w:sz w:val="18"/>
              </w:rPr>
              <w:t>Full production trajectories for each replica</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C94D487">
            <w:pPr>
              <w:spacing w:line="360" w:lineRule="auto"/>
            </w:pPr>
            <w:r>
              <w:rPr>
                <w:sz w:val="18"/>
              </w:rPr>
              <w:t>Stable repository record</w:t>
            </w:r>
          </w:p>
        </w:tc>
      </w:tr>
      <w:tr w14:paraId="59B3804E">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FF060BD">
            <w:pPr>
              <w:spacing w:line="360" w:lineRule="auto"/>
              <w:rPr>
                <w:rFonts w:eastAsiaTheme="majorEastAsia" w:cstheme="majorBidi"/>
                <w:b/>
                <w:bCs/>
              </w:rPr>
            </w:pPr>
            <w:r>
              <w:rPr>
                <w:rFonts w:eastAsiaTheme="majorEastAsia" w:cstheme="majorBidi"/>
                <w:b/>
                <w:bCs/>
                <w:sz w:val="18"/>
              </w:rPr>
              <w:t>systems/&lt;system_id&gt;/reduced/</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3BC0503">
            <w:pPr>
              <w:spacing w:line="360" w:lineRule="auto"/>
            </w:pPr>
            <w:r>
              <w:rPr>
                <w:sz w:val="18"/>
              </w:rPr>
              <w:t>Aligned or strided trajectories for visualization and rapid reuse</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F18E91A">
            <w:pPr>
              <w:spacing w:line="360" w:lineRule="auto"/>
            </w:pPr>
            <w:r>
              <w:rPr>
                <w:sz w:val="18"/>
              </w:rPr>
              <w:t>Web/API and archive record</w:t>
            </w:r>
          </w:p>
        </w:tc>
      </w:tr>
      <w:tr w14:paraId="3DBD314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64E25D3">
            <w:pPr>
              <w:spacing w:line="360" w:lineRule="auto"/>
              <w:rPr>
                <w:rFonts w:eastAsiaTheme="majorEastAsia" w:cstheme="majorBidi"/>
                <w:b/>
                <w:bCs/>
              </w:rPr>
            </w:pPr>
            <w:r>
              <w:rPr>
                <w:rFonts w:eastAsiaTheme="majorEastAsia" w:cstheme="majorBidi"/>
                <w:b/>
                <w:bCs/>
                <w:sz w:val="18"/>
              </w:rPr>
              <w:t>systems/&lt;system_id&gt;/features/</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F0DE24D">
            <w:pPr>
              <w:spacing w:line="360" w:lineRule="auto"/>
            </w:pPr>
            <w:r>
              <w:rPr>
                <w:sz w:val="18"/>
              </w:rPr>
              <w:t>Derived feature summaries as available</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2AF64DD">
            <w:pPr>
              <w:spacing w:line="360" w:lineRule="auto"/>
            </w:pPr>
            <w:r>
              <w:rPr>
                <w:sz w:val="18"/>
              </w:rPr>
              <w:t>Processed analysis layer</w:t>
            </w:r>
          </w:p>
        </w:tc>
      </w:tr>
      <w:tr w14:paraId="009326BA">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E192799">
            <w:pPr>
              <w:spacing w:line="360" w:lineRule="auto"/>
              <w:rPr>
                <w:rFonts w:eastAsiaTheme="majorEastAsia" w:cstheme="majorBidi"/>
                <w:b/>
                <w:bCs/>
              </w:rPr>
            </w:pPr>
            <w:r>
              <w:rPr>
                <w:rFonts w:eastAsiaTheme="majorEastAsia" w:cstheme="majorBidi"/>
                <w:b/>
                <w:bCs/>
                <w:sz w:val="18"/>
              </w:rPr>
              <w:t>systems/&lt;system_id&gt;/pocket/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10DD24">
            <w:pPr>
              <w:spacing w:line="360" w:lineRule="auto"/>
            </w:pPr>
            <w:r>
              <w:rPr>
                <w:sz w:val="18"/>
              </w:rPr>
              <w:t>Pocket outputs, orthosteric summaries and GPCRdb-mapped records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008FA3">
            <w:pPr>
              <w:spacing w:line="360" w:lineRule="auto"/>
            </w:pPr>
            <w:r>
              <w:rPr>
                <w:sz w:val="18"/>
              </w:rPr>
              <w:t>Validation and reuse layer</w:t>
            </w:r>
          </w:p>
        </w:tc>
      </w:tr>
      <w:tr w14:paraId="4142851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415E20">
            <w:pPr>
              <w:spacing w:line="360" w:lineRule="auto"/>
              <w:rPr>
                <w:rFonts w:eastAsiaTheme="majorEastAsia" w:cstheme="majorBidi"/>
                <w:b/>
                <w:bCs/>
              </w:rPr>
            </w:pPr>
            <w:r>
              <w:rPr>
                <w:rFonts w:eastAsiaTheme="majorEastAsia" w:cstheme="majorBidi"/>
                <w:b/>
                <w:bCs/>
                <w:sz w:val="18"/>
              </w:rPr>
              <w:t>systems/&lt;system_id&gt;/qc/</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EC4C013">
            <w:pPr>
              <w:spacing w:line="360" w:lineRule="auto"/>
            </w:pPr>
            <w:r>
              <w:rPr>
                <w:sz w:val="18"/>
              </w:rPr>
              <w:t>Completeness, frame counts, PBC status and file-integrity checks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098511">
            <w:pPr>
              <w:spacing w:line="360" w:lineRule="auto"/>
            </w:pPr>
            <w:r>
              <w:rPr>
                <w:sz w:val="18"/>
              </w:rPr>
              <w:t>Technical validation</w:t>
            </w:r>
          </w:p>
        </w:tc>
      </w:tr>
      <w:tr w14:paraId="437E0936">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F97C42">
            <w:pPr>
              <w:spacing w:line="360" w:lineRule="auto"/>
              <w:rPr>
                <w:rFonts w:eastAsiaTheme="majorEastAsia" w:cstheme="majorBidi"/>
                <w:b/>
                <w:bCs/>
              </w:rPr>
            </w:pPr>
            <w:r>
              <w:rPr>
                <w:rFonts w:eastAsiaTheme="majorEastAsia" w:cstheme="majorBidi"/>
                <w:b/>
                <w:bCs/>
                <w:sz w:val="18"/>
              </w:rPr>
              <w:t>code/</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120B7D6">
            <w:pPr>
              <w:spacing w:line="360" w:lineRule="auto"/>
            </w:pPr>
            <w:r>
              <w:rPr>
                <w:sz w:val="18"/>
              </w:rPr>
              <w:t>Processing scripts, notebooks and figure/table generation scripts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3947A3">
            <w:pPr>
              <w:spacing w:line="360" w:lineRule="auto"/>
            </w:pPr>
            <w:r>
              <w:rPr>
                <w:sz w:val="18"/>
              </w:rPr>
              <w:t>Code availability</w:t>
            </w:r>
          </w:p>
        </w:tc>
      </w:tr>
      <w:tr w14:paraId="7E216895">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5344404">
            <w:pPr>
              <w:spacing w:line="360" w:lineRule="auto"/>
              <w:rPr>
                <w:rFonts w:eastAsiaTheme="majorEastAsia" w:cstheme="majorBidi"/>
                <w:b/>
                <w:bCs/>
              </w:rPr>
            </w:pPr>
            <w:r>
              <w:rPr>
                <w:rFonts w:eastAsiaTheme="majorEastAsia" w:cstheme="majorBidi"/>
                <w:b/>
                <w:bCs/>
                <w:sz w:val="18"/>
              </w:rPr>
              <w:t>web_api_snapshot/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12240C4">
            <w:pPr>
              <w:spacing w:line="360" w:lineRule="auto"/>
            </w:pPr>
            <w:r>
              <w:rPr>
                <w:sz w:val="18"/>
              </w:rPr>
              <w:t>OpenAPI schema and selected JSON endpoint snapshots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A1B8DF3">
            <w:pPr>
              <w:spacing w:line="360" w:lineRule="auto"/>
            </w:pPr>
            <w:r>
              <w:rPr>
                <w:sz w:val="18"/>
              </w:rPr>
              <w:t>Portal/API documentation</w:t>
            </w:r>
          </w:p>
        </w:tc>
      </w:tr>
    </w:tbl>
    <w:p w14:paraId="62B61D01">
      <w:pPr>
        <w:keepNext/>
        <w:spacing w:before="160" w:line="360" w:lineRule="auto"/>
      </w:pPr>
      <w:r>
        <w:rPr>
          <w:b/>
          <w:sz w:val="22"/>
        </w:rPr>
        <w:t>Metadata dictionary</w:t>
      </w:r>
    </w:p>
    <w:p w14:paraId="7F839962">
      <w:pPr>
        <w:spacing w:line="360" w:lineRule="auto"/>
        <w:ind w:firstLine="480" w:firstLineChars="200"/>
        <w:jc w:val="both"/>
        <w:rPr>
          <w:sz w:val="24"/>
          <w:szCs w:val="24"/>
        </w:rPr>
      </w:pPr>
      <w:r>
        <w:rPr>
          <w:sz w:val="24"/>
          <w:szCs w:val="24"/>
        </w:rPr>
        <w:t>The primary metadata record includes system_id, pdb_id, receptor_name, receptor_uniprot, receptor_gene, gpcr_class, gpcrdb_id where available, g_protein_family, g_alpha_subtype, ligand_name, ligand_chem_id, state, source_pdb, n_replicas, length_per_replica_ns, total_sampling_ns, force_field, lipid_composition, trajectory_path, topology_path, qc_status, qc_reason, traj_sha256 and topo_sha256. Units are stated for all numeric fields (ns for simulation length, bytes for file size); enumerated fields such as GPCR class, G-protein family and QC status use controlled vocabularies.</w:t>
      </w:r>
    </w:p>
    <w:p w14:paraId="76A045A0">
      <w:pPr>
        <w:spacing w:line="360" w:lineRule="auto"/>
        <w:ind w:firstLine="480" w:firstLineChars="200"/>
        <w:jc w:val="both"/>
        <w:rPr>
          <w:sz w:val="24"/>
          <w:szCs w:val="24"/>
        </w:rPr>
      </w:pPr>
      <w:r>
        <w:rPr>
          <w:sz w:val="24"/>
          <w:szCs w:val="24"/>
        </w:rPr>
        <w:t>Table 3 is the authoritative metadata dictionary. Field names in the paper, repository metadata, API records and portal display are synchronized before submission.</w:t>
      </w:r>
    </w:p>
    <w:p w14:paraId="7D9C033B">
      <w:pPr>
        <w:keepNext/>
        <w:spacing w:before="160" w:line="360" w:lineRule="auto"/>
      </w:pPr>
      <w:r>
        <w:rPr>
          <w:b/>
          <w:sz w:val="22"/>
        </w:rPr>
        <w:t>Portal and API records</w:t>
      </w:r>
    </w:p>
    <w:p w14:paraId="6534F53A">
      <w:pPr>
        <w:spacing w:line="360" w:lineRule="auto"/>
        <w:ind w:firstLine="480" w:firstLineChars="200"/>
        <w:jc w:val="both"/>
        <w:rPr>
          <w:sz w:val="24"/>
          <w:szCs w:val="24"/>
        </w:rPr>
      </w:pPr>
      <w:r>
        <w:rPr>
          <w:sz w:val="24"/>
          <w:szCs w:val="24"/>
        </w:rPr>
        <w:t>The web portal at www.coupledmd.cn supports interactive access to the release through system browsing, filtering, per-system pages, reduced-trajectory visualization and downloads</w:t>
      </w:r>
      <w:r>
        <w:rPr>
          <w:sz w:val="24"/>
          <w:szCs w:val="24"/>
        </w:rPr>
        <w:fldChar w:fldCharType="begin"/>
      </w:r>
      <w:r>
        <w:rPr>
          <w:sz w:val="24"/>
          <w:szCs w:val="24"/>
        </w:rPr>
        <w:instrText xml:space="preserve"> ADDIN EN.CITE &lt;EndNote&gt;&lt;Cite&gt;&lt;Author&gt;Rose&lt;/Author&gt;&lt;Year&gt;2018&lt;/Year&gt;&lt;RecNum&gt;1986&lt;/RecNum&gt;&lt;DisplayText&gt;&lt;style face="superscript"&gt;13&lt;/style&gt;&lt;/DisplayText&gt;&lt;record&gt;&lt;rec-number&gt;1986&lt;/rec-number&gt;&lt;foreign-keys&gt;&lt;key app="EN" db-id="dftpt9a5ep2a0wev9prvz597dsf0vwptfxes" timestamp="1783429455"&gt;1986&lt;/key&gt;&lt;/foreign-keys&gt;&lt;ref-type name="Journal Article"&gt;17&lt;/ref-type&gt;&lt;contributors&gt;&lt;authors&gt;&lt;author&gt;Rose, Alexander S.&lt;/author&gt;&lt;author&gt;Bradley, Anthony R.&lt;/author&gt;&lt;author&gt;Valasatava, Yana&lt;/author&gt;&lt;author&gt;Duarte, Jose M.&lt;/author&gt;&lt;author&gt;Prlić, Andreas&lt;/author&gt;&lt;author&gt;Rose, Peter W.&lt;/author&gt;&lt;/authors&gt;&lt;/contributors&gt;&lt;titles&gt;&lt;title&gt;NGL viewer: web-based molecular graphics for large complexes&lt;/title&gt;&lt;secondary-title&gt;Bioinformatics&lt;/secondary-title&gt;&lt;/titles&gt;&lt;periodical&gt;&lt;full-title&gt;Bioinformatics&lt;/full-title&gt;&lt;abbr-1&gt;Bioinformatics&lt;/abbr-1&gt;&lt;abbr-2&gt;Bioinformatics&lt;/abbr-2&gt;&lt;/periodical&gt;&lt;pages&gt;3755-3758&lt;/pages&gt;&lt;volume&gt;34&lt;/volume&gt;&lt;number&gt;21&lt;/number&gt;&lt;dates&gt;&lt;year&gt;2018&lt;/year&gt;&lt;/dates&gt;&lt;isbn&gt;1367-4803&lt;/isbn&gt;&lt;urls&gt;&lt;related-urls&gt;&lt;url&gt;https://doi.org/10.1093/bioinformatics/bty419&lt;/url&gt;&lt;/related-urls&gt;&lt;/urls&gt;&lt;electronic-resource-num&gt;10.1093/bioinformatics/bty419&lt;/electronic-resource-num&gt;&lt;access-date&gt;7/7/2026&lt;/access-date&gt;&lt;/record&gt;&lt;/Cite&gt;&lt;/EndNote&gt;</w:instrText>
      </w:r>
      <w:r>
        <w:rPr>
          <w:sz w:val="24"/>
          <w:szCs w:val="24"/>
        </w:rPr>
        <w:fldChar w:fldCharType="separate"/>
      </w:r>
      <w:r>
        <w:rPr>
          <w:sz w:val="24"/>
          <w:szCs w:val="24"/>
          <w:vertAlign w:val="superscript"/>
        </w:rPr>
        <w:t>13</w:t>
      </w:r>
      <w:r>
        <w:rPr>
          <w:sz w:val="24"/>
          <w:szCs w:val="24"/>
        </w:rPr>
        <w:fldChar w:fldCharType="end"/>
      </w:r>
      <w:r>
        <w:rPr>
          <w:sz w:val="24"/>
          <w:szCs w:val="24"/>
        </w:rPr>
        <w:t>. The REST API exposes versioned records under /api/v1/, including system lists, per-system metadata, pocket records, gateway records, G-protein records, visualization metadata, reduced structures, reduced trajectories, citation metadata and licence metadata. API documentation is provided through interactive documentation pages and the OpenAPI schema.</w:t>
      </w:r>
    </w:p>
    <w:p w14:paraId="3BB0A995">
      <w:pPr>
        <w:spacing w:line="360" w:lineRule="auto"/>
        <w:ind w:firstLine="480" w:firstLineChars="200"/>
        <w:jc w:val="both"/>
        <w:rPr>
          <w:sz w:val="24"/>
          <w:szCs w:val="24"/>
        </w:rPr>
      </w:pPr>
      <w:r>
        <w:rPr>
          <w:sz w:val="24"/>
          <w:szCs w:val="24"/>
        </w:rPr>
        <w:t>At the time of this draft, the portal/API manifest summary contains 2,080 records across 208 systems, with 1,247 checksums computed and 833 pending for binary or large files. Record-level availability is complete for gateway, G-protein, index, pocket, chain-role and visualization records for all 208 systems; one api_pockets_gpcrdb record and one contacts record are currently missing and are addressed before submission.</w:t>
      </w:r>
    </w:p>
    <w:p w14:paraId="0366881B">
      <w:pPr>
        <w:spacing w:line="360" w:lineRule="auto"/>
        <w:ind w:firstLine="480" w:firstLineChars="200"/>
        <w:jc w:val="both"/>
        <w:rPr>
          <w:sz w:val="24"/>
          <w:szCs w:val="24"/>
        </w:rPr>
      </w:pPr>
      <w:r>
        <w:rPr>
          <w:sz w:val="24"/>
          <w:szCs w:val="24"/>
        </w:rPr>
        <w:t>The portal is a usability and access layer. The archive DOI or accession listed in Data Availability is the stable record for citation and long-term reuse.</w:t>
      </w:r>
    </w:p>
    <w:p w14:paraId="0F803885">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Technical Validation</w:t>
      </w:r>
    </w:p>
    <w:p w14:paraId="45050F72">
      <w:pPr>
        <w:keepNext/>
        <w:spacing w:before="160" w:line="360" w:lineRule="auto"/>
      </w:pPr>
      <w:r>
        <w:rPr>
          <w:b/>
          <w:sz w:val="22"/>
        </w:rPr>
        <w:t>Clean-v1 release gate and held-back transparency</w:t>
      </w:r>
    </w:p>
    <w:p w14:paraId="6E2E6D0A">
      <w:pPr>
        <w:spacing w:line="360" w:lineRule="auto"/>
        <w:ind w:firstLine="480" w:firstLineChars="200"/>
        <w:jc w:val="both"/>
        <w:rPr>
          <w:sz w:val="24"/>
          <w:szCs w:val="24"/>
        </w:rPr>
      </w:pPr>
      <w:r>
        <w:rPr>
          <w:sz w:val="24"/>
          <w:szCs w:val="24"/>
        </w:rPr>
        <w:t xml:space="preserve">The clean-v1 cohort was defined by applying conservative inclusion gates to the 222-system designed inventory. All 208 included systems passed metadata-level checks for the 3 × 500 ns release definition and for the presence of trajectory and topology paths. The 14 held-back systems are listed with reasons in </w:t>
      </w:r>
      <w:r>
        <w:rPr>
          <w:color w:val="0000FF"/>
          <w:sz w:val="24"/>
          <w:szCs w:val="24"/>
        </w:rPr>
        <w:t>Supplementary Table S2</w:t>
      </w:r>
      <w:r>
        <w:rPr>
          <w:sz w:val="24"/>
          <w:szCs w:val="24"/>
        </w:rPr>
        <w:t>; held-back categories include nonstandard length, nonstandard replica count, temporary or incomplete source-file flags, missing processed outputs and source records requiring verification or rerun. This reporting follows the same transparency principle used by database-style Data Descriptors: release failures and exclusions are documented rather than hidden, and held-back systems are not used to inflate clean-v1 counts or aggregate sampling.</w:t>
      </w:r>
    </w:p>
    <w:p w14:paraId="061A16AB">
      <w:pPr>
        <w:keepNext/>
        <w:spacing w:before="160" w:line="360" w:lineRule="auto"/>
      </w:pPr>
      <w:r>
        <w:rPr>
          <w:b/>
          <w:sz w:val="22"/>
        </w:rPr>
        <w:t>Orthosteric-pocket recovery validation</w:t>
      </w:r>
    </w:p>
    <w:p w14:paraId="470DFD82">
      <w:pPr>
        <w:spacing w:line="360" w:lineRule="auto"/>
        <w:ind w:firstLine="480" w:firstLineChars="200"/>
        <w:jc w:val="both"/>
        <w:rPr>
          <w:rFonts w:eastAsia="宋体"/>
          <w:sz w:val="24"/>
          <w:szCs w:val="24"/>
          <w:lang w:eastAsia="zh-CN"/>
        </w:rPr>
      </w:pPr>
      <w:r>
        <w:rPr>
          <w:sz w:val="24"/>
          <w:szCs w:val="24"/>
        </w:rPr>
        <w:t>Pocket records were available for 206 of 208 included systems. Orthosteric-pocket recovery at the 0.85 frequency threshold was observed in 156 of the 206 systems with pocket outputs. Family-level recovery was 66 of 91 Gi/o systems with pocket outputs (72.5%), 51 of 67 Gs systems (76.1%), 35 of 42 Gq/11 systems (83.3%) and 4 of 6 G12/13 systems (66.7%). By ligand annotation, recovery was 92 of 97 small-molecule systems with pocket outputs (94.8%) and 64 of 75 peptide systems (85.3%); systems annotated as having no ligand were not expected to recover an orthosteric ligand pocket under this validation definition.</w:t>
      </w:r>
      <w:r>
        <w:rPr>
          <w:rFonts w:hint="eastAsia" w:eastAsia="宋体"/>
          <w:sz w:val="24"/>
          <w:szCs w:val="24"/>
          <w:lang w:eastAsia="zh-CN"/>
        </w:rPr>
        <w:t xml:space="preserve"> </w:t>
      </w:r>
      <w:r>
        <w:rPr>
          <w:color w:val="0000FF"/>
          <w:sz w:val="24"/>
          <w:szCs w:val="24"/>
        </w:rPr>
        <w:t>Figure 3A</w:t>
      </w:r>
      <w:r>
        <w:rPr>
          <w:sz w:val="24"/>
          <w:szCs w:val="24"/>
        </w:rPr>
        <w:t xml:space="preserve"> reports the per-system recovery distribution and the 0.85 threshold.</w:t>
      </w:r>
    </w:p>
    <w:p w14:paraId="1C5DCBD0">
      <w:pPr>
        <w:spacing w:line="360" w:lineRule="auto"/>
        <w:ind w:firstLine="480" w:firstLineChars="200"/>
        <w:jc w:val="both"/>
        <w:rPr>
          <w:sz w:val="24"/>
          <w:szCs w:val="24"/>
        </w:rPr>
      </w:pPr>
      <w:r>
        <w:rPr>
          <w:sz w:val="24"/>
          <w:szCs w:val="24"/>
        </w:rPr>
        <w:t>This validation demonstrates the recovery of expected ligand-accessible structural features and the consistency of the pocket annotation pipeline. It is not interpreted as a mechanistic result and is not used as experimental validation of druggability.</w:t>
      </w:r>
    </w:p>
    <w:p w14:paraId="5560A5AE">
      <w:pPr>
        <w:keepNext/>
        <w:spacing w:before="160" w:line="360" w:lineRule="auto"/>
      </w:pPr>
      <w:r>
        <w:rPr>
          <w:b/>
          <w:sz w:val="22"/>
        </w:rPr>
        <w:t>Pocket-count distributions</w:t>
      </w:r>
    </w:p>
    <w:p w14:paraId="34447EC5">
      <w:pPr>
        <w:spacing w:line="360" w:lineRule="auto"/>
        <w:ind w:firstLine="480" w:firstLineChars="200"/>
        <w:jc w:val="both"/>
        <w:rPr>
          <w:rFonts w:hint="eastAsia" w:eastAsia="宋体"/>
          <w:sz w:val="24"/>
          <w:szCs w:val="24"/>
          <w:lang w:eastAsia="zh-CN"/>
        </w:rPr>
      </w:pPr>
      <w:r>
        <w:rPr>
          <w:sz w:val="24"/>
          <w:szCs w:val="24"/>
        </w:rPr>
        <w:t>The per-system number of detected pockets provides an additional technical check on the derived annotation layer. Across families, median pocket counts were 10 for Gi/o, 11 for Gs, 11 for Gq/11 and 10.5 for G12/13. Family-level ranges were 0–18 for Gi/o, 5–18 for Gs, 5–19 for Gq/11 and 3–14 for G12/13. These values serve as descriptive validation of annotation availability and distribution, and are not used as evidence for family-specific function.</w:t>
      </w:r>
      <w:r>
        <w:rPr>
          <w:rFonts w:hint="eastAsia" w:eastAsia="宋体"/>
          <w:sz w:val="24"/>
          <w:szCs w:val="24"/>
          <w:lang w:eastAsia="zh-CN"/>
        </w:rPr>
        <w:t xml:space="preserve"> </w:t>
      </w:r>
      <w:r>
        <w:rPr>
          <w:color w:val="0000FF"/>
          <w:sz w:val="24"/>
          <w:szCs w:val="24"/>
        </w:rPr>
        <w:t>Figure 3B</w:t>
      </w:r>
      <w:r>
        <w:rPr>
          <w:sz w:val="24"/>
          <w:szCs w:val="24"/>
        </w:rPr>
        <w:t xml:space="preserve"> summarizes the pocket-count distribution; the dataset-scale comparison in </w:t>
      </w:r>
      <w:r>
        <w:rPr>
          <w:color w:val="0000FF"/>
          <w:sz w:val="24"/>
          <w:szCs w:val="24"/>
        </w:rPr>
        <w:t>Figure 3C</w:t>
      </w:r>
      <w:r>
        <w:rPr>
          <w:sz w:val="24"/>
          <w:szCs w:val="24"/>
        </w:rPr>
        <w:t xml:space="preserve"> is retained only if the benchmark values are verified before submission.</w:t>
      </w:r>
    </w:p>
    <w:p w14:paraId="5E5CAFFD">
      <w:pPr>
        <w:spacing w:line="360" w:lineRule="auto"/>
        <w:ind w:firstLine="480" w:firstLineChars="200"/>
        <w:jc w:val="both"/>
        <w:rPr>
          <w:rFonts w:hint="eastAsia" w:eastAsia="宋体"/>
          <w:sz w:val="24"/>
          <w:szCs w:val="24"/>
          <w:lang w:eastAsia="zh-CN"/>
        </w:rPr>
      </w:pPr>
      <w:r>
        <w:t>Figure 3 provides the main technical-validation argument for the pocket layer and also situates the scale of the release. We use panel A to ask whether known orthosteric sites are recovered often enough to trust the derived pocket annotations, and the result is positive: orthosteric-pocket recovery at the 0.85 threshold is observed in 156 of 206 systems with pocket outputs, with family-level rates of 72.5% for Gi/o, 76.1% for Gs, 83.3% for Gq/11 and 66.7% for G12/13. Panel B shows that the pocket-detection layer is not trivially sparse, with median pocket counts of 10 to 11 per system across the major families, while panel C places CoupledMD in the practical niche between single-target GPCR resources and very large general-protein MD repositories. The implication is that readers can treat the pocket layer as a technically validated reuse feature and can also see why this dataset is distinctive: it emphasizes breadth across active GPCR/G-protein complexes rather than maximal scale alone.</w:t>
      </w:r>
    </w:p>
    <w:p w14:paraId="3EE23593">
      <w:pPr>
        <w:keepNext/>
        <w:spacing w:before="160" w:line="360" w:lineRule="auto"/>
      </w:pPr>
      <w:r>
        <w:rPr>
          <w:b/>
          <w:sz w:val="22"/>
        </w:rPr>
        <w:t>Reduced-trajectory periodic-boundary and frame-count audit</w:t>
      </w:r>
    </w:p>
    <w:p w14:paraId="54A06EA0">
      <w:pPr>
        <w:spacing w:line="360" w:lineRule="auto"/>
        <w:ind w:firstLine="480" w:firstLineChars="200"/>
        <w:jc w:val="both"/>
        <w:rPr>
          <w:rFonts w:eastAsia="宋体"/>
          <w:sz w:val="24"/>
          <w:szCs w:val="24"/>
          <w:lang w:eastAsia="zh-CN"/>
        </w:rPr>
      </w:pPr>
      <w:r>
        <w:rPr>
          <w:sz w:val="24"/>
          <w:szCs w:val="24"/>
        </w:rPr>
        <w:t>Reduced visualization trajectories were audited across 208 clean-v1 systems (205 OK, 3 WARN and 0 hard failures). The summary audit detected no atom-count mismatches, no blank PDB element fields, no PDB/trajectory box mismatches, no intra-chain break frames and no inter-chain split frames; seven minor scatter frames were observed across the checked-frame sample.</w:t>
      </w:r>
      <w:r>
        <w:rPr>
          <w:rFonts w:hint="eastAsia" w:eastAsia="宋体"/>
          <w:sz w:val="24"/>
          <w:szCs w:val="24"/>
          <w:lang w:eastAsia="zh-CN"/>
        </w:rPr>
        <w:t xml:space="preserve"> </w:t>
      </w:r>
      <w:r>
        <w:rPr>
          <w:color w:val="0000FF"/>
          <w:sz w:val="24"/>
          <w:szCs w:val="24"/>
        </w:rPr>
        <w:t>Figure 4B</w:t>
      </w:r>
      <w:r>
        <w:rPr>
          <w:sz w:val="24"/>
          <w:szCs w:val="24"/>
        </w:rPr>
        <w:t xml:space="preserve"> reports the reduced-trajectory PBC audit outcomes.</w:t>
      </w:r>
    </w:p>
    <w:p w14:paraId="0A542D3B">
      <w:pPr>
        <w:spacing w:line="360" w:lineRule="auto"/>
        <w:ind w:firstLine="480" w:firstLineChars="200"/>
        <w:jc w:val="both"/>
        <w:rPr>
          <w:rFonts w:hint="eastAsia" w:eastAsia="宋体"/>
          <w:sz w:val="24"/>
          <w:szCs w:val="24"/>
          <w:lang w:eastAsia="zh-CN"/>
        </w:rPr>
      </w:pPr>
      <w:r>
        <w:t>Reduced-trajectory frame counts were 2,500 frames for 205 systems, 2,501 frames for two systems and 200 frames for one system. The short reduced visualization record corresponds to Gs_3SN6; the production metadata for that system remain in the clean-v1 cohort and the reduced-record difference is flagged. Systems with WARN status (Gi_8J22, Gq_7XJL and Gs_7F4H) carry only minor scatter warnings and no hard audit failure. Figure 4 summarizes gateway annotation coverage, family-level orthosteric-recovery rates, gateway open-fraction distributions and dataset completeness as the QC and integrity view of the release, while the reduced-trajectory audit details remain documented in Supplementary Tables S15-S17 and the figure callout.</w:t>
      </w:r>
    </w:p>
    <w:p w14:paraId="7AA69E1B">
      <w:pPr>
        <w:spacing w:line="360" w:lineRule="auto"/>
        <w:ind w:firstLine="480" w:firstLineChars="200"/>
        <w:jc w:val="both"/>
        <w:rPr>
          <w:rFonts w:hint="eastAsia" w:eastAsia="宋体"/>
          <w:sz w:val="24"/>
          <w:szCs w:val="24"/>
          <w:lang w:eastAsia="zh-CN"/>
        </w:rPr>
      </w:pPr>
      <w:r>
        <w:t>Figure 4 is the release-integrity figure, and its purpose is to show that the annotation and reduced-visualization layers are broad, checkable and transparent rather than merely appended to the archive. Panel A shows that TM-gateway open-fraction annotations are available across all 208 included systems, panel B restates the family-level orthosteric-recovery rates as a compact structural-fidelity benchmark, panel C shows that the seven gateway interfaces span a nontrivial range of open-fraction values across the cohort, and panel D links those derived records back to release control by contrasting the 208 included systems with the 14 held-back systems while also reporting the reduced-trajectory audit outcome of 205 OK systems, 3 WARN systems and 0 hard failures. The implication is that the distributed annotation and visualization tiers are usable at scale, with known caveats clearly bounded and reported rather than hidden.</w:t>
      </w:r>
    </w:p>
    <w:p w14:paraId="17AEAE9D">
      <w:pPr>
        <w:keepNext/>
        <w:spacing w:before="160" w:line="360" w:lineRule="auto"/>
      </w:pPr>
      <w:r>
        <w:rPr>
          <w:b/>
          <w:sz w:val="22"/>
        </w:rPr>
        <w:t>File manifests and checksums</w:t>
      </w:r>
    </w:p>
    <w:p w14:paraId="236D772E">
      <w:pPr>
        <w:spacing w:line="360" w:lineRule="auto"/>
        <w:ind w:firstLine="480" w:firstLineChars="200"/>
        <w:jc w:val="both"/>
        <w:rPr>
          <w:sz w:val="24"/>
          <w:szCs w:val="24"/>
        </w:rPr>
      </w:pPr>
      <w:r>
        <w:rPr>
          <w:sz w:val="24"/>
          <w:szCs w:val="24"/>
        </w:rPr>
        <w:t>The current metadata-derived archive manifest contains 650 records across 208 systems; the portal file manifest contains 2,080 records across 208 systems, with 1,247 checksums computed and 833 pending. The OpenAPI snapshot contains 27 records and carries a checksum. Before submission, the archive manifest is regenerated from the frozen repository layout; SHA-256 checksums are computed for all submitted files, and any files represented through external storage are explicitly noted.</w:t>
      </w:r>
    </w:p>
    <w:p w14:paraId="3981F7C1">
      <w:pPr>
        <w:keepNext/>
        <w:spacing w:before="160" w:line="360" w:lineRule="auto"/>
      </w:pPr>
      <w:r>
        <w:rPr>
          <w:b/>
          <w:sz w:val="22"/>
        </w:rPr>
        <w:t>Limitations</w:t>
      </w:r>
    </w:p>
    <w:p w14:paraId="4A0A6AFF">
      <w:pPr>
        <w:spacing w:line="360" w:lineRule="auto"/>
        <w:ind w:firstLine="480" w:firstLineChars="200"/>
        <w:jc w:val="both"/>
        <w:rPr>
          <w:sz w:val="24"/>
          <w:szCs w:val="24"/>
        </w:rPr>
      </w:pPr>
      <w:r>
        <w:rPr>
          <w:sz w:val="24"/>
          <w:szCs w:val="24"/>
        </w:rPr>
        <w:t xml:space="preserve">CoupledMD clean-v1 covers active-state GPCR/G-protein complex systems and does not extend to inactive receptors, GPCR–arrestin complexes or ligand-free ensembles for every receptor. Because the release reflects available structural coverage, G12/13 systems are under-represented relative to Gi/o, Gs and Gq/11. The standard production design is 500 ns per replica, which may not sample slower conformational transitions. Pocket, gateway and G-protein records are derived annotations and require study-specific validation for biological interpretation. Final publication elements still pending include the archive DOI/accession, the final SHA-256 manifest, the final production-archive frame audit and the replacement of the portal screenshot placeholder in </w:t>
      </w:r>
      <w:r>
        <w:rPr>
          <w:color w:val="0000FF"/>
          <w:sz w:val="24"/>
          <w:szCs w:val="24"/>
        </w:rPr>
        <w:t>Figure 2</w:t>
      </w:r>
      <w:r>
        <w:rPr>
          <w:sz w:val="24"/>
          <w:szCs w:val="24"/>
        </w:rPr>
        <w:t>.</w:t>
      </w:r>
    </w:p>
    <w:p w14:paraId="0CB7A835">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Usage Notes</w:t>
      </w:r>
    </w:p>
    <w:p w14:paraId="7CBCBE7C">
      <w:pPr>
        <w:spacing w:line="360" w:lineRule="auto"/>
        <w:ind w:firstLine="480" w:firstLineChars="200"/>
        <w:jc w:val="both"/>
        <w:rPr>
          <w:sz w:val="24"/>
          <w:szCs w:val="24"/>
        </w:rPr>
      </w:pPr>
      <w:r>
        <w:rPr>
          <w:sz w:val="24"/>
          <w:szCs w:val="24"/>
        </w:rPr>
        <w:t>CoupledMD can be reused at three levels. Users performing quantitative trajectory analysis should use the stable archive, which contains the full production trajectories, topology files, metadata, manifests and checksums. Users who need rapid system selection or method benchmarking can use processed tables and JSON records, including system metadata, pocket annotations, gateway records, G-protein records and QC summaries. Users who need interactive inspection can use the portal and reduced visualization trajectories.</w:t>
      </w:r>
    </w:p>
    <w:p w14:paraId="6FE494F4">
      <w:pPr>
        <w:spacing w:line="360" w:lineRule="auto"/>
        <w:ind w:firstLine="480" w:firstLineChars="200"/>
        <w:jc w:val="both"/>
        <w:rPr>
          <w:sz w:val="24"/>
          <w:szCs w:val="24"/>
        </w:rPr>
      </w:pPr>
      <w:r>
        <w:rPr>
          <w:sz w:val="24"/>
          <w:szCs w:val="24"/>
        </w:rPr>
        <w:t>Example reuse workflows include filtering systems by GPCR class, G-protein family, receptor name, UniProt accession, PDB identifier or ligand annotation; retrieving reduced structures and trajectories for visualization; joining GPCRdb-mapped pocket residues to external receptor annotations; and using API endpoints to build reproducible system lists before downloading full trajectories from the archive. Figure 5 summarizes the consensus pocket annotations, GPCRdb-position anchors and proxy-validation views distributed with the resource as reusable annotation records.</w:t>
      </w:r>
      <w:r>
        <w:rPr>
          <w:rFonts w:hint="eastAsia" w:eastAsia="宋体"/>
          <w:sz w:val="24"/>
          <w:szCs w:val="24"/>
          <w:lang w:eastAsia="zh-CN"/>
        </w:rPr>
        <w:t xml:space="preserve"> </w:t>
      </w:r>
      <w:r>
        <w:rPr>
          <w:sz w:val="24"/>
          <w:szCs w:val="24"/>
        </w:rPr>
        <w:t>These workflows support rather than substitute for downstream analyses, including those that may interpret family-resolved or ligand-specific signatures.</w:t>
      </w:r>
    </w:p>
    <w:p w14:paraId="2AA36157">
      <w:pPr>
        <w:spacing w:line="360" w:lineRule="auto"/>
        <w:ind w:firstLine="480" w:firstLineChars="200"/>
        <w:jc w:val="both"/>
        <w:rPr>
          <w:rFonts w:hint="eastAsia" w:eastAsia="宋体"/>
          <w:sz w:val="24"/>
          <w:szCs w:val="24"/>
          <w:lang w:eastAsia="zh-CN"/>
        </w:rPr>
      </w:pPr>
      <w:r>
        <w:t>Figure 5 is designed to show why the pocket layer is useful beyond simple validation and why it can function as a reusable atlas. Panel B shows that the consensus druggable clusters differ in both receptor coverage and mean occupancy, panel C groups those clusters into anatomical zones, panel D identifies the GPCRdb generic positions that recur most often in orthosteric and druggable cluster cores, panel E keeps the family-level orthosteric-recovery benchmark visible, and panel F highlights nomination examples with high proxy scores and representative receptors; panel A is reserved for a final structural or portal-facing snapshot to visually anchor the atlas. The main implication is that readers can use these records for cross-receptor joins, prioritization and benchmarking workflows, while still understanding that the atlas is a derived annotation layer rather than direct experimental evidence of druggability.</w:t>
      </w:r>
    </w:p>
    <w:p w14:paraId="2F3342DD">
      <w:pPr>
        <w:spacing w:line="360" w:lineRule="auto"/>
        <w:ind w:firstLine="480" w:firstLineChars="200"/>
        <w:jc w:val="both"/>
        <w:rPr>
          <w:sz w:val="24"/>
          <w:szCs w:val="24"/>
        </w:rPr>
      </w:pPr>
      <w:r>
        <w:rPr>
          <w:sz w:val="24"/>
          <w:szCs w:val="24"/>
        </w:rPr>
        <w:t>Example API calls for the live portal are:</w:t>
      </w:r>
    </w:p>
    <w:p w14:paraId="5C98D341">
      <w:pPr>
        <w:spacing w:line="360" w:lineRule="auto"/>
        <w:rPr>
          <w:sz w:val="24"/>
          <w:szCs w:val="24"/>
        </w:rPr>
      </w:pPr>
      <w:r>
        <w:rPr>
          <w:sz w:val="24"/>
          <w:szCs w:val="24"/>
        </w:rPr>
        <w:t>curl https://www.coupledmd.cn/api/v1/health</w:t>
      </w:r>
      <w:r>
        <w:rPr>
          <w:sz w:val="24"/>
          <w:szCs w:val="24"/>
        </w:rPr>
        <w:br w:type="textWrapping"/>
      </w:r>
      <w:r>
        <w:rPr>
          <w:sz w:val="24"/>
          <w:szCs w:val="24"/>
        </w:rPr>
        <w:t>curl "https://www.coupledmd.cn/api/v1/systems?family=Gi&amp;limit=10"</w:t>
      </w:r>
      <w:r>
        <w:rPr>
          <w:sz w:val="24"/>
          <w:szCs w:val="24"/>
        </w:rPr>
        <w:br w:type="textWrapping"/>
      </w:r>
      <w:r>
        <w:rPr>
          <w:sz w:val="24"/>
          <w:szCs w:val="24"/>
        </w:rPr>
        <w:t>curl https://www.coupledmd.cn/api/v1/systems/Gi_7F1Q</w:t>
      </w:r>
      <w:r>
        <w:rPr>
          <w:sz w:val="24"/>
          <w:szCs w:val="24"/>
        </w:rPr>
        <w:br w:type="textWrapping"/>
      </w:r>
      <w:r>
        <w:rPr>
          <w:sz w:val="24"/>
          <w:szCs w:val="24"/>
        </w:rPr>
        <w:t>curl https://www.coupledmd.cn/api/v1/systems/Gi_7F1Q/pockets</w:t>
      </w:r>
      <w:r>
        <w:rPr>
          <w:sz w:val="24"/>
          <w:szCs w:val="24"/>
        </w:rPr>
        <w:br w:type="textWrapping"/>
      </w:r>
      <w:r>
        <w:rPr>
          <w:sz w:val="24"/>
          <w:szCs w:val="24"/>
        </w:rPr>
        <w:t>curl https://www.coupledmd.cn/api/v1/systems/Gi_7F1Q/viz/meta</w:t>
      </w:r>
    </w:p>
    <w:p w14:paraId="6DED3C94">
      <w:pPr>
        <w:spacing w:line="360" w:lineRule="auto"/>
        <w:ind w:firstLine="480" w:firstLineChars="200"/>
        <w:jc w:val="both"/>
        <w:rPr>
          <w:sz w:val="24"/>
          <w:szCs w:val="24"/>
        </w:rPr>
      </w:pPr>
      <w:r>
        <w:rPr>
          <w:sz w:val="24"/>
          <w:szCs w:val="24"/>
        </w:rPr>
        <w:t>Users should cite the Scientific Data article and the dataset DOI when both become available. Users of the code or API schema should also cite the code repository according to the repository citation file. The web portal may evolve for usability, but the archive version and checksum manifest should be used for reproducible citation.</w:t>
      </w:r>
    </w:p>
    <w:p w14:paraId="4139DD0C">
      <w:pPr>
        <w:keepNext/>
        <w:spacing w:before="240" w:after="120" w:line="360" w:lineRule="auto"/>
      </w:pPr>
      <w:r>
        <w:rPr>
          <w:b/>
          <w:sz w:val="24"/>
        </w:rPr>
        <w:t>Figures</w:t>
      </w:r>
    </w:p>
    <w:p w14:paraId="63E1E2C2">
      <w:pPr>
        <w:spacing w:line="360" w:lineRule="auto"/>
        <w:ind w:firstLine="480" w:firstLineChars="200"/>
        <w:jc w:val="both"/>
        <w:rPr>
          <w:rFonts w:eastAsia="宋体"/>
          <w:sz w:val="24"/>
          <w:szCs w:val="24"/>
          <w:lang w:eastAsia="zh-CN"/>
        </w:rPr>
      </w:pPr>
      <w:r>
        <w:rPr>
          <w:sz w:val="24"/>
          <w:szCs w:val="24"/>
        </w:rPr>
        <w:t>Figure and table captions are collected below; the underlying files are referenced in Supplementary Data availability.</w:t>
      </w:r>
    </w:p>
    <w:p w14:paraId="7D3A9691">
      <w:pPr>
        <w:spacing w:line="360" w:lineRule="auto"/>
        <w:ind w:firstLine="480" w:firstLineChars="200"/>
        <w:jc w:val="both"/>
        <w:rPr>
          <w:rFonts w:eastAsia="宋体"/>
          <w:sz w:val="24"/>
          <w:szCs w:val="24"/>
          <w:lang w:eastAsia="zh-CN"/>
        </w:rPr>
      </w:pPr>
      <w:r>
        <w:rPr>
          <w:rFonts w:eastAsia="宋体"/>
          <w:sz w:val="24"/>
          <w:szCs w:val="24"/>
          <w:lang w:eastAsia="zh-CN"/>
        </w:rPr>
        <w:drawing>
          <wp:inline distT="0" distB="0" distL="0" distR="0">
            <wp:extent cx="6188710" cy="4432935"/>
            <wp:effectExtent l="0" t="0" r="2540" b="5715"/>
            <wp:docPr id="1517335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3531"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188710" cy="4432935"/>
                    </a:xfrm>
                    <a:prstGeom prst="rect">
                      <a:avLst/>
                    </a:prstGeom>
                    <a:noFill/>
                    <a:ln>
                      <a:noFill/>
                    </a:ln>
                  </pic:spPr>
                </pic:pic>
              </a:graphicData>
            </a:graphic>
          </wp:inline>
        </w:drawing>
      </w:r>
    </w:p>
    <w:p w14:paraId="6BC51EAA">
      <w:pPr>
        <w:spacing w:line="360" w:lineRule="auto"/>
        <w:jc w:val="both"/>
        <w:rPr>
          <w:sz w:val="24"/>
          <w:szCs w:val="24"/>
        </w:rPr>
      </w:pPr>
      <w:r>
        <w:t>Figure 1. Coverage and reuse landscape of the CoupledMD clean-v1 release. This figure was constructed to define the scope of the release and the immediate reuse opportunities. (A) Class × G-protein-family coverage across 208 systems. (B) Receptors represented across the largest number of systems, with multi-family receptors highlighted as direct within-receptor reuse opportunities. (C) Ligand-present versus apo or no-ligand systems by family. (D) Receptor reuse landscape for the most represented receptors, with accent-colored larger markers denoting receptors sampled across more than one G-protein family. (E) Release boundary: 208 included and 14 held back from 222 designed systems, with held-back records grouped into major exclusion categories. The figure shows that the release combines broad coverage with transparent cohort definition; biological interpretation of family or ligand patterns is outside the scope of this Data Descriptor.</w:t>
      </w:r>
    </w:p>
    <w:p w14:paraId="13354614">
      <w:pPr>
        <w:spacing w:line="360" w:lineRule="auto"/>
        <w:rPr>
          <w:rFonts w:eastAsia="宋体"/>
          <w:i/>
          <w:sz w:val="16"/>
          <w:lang w:eastAsia="zh-CN"/>
        </w:rPr>
      </w:pPr>
    </w:p>
    <w:p w14:paraId="4D349D9E">
      <w:pPr>
        <w:spacing w:line="360" w:lineRule="auto"/>
        <w:rPr>
          <w:rFonts w:eastAsia="宋体"/>
          <w:i/>
          <w:sz w:val="16"/>
          <w:lang w:eastAsia="zh-CN"/>
        </w:rPr>
      </w:pPr>
    </w:p>
    <w:p w14:paraId="2F62FB61">
      <w:pPr>
        <w:spacing w:line="360" w:lineRule="auto"/>
        <w:rPr>
          <w:rFonts w:eastAsia="宋体"/>
          <w:i/>
          <w:sz w:val="16"/>
          <w:lang w:eastAsia="zh-CN"/>
        </w:rPr>
      </w:pPr>
    </w:p>
    <w:p w14:paraId="114ABFFC">
      <w:pPr>
        <w:spacing w:line="360" w:lineRule="auto"/>
        <w:rPr>
          <w:rFonts w:eastAsia="宋体"/>
          <w:i/>
          <w:sz w:val="16"/>
          <w:lang w:eastAsia="zh-CN"/>
        </w:rPr>
      </w:pPr>
    </w:p>
    <w:p w14:paraId="3EC59516">
      <w:pPr>
        <w:spacing w:line="360" w:lineRule="auto"/>
        <w:rPr>
          <w:rFonts w:eastAsia="宋体"/>
          <w:i/>
          <w:sz w:val="16"/>
          <w:lang w:eastAsia="zh-CN"/>
        </w:rPr>
      </w:pPr>
    </w:p>
    <w:p w14:paraId="3403BE03">
      <w:pPr>
        <w:spacing w:line="360" w:lineRule="auto"/>
        <w:jc w:val="both"/>
        <w:rPr>
          <w:rFonts w:eastAsia="宋体"/>
          <w:sz w:val="24"/>
          <w:szCs w:val="24"/>
          <w:lang w:eastAsia="zh-CN"/>
        </w:rPr>
      </w:pPr>
      <w:r>
        <w:t>Figure 2. Repository organization, metadata schema and three-tier access model of CoupledMD. This figure explains how the resource is structured and accessed. (A) Archive hierarchy, including manifest, metadata, systems, topology, trajectories, reduced files, features, pocket records, QC records, code and web/API snapshots. (B) Per-system metadata schema for system, receptor, G protein, ligand/state, replicas, files and QC status. (C) Archive-first access model: the stable archive is the citable record, while the web portal and REST API provide browse, visualization and programmatic access. (D) Portal-access schematic showing search, filters, structure viewing, download actions and API entry points. The figure shows that full reproducibility depends on the archive, whereas the portal and API are optimized access layers. File formats and field definitions are detailed in Tables 2 and 3.</w:t>
      </w:r>
    </w:p>
    <w:p w14:paraId="6A856B44">
      <w:pPr>
        <w:spacing w:line="360" w:lineRule="auto"/>
        <w:jc w:val="both"/>
        <w:rPr>
          <w:rFonts w:eastAsia="宋体"/>
          <w:sz w:val="24"/>
          <w:szCs w:val="24"/>
          <w:lang w:eastAsia="zh-CN"/>
        </w:rPr>
      </w:pPr>
    </w:p>
    <w:p w14:paraId="5AD55074">
      <w:pPr>
        <w:spacing w:line="360" w:lineRule="auto"/>
        <w:jc w:val="both"/>
        <w:rPr>
          <w:rFonts w:eastAsia="宋体"/>
          <w:sz w:val="24"/>
          <w:szCs w:val="24"/>
          <w:lang w:eastAsia="zh-CN"/>
        </w:rPr>
      </w:pPr>
    </w:p>
    <w:p w14:paraId="0E9D54F5">
      <w:pPr>
        <w:spacing w:line="360" w:lineRule="auto"/>
      </w:pPr>
      <w:r>
        <w:t>Source asset: scidata_figures/new_figure2_data_records.pdf</w:t>
      </w:r>
    </w:p>
    <w:p w14:paraId="0F0E0694">
      <w:pPr>
        <w:spacing w:line="360" w:lineRule="auto"/>
        <w:jc w:val="both"/>
        <w:rPr>
          <w:rFonts w:eastAsia="宋体"/>
          <w:b/>
          <w:bCs/>
          <w:sz w:val="24"/>
          <w:szCs w:val="24"/>
          <w:lang w:eastAsia="zh-CN"/>
        </w:rPr>
      </w:pPr>
      <w:r>
        <w:drawing>
          <wp:inline distT="0" distB="0" distL="0" distR="0">
            <wp:extent cx="5934075" cy="6276340"/>
            <wp:effectExtent l="0" t="0" r="9525" b="0"/>
            <wp:docPr id="20887157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5723"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34075" cy="6276340"/>
                    </a:xfrm>
                    <a:prstGeom prst="rect">
                      <a:avLst/>
                    </a:prstGeom>
                    <a:noFill/>
                    <a:ln>
                      <a:noFill/>
                    </a:ln>
                  </pic:spPr>
                </pic:pic>
              </a:graphicData>
            </a:graphic>
          </wp:inline>
        </w:drawing>
      </w:r>
    </w:p>
    <w:p w14:paraId="44D0E2A4">
      <w:pPr>
        <w:spacing w:line="360" w:lineRule="auto"/>
        <w:jc w:val="both"/>
        <w:rPr>
          <w:sz w:val="24"/>
          <w:szCs w:val="24"/>
        </w:rPr>
      </w:pPr>
      <w:r>
        <w:t>Figure 3. Technical validation and dataset-scope context for the CoupledMD clean-v1 release. This figure was designed to test the pocket layer and to place the dataset in context. (A) Best per-system orthosteric-pocket frequency by G-protein family; the dashed line marks the 0.85 recovery threshold and recovery percentages are annotated by family. (B) Per-system pocket-count distribution by family, summarized as median and interquartile range with individual-system points overlaid. (C) Descriptive comparison of system count and aggregate sampling against representative single-receptor GPCR and general-protein MD resources to contextualize the scope of CoupledMD. The results support technical reuse of the derived pocket records while showing that CoupledMD occupies a distinct middle ground between narrow single-target resources and much larger general MD repositories.</w:t>
      </w:r>
    </w:p>
    <w:p w14:paraId="1C938ACB">
      <w:pPr>
        <w:spacing w:line="360" w:lineRule="auto"/>
        <w:rPr>
          <w:rFonts w:eastAsia="宋体"/>
          <w:i/>
          <w:sz w:val="16"/>
          <w:lang w:eastAsia="zh-CN"/>
        </w:rPr>
      </w:pPr>
      <w:r>
        <w:t>Source asset: scidata_figures/new_figure3_validation_ridgeline.pdf</w:t>
      </w:r>
    </w:p>
    <w:p w14:paraId="65F6CC0E">
      <w:pPr>
        <w:spacing w:line="360" w:lineRule="auto"/>
        <w:rPr>
          <w:rFonts w:eastAsia="宋体"/>
          <w:i/>
          <w:sz w:val="16"/>
          <w:lang w:eastAsia="zh-CN"/>
        </w:rPr>
      </w:pPr>
    </w:p>
    <w:p w14:paraId="22C93F49">
      <w:pPr>
        <w:spacing w:line="360" w:lineRule="auto"/>
        <w:rPr>
          <w:rFonts w:eastAsia="宋体"/>
          <w:lang w:eastAsia="zh-CN"/>
        </w:rPr>
      </w:pPr>
    </w:p>
    <w:p w14:paraId="63403FB9">
      <w:pPr>
        <w:spacing w:line="360" w:lineRule="auto"/>
        <w:jc w:val="both"/>
        <w:rPr>
          <w:sz w:val="24"/>
          <w:szCs w:val="24"/>
        </w:rPr>
      </w:pPr>
      <w:r>
        <w:t>Figure 4. QC and completeness summary of the CoupledMD clean-v1 release. This figure was assembled to show that the derived annotation and reduced-trajectory layers are complete enough for practical reuse and honest enough about remaining caveats. (A) Derived TM-gateway open-fraction annotations across 208 systems, grouped by G-protein family for organizational convenience; family-resolved differences in panel A are not interpreted here. (B) Orthosteric-pocket recovery rate by G-protein family, shown as a compact structural-fidelity benchmark for the derived pocket layer. (C) Open-fraction distributions for the seven transmembrane gateway interfaces across the clean-v1 cohort. (D) Included versus held-back systems with major exclusion categories, accompanied by a reduced-trajectory integrity callout summarizing the PBC audit outcome. The figure shows broad annotation coverage together with bounded, explicitly reported QC caveats; biological interpretation of the gateway annotations is outside the scope of this Data Descriptor.</w:t>
      </w:r>
    </w:p>
    <w:p w14:paraId="32D97BF7">
      <w:pPr>
        <w:spacing w:line="360" w:lineRule="auto"/>
      </w:pPr>
      <w:r>
        <w:t>Source asset: scidata_figures/new_figure4_qc.pdf</w:t>
      </w:r>
    </w:p>
    <w:p w14:paraId="5D5455D1">
      <w:pPr>
        <w:spacing w:line="360" w:lineRule="auto"/>
        <w:jc w:val="both"/>
        <w:rPr>
          <w:rFonts w:eastAsia="宋体"/>
          <w:b/>
          <w:bCs/>
          <w:sz w:val="24"/>
          <w:szCs w:val="24"/>
          <w:lang w:eastAsia="zh-CN"/>
        </w:rPr>
      </w:pPr>
    </w:p>
    <w:p w14:paraId="7FA634D1">
      <w:pPr>
        <w:spacing w:line="360" w:lineRule="auto"/>
        <w:jc w:val="both"/>
        <w:rPr>
          <w:rFonts w:eastAsia="宋体"/>
          <w:b/>
          <w:bCs/>
          <w:sz w:val="24"/>
          <w:szCs w:val="24"/>
          <w:lang w:eastAsia="zh-CN"/>
        </w:rPr>
      </w:pPr>
    </w:p>
    <w:p w14:paraId="5C7591D0">
      <w:pPr>
        <w:spacing w:line="360" w:lineRule="auto"/>
        <w:jc w:val="both"/>
        <w:rPr>
          <w:sz w:val="24"/>
          <w:szCs w:val="24"/>
        </w:rPr>
      </w:pPr>
      <w:r>
        <w:t>Figure 5. Pocket-atlas annotations distributed with CoupledMD. This figure was built to show what readers can do with the pocket layer after technical validation. (A) Reserved slot for a representative structural or portal-facing snapshot in the final composed figure. (B) Consensus druggable pocket clusters mapped by receptor coverage and mean occupancy, with point size reflecting cluster volume and color indicating anatomical zone. (C) Cluster-member counts by anatomical zone. (D) Reusable GPCRdb-position anchors appearing most frequently in orthosteric and druggable cluster cores. (E) Orthosteric recovery by family as a validation view for the pocket layer. (F) High-scoring drug-design nomination examples with representative receptors. The figure shows how the atlas can support cross-receptor annotation joins, prioritization and benchmarking, while pocket clusters and proxy scores remain derived annotations rather than experimental druggability validation.</w:t>
      </w:r>
    </w:p>
    <w:p w14:paraId="2567C5A9">
      <w:pPr>
        <w:spacing w:line="360" w:lineRule="auto"/>
      </w:pPr>
      <w:r>
        <w:t>Source asset: scidata_figures/new_figure5_drug_design_pocket_atlas.pdf</w:t>
      </w:r>
    </w:p>
    <w:p w14:paraId="1916A9DB">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Tables</w:t>
      </w:r>
    </w:p>
    <w:p w14:paraId="157EF8A6">
      <w:pPr>
        <w:spacing w:line="360" w:lineRule="auto"/>
        <w:ind w:firstLine="480" w:firstLineChars="200"/>
        <w:jc w:val="both"/>
        <w:rPr>
          <w:sz w:val="24"/>
          <w:szCs w:val="24"/>
        </w:rPr>
      </w:pPr>
      <w:r>
        <w:rPr>
          <w:rFonts w:hint="eastAsia" w:eastAsia="宋体"/>
          <w:sz w:val="24"/>
          <w:szCs w:val="24"/>
          <w:lang w:eastAsia="zh-CN"/>
        </w:rPr>
        <w:t>T</w:t>
      </w:r>
      <w:r>
        <w:rPr>
          <w:sz w:val="24"/>
          <w:szCs w:val="24"/>
        </w:rPr>
        <w:t>ables summarize the dataset, repository and metadata dictionary. Per-system and per-record detail is provided in the Supplementary Tables.</w:t>
      </w:r>
    </w:p>
    <w:p w14:paraId="4315B3B9">
      <w:pPr>
        <w:spacing w:line="360" w:lineRule="auto"/>
        <w:jc w:val="both"/>
        <w:rPr>
          <w:sz w:val="24"/>
          <w:szCs w:val="24"/>
        </w:rPr>
      </w:pPr>
      <w:r>
        <w:rPr>
          <w:sz w:val="24"/>
          <w:szCs w:val="24"/>
        </w:rPr>
        <w:t>Table 2. Dataset summary of the CoupledMD clean-v1 release by GPCR class and G-protein family. Counts are based on the clean-v1 metadata; the 14 held-back systems are excluded. All included systems are represented by three 500 ns production replicas.</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247"/>
        <w:gridCol w:w="1361"/>
        <w:gridCol w:w="907"/>
        <w:gridCol w:w="1247"/>
        <w:gridCol w:w="1474"/>
        <w:gridCol w:w="1020"/>
        <w:gridCol w:w="1247"/>
      </w:tblGrid>
      <w:tr w14:paraId="6E9BB3C6">
        <w:trPr>
          <w:jc w:val="center"/>
        </w:trPr>
        <w:tc>
          <w:tcPr>
            <w:tcW w:w="1247"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329C9B9F">
            <w:pPr>
              <w:spacing w:before="0" w:line="360" w:lineRule="auto"/>
              <w:jc w:val="center"/>
              <w:rPr>
                <w:rFonts w:eastAsiaTheme="majorEastAsia" w:cstheme="majorBidi"/>
                <w:b/>
                <w:bCs/>
              </w:rPr>
            </w:pPr>
            <w:r>
              <w:rPr>
                <w:rFonts w:eastAsiaTheme="majorEastAsia" w:cstheme="majorBidi"/>
                <w:b/>
                <w:bCs/>
                <w:sz w:val="18"/>
              </w:rPr>
              <w:t>GPCR class</w:t>
            </w:r>
          </w:p>
        </w:tc>
        <w:tc>
          <w:tcPr>
            <w:tcW w:w="136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3D0AED51">
            <w:pPr>
              <w:spacing w:before="0" w:line="360" w:lineRule="auto"/>
              <w:jc w:val="center"/>
              <w:rPr>
                <w:rFonts w:eastAsiaTheme="majorEastAsia" w:cstheme="majorBidi"/>
                <w:b/>
                <w:bCs/>
              </w:rPr>
            </w:pPr>
            <w:r>
              <w:rPr>
                <w:rFonts w:eastAsiaTheme="majorEastAsia" w:cstheme="majorBidi"/>
                <w:b/>
                <w:bCs/>
                <w:sz w:val="18"/>
              </w:rPr>
              <w:t>G-protein family</w:t>
            </w:r>
          </w:p>
        </w:tc>
        <w:tc>
          <w:tcPr>
            <w:tcW w:w="90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73F0BFF">
            <w:pPr>
              <w:spacing w:before="0" w:line="360" w:lineRule="auto"/>
              <w:jc w:val="center"/>
              <w:rPr>
                <w:rFonts w:eastAsiaTheme="majorEastAsia" w:cstheme="majorBidi"/>
                <w:b/>
                <w:bCs/>
              </w:rPr>
            </w:pPr>
            <w:r>
              <w:rPr>
                <w:rFonts w:eastAsiaTheme="majorEastAsia" w:cstheme="majorBidi"/>
                <w:b/>
                <w:bCs/>
                <w:sz w:val="18"/>
              </w:rPr>
              <w:t>Systems</w:t>
            </w:r>
          </w:p>
        </w:tc>
        <w:tc>
          <w:tcPr>
            <w:tcW w:w="124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78BC3217">
            <w:pPr>
              <w:spacing w:before="0" w:line="360" w:lineRule="auto"/>
              <w:jc w:val="center"/>
              <w:rPr>
                <w:rFonts w:eastAsiaTheme="majorEastAsia" w:cstheme="majorBidi"/>
                <w:b/>
                <w:bCs/>
              </w:rPr>
            </w:pPr>
            <w:r>
              <w:rPr>
                <w:rFonts w:eastAsiaTheme="majorEastAsia" w:cstheme="majorBidi"/>
                <w:b/>
                <w:bCs/>
                <w:sz w:val="18"/>
              </w:rPr>
              <w:t>Unique receptors</w:t>
            </w:r>
          </w:p>
        </w:tc>
        <w:tc>
          <w:tcPr>
            <w:tcW w:w="147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6DA913E">
            <w:pPr>
              <w:spacing w:before="0" w:line="360" w:lineRule="auto"/>
              <w:jc w:val="center"/>
              <w:rPr>
                <w:rFonts w:eastAsiaTheme="majorEastAsia" w:cstheme="majorBidi"/>
                <w:b/>
                <w:bCs/>
              </w:rPr>
            </w:pPr>
            <w:r>
              <w:rPr>
                <w:rFonts w:eastAsiaTheme="majorEastAsia" w:cstheme="majorBidi"/>
                <w:b/>
                <w:bCs/>
                <w:sz w:val="18"/>
              </w:rPr>
              <w:t>Aggregate sampling (µs)</w:t>
            </w:r>
          </w:p>
        </w:tc>
        <w:tc>
          <w:tcPr>
            <w:tcW w:w="10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A02DF26">
            <w:pPr>
              <w:spacing w:before="0" w:line="360" w:lineRule="auto"/>
              <w:jc w:val="center"/>
              <w:rPr>
                <w:rFonts w:eastAsiaTheme="majorEastAsia" w:cstheme="majorBidi"/>
                <w:b/>
                <w:bCs/>
              </w:rPr>
            </w:pPr>
            <w:r>
              <w:rPr>
                <w:rFonts w:eastAsiaTheme="majorEastAsia" w:cstheme="majorBidi"/>
                <w:b/>
                <w:bCs/>
                <w:sz w:val="18"/>
              </w:rPr>
              <w:t>Replicas per system</w:t>
            </w:r>
          </w:p>
        </w:tc>
        <w:tc>
          <w:tcPr>
            <w:tcW w:w="124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B3796AA">
            <w:pPr>
              <w:spacing w:before="0" w:line="360" w:lineRule="auto"/>
              <w:jc w:val="center"/>
              <w:rPr>
                <w:rFonts w:eastAsiaTheme="majorEastAsia" w:cstheme="majorBidi"/>
                <w:b/>
                <w:bCs/>
              </w:rPr>
            </w:pPr>
            <w:r>
              <w:rPr>
                <w:rFonts w:eastAsiaTheme="majorEastAsia" w:cstheme="majorBidi"/>
                <w:b/>
                <w:bCs/>
                <w:sz w:val="18"/>
              </w:rPr>
              <w:t>Per-replica length (ns)</w:t>
            </w:r>
          </w:p>
        </w:tc>
      </w:tr>
      <w:tr w14:paraId="7BA949FA">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64C9FB9">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4987285">
            <w:pPr>
              <w:spacing w:line="360" w:lineRule="auto"/>
            </w:pPr>
            <w:r>
              <w:rPr>
                <w:sz w:val="18"/>
              </w:rPr>
              <w:t>Gi/o</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6E2AE4">
            <w:pPr>
              <w:spacing w:line="360" w:lineRule="auto"/>
            </w:pPr>
            <w:r>
              <w:rPr>
                <w:sz w:val="18"/>
              </w:rPr>
              <w:t>85</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87026C0">
            <w:pPr>
              <w:spacing w:line="360" w:lineRule="auto"/>
            </w:pPr>
            <w:r>
              <w:rPr>
                <w:sz w:val="18"/>
              </w:rPr>
              <w:t>≈70</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18B56E2">
            <w:pPr>
              <w:spacing w:line="360" w:lineRule="auto"/>
            </w:pPr>
            <w:r>
              <w:rPr>
                <w:sz w:val="18"/>
              </w:rPr>
              <w:t>127.5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99112B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D87BEA4">
            <w:pPr>
              <w:spacing w:line="360" w:lineRule="auto"/>
            </w:pPr>
            <w:r>
              <w:rPr>
                <w:sz w:val="18"/>
              </w:rPr>
              <w:t>500</w:t>
            </w:r>
          </w:p>
        </w:tc>
      </w:tr>
      <w:tr w14:paraId="1C99FCAD">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880910">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5D06D6D">
            <w:pPr>
              <w:spacing w:line="360" w:lineRule="auto"/>
            </w:pPr>
            <w:r>
              <w:rPr>
                <w:sz w:val="18"/>
              </w:rPr>
              <w:t>Gs</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02B46F">
            <w:pPr>
              <w:spacing w:line="360" w:lineRule="auto"/>
            </w:pPr>
            <w:r>
              <w:rPr>
                <w:sz w:val="18"/>
              </w:rPr>
              <w:t>63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AD0C4E5">
            <w:pPr>
              <w:spacing w:line="360" w:lineRule="auto"/>
            </w:pPr>
            <w:r>
              <w:rPr>
                <w:sz w:val="18"/>
              </w:rPr>
              <w:t>≈55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61E2C02">
            <w:pPr>
              <w:spacing w:line="360" w:lineRule="auto"/>
            </w:pPr>
            <w:r>
              <w:rPr>
                <w:sz w:val="18"/>
              </w:rPr>
              <w:t>94.5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E8AFFA6">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57E629D">
            <w:pPr>
              <w:spacing w:line="360" w:lineRule="auto"/>
            </w:pPr>
            <w:r>
              <w:rPr>
                <w:sz w:val="18"/>
              </w:rPr>
              <w:t>500</w:t>
            </w:r>
          </w:p>
        </w:tc>
      </w:tr>
      <w:tr w14:paraId="77241672">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7F31F1">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CABD420">
            <w:pPr>
              <w:spacing w:line="360" w:lineRule="auto"/>
            </w:pPr>
            <w:r>
              <w:rPr>
                <w:sz w:val="18"/>
              </w:rPr>
              <w:t>Gq/11</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F5A6D7">
            <w:pPr>
              <w:spacing w:line="360" w:lineRule="auto"/>
            </w:pPr>
            <w:r>
              <w:rPr>
                <w:sz w:val="18"/>
              </w:rPr>
              <w:t>29</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90E706D">
            <w:pPr>
              <w:spacing w:line="360" w:lineRule="auto"/>
            </w:pPr>
            <w:r>
              <w:rPr>
                <w:sz w:val="18"/>
              </w:rPr>
              <w:t>≈25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9FBFC23">
            <w:pPr>
              <w:spacing w:line="360" w:lineRule="auto"/>
            </w:pPr>
            <w:r>
              <w:rPr>
                <w:sz w:val="18"/>
              </w:rPr>
              <w:t>43.5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3048BD3">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7517F0">
            <w:pPr>
              <w:spacing w:line="360" w:lineRule="auto"/>
            </w:pPr>
            <w:r>
              <w:rPr>
                <w:sz w:val="18"/>
              </w:rPr>
              <w:t>500</w:t>
            </w:r>
          </w:p>
        </w:tc>
      </w:tr>
      <w:tr w14:paraId="0A8A9114">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E7DFF76">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BE2903">
            <w:pPr>
              <w:spacing w:line="360" w:lineRule="auto"/>
            </w:pPr>
            <w:r>
              <w:rPr>
                <w:sz w:val="18"/>
              </w:rPr>
              <w:t>G12/13</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4381515">
            <w:pPr>
              <w:spacing w:line="360" w:lineRule="auto"/>
            </w:pPr>
            <w:r>
              <w:rPr>
                <w:sz w:val="18"/>
              </w:rPr>
              <w:t>5</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68D9AEE">
            <w:pPr>
              <w:spacing w:line="360" w:lineRule="auto"/>
            </w:pPr>
            <w:r>
              <w:rPr>
                <w:sz w:val="18"/>
              </w:rPr>
              <w:t>≈5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17D4DD8">
            <w:pPr>
              <w:spacing w:line="360" w:lineRule="auto"/>
            </w:pPr>
            <w:r>
              <w:rPr>
                <w:sz w:val="18"/>
              </w:rPr>
              <w:t>7.5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F1FFF7B">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998EB60">
            <w:pPr>
              <w:spacing w:line="360" w:lineRule="auto"/>
            </w:pPr>
            <w:r>
              <w:rPr>
                <w:sz w:val="18"/>
              </w:rPr>
              <w:t>500</w:t>
            </w:r>
          </w:p>
        </w:tc>
      </w:tr>
      <w:tr w14:paraId="09143EAC">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0EC5F85">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192E16">
            <w:pPr>
              <w:spacing w:line="360" w:lineRule="auto"/>
            </w:pPr>
            <w:r>
              <w:rPr>
                <w:sz w:val="18"/>
              </w:rPr>
              <w:t>Gi/o</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C09C161">
            <w:pPr>
              <w:spacing w:line="360" w:lineRule="auto"/>
            </w:pPr>
            <w:r>
              <w:rPr>
                <w:sz w:val="18"/>
              </w:rPr>
              <w:t>8</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4CA534">
            <w:pPr>
              <w:spacing w:line="360" w:lineRule="auto"/>
            </w:pPr>
            <w:r>
              <w:rPr>
                <w:sz w:val="18"/>
              </w:rPr>
              <w:t>≈7</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6AA0F9">
            <w:pPr>
              <w:spacing w:line="360" w:lineRule="auto"/>
            </w:pPr>
            <w:r>
              <w:rPr>
                <w:sz w:val="18"/>
              </w:rPr>
              <w:t>12.0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5AE2534">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D6374C">
            <w:pPr>
              <w:spacing w:line="360" w:lineRule="auto"/>
            </w:pPr>
            <w:r>
              <w:rPr>
                <w:sz w:val="18"/>
              </w:rPr>
              <w:t>500</w:t>
            </w:r>
          </w:p>
        </w:tc>
      </w:tr>
      <w:tr w14:paraId="1B00FC38">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B4FAB7">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031B19">
            <w:pPr>
              <w:spacing w:line="360" w:lineRule="auto"/>
            </w:pPr>
            <w:r>
              <w:rPr>
                <w:sz w:val="18"/>
              </w:rPr>
              <w:t>Gs</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C332EAD">
            <w:pPr>
              <w:spacing w:line="360" w:lineRule="auto"/>
            </w:pPr>
            <w:r>
              <w:rPr>
                <w:sz w:val="18"/>
              </w:rPr>
              <w:t>4</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2927D36">
            <w:pPr>
              <w:spacing w:line="360" w:lineRule="auto"/>
            </w:pPr>
            <w:r>
              <w:rPr>
                <w:sz w:val="18"/>
              </w:rPr>
              <w:t>≈4</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DA73B5">
            <w:pPr>
              <w:spacing w:line="360" w:lineRule="auto"/>
            </w:pPr>
            <w:r>
              <w:rPr>
                <w:sz w:val="18"/>
              </w:rPr>
              <w:t>6.0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F95C09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F0A58E5">
            <w:pPr>
              <w:spacing w:line="360" w:lineRule="auto"/>
            </w:pPr>
            <w:r>
              <w:rPr>
                <w:sz w:val="18"/>
              </w:rPr>
              <w:t>500</w:t>
            </w:r>
          </w:p>
        </w:tc>
      </w:tr>
      <w:tr w14:paraId="391F912E">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FD8BE92">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913B2CC">
            <w:pPr>
              <w:spacing w:line="360" w:lineRule="auto"/>
            </w:pPr>
            <w:r>
              <w:rPr>
                <w:sz w:val="18"/>
              </w:rPr>
              <w:t>Gq/11</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3BEE1B9">
            <w:pPr>
              <w:spacing w:line="360" w:lineRule="auto"/>
            </w:pPr>
            <w:r>
              <w:rPr>
                <w:sz w:val="18"/>
              </w:rPr>
              <w:t>13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CE65716">
            <w:pPr>
              <w:spacing w:line="360" w:lineRule="auto"/>
            </w:pPr>
            <w:r>
              <w:rPr>
                <w:sz w:val="18"/>
              </w:rPr>
              <w:t>≈12</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A7E1E1">
            <w:pPr>
              <w:spacing w:line="360" w:lineRule="auto"/>
            </w:pPr>
            <w:r>
              <w:rPr>
                <w:sz w:val="18"/>
              </w:rPr>
              <w:t>19.5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2912405">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51F9EE5">
            <w:pPr>
              <w:spacing w:line="360" w:lineRule="auto"/>
            </w:pPr>
            <w:r>
              <w:rPr>
                <w:sz w:val="18"/>
              </w:rPr>
              <w:t>500</w:t>
            </w:r>
          </w:p>
        </w:tc>
      </w:tr>
      <w:tr w14:paraId="11C5860E">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B117153">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73527F0">
            <w:pPr>
              <w:spacing w:line="360" w:lineRule="auto"/>
            </w:pPr>
            <w:r>
              <w:rPr>
                <w:sz w:val="18"/>
              </w:rPr>
              <w:t>G12/13</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49F12A">
            <w:pPr>
              <w:spacing w:line="360" w:lineRule="auto"/>
            </w:pPr>
            <w:r>
              <w:rPr>
                <w:sz w:val="18"/>
              </w:rPr>
              <w:t>1</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B59CF7">
            <w:pPr>
              <w:spacing w:line="360" w:lineRule="auto"/>
            </w:pPr>
            <w:r>
              <w:rPr>
                <w:sz w:val="18"/>
              </w:rPr>
              <w:t>1</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A539F3A">
            <w:pPr>
              <w:spacing w:line="360" w:lineRule="auto"/>
            </w:pPr>
            <w:r>
              <w:rPr>
                <w:sz w:val="18"/>
              </w:rPr>
              <w:t>1.5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510325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967E4E9">
            <w:pPr>
              <w:spacing w:line="360" w:lineRule="auto"/>
            </w:pPr>
            <w:r>
              <w:rPr>
                <w:sz w:val="18"/>
              </w:rPr>
              <w:t>500</w:t>
            </w:r>
          </w:p>
        </w:tc>
      </w:tr>
      <w:tr w14:paraId="71D25803">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B47E88">
            <w:pPr>
              <w:spacing w:line="360" w:lineRule="auto"/>
              <w:rPr>
                <w:rFonts w:eastAsiaTheme="majorEastAsia" w:cstheme="majorBidi"/>
                <w:b/>
                <w:bCs/>
              </w:rPr>
            </w:pPr>
            <w:r>
              <w:rPr>
                <w:rFonts w:eastAsiaTheme="majorEastAsia" w:cstheme="majorBidi"/>
                <w:b/>
                <w:bCs/>
                <w:sz w:val="18"/>
              </w:rPr>
              <w:t>Total 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671121">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090424">
            <w:pPr>
              <w:spacing w:line="360" w:lineRule="auto"/>
            </w:pPr>
            <w:r>
              <w:rPr>
                <w:sz w:val="18"/>
              </w:rPr>
              <w:t>182</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1F0BB29">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B48E4D0">
            <w:pPr>
              <w:spacing w:line="360" w:lineRule="auto"/>
            </w:pPr>
            <w:r>
              <w:rPr>
                <w:sz w:val="18"/>
              </w:rPr>
              <w:t>273.0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67F065C">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223C892">
            <w:pPr>
              <w:spacing w:line="360" w:lineRule="auto"/>
            </w:pPr>
            <w:r>
              <w:rPr>
                <w:sz w:val="18"/>
              </w:rPr>
              <w:t>500</w:t>
            </w:r>
          </w:p>
        </w:tc>
      </w:tr>
      <w:tr w14:paraId="54786366">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D87562A">
            <w:pPr>
              <w:spacing w:line="360" w:lineRule="auto"/>
              <w:rPr>
                <w:rFonts w:eastAsiaTheme="majorEastAsia" w:cstheme="majorBidi"/>
                <w:b/>
                <w:bCs/>
              </w:rPr>
            </w:pPr>
            <w:r>
              <w:rPr>
                <w:rFonts w:eastAsiaTheme="majorEastAsia" w:cstheme="majorBidi"/>
                <w:b/>
                <w:bCs/>
                <w:sz w:val="18"/>
              </w:rPr>
              <w:t>Total 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C015277">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9C56478">
            <w:pPr>
              <w:spacing w:line="360" w:lineRule="auto"/>
            </w:pPr>
            <w:r>
              <w:rPr>
                <w:sz w:val="18"/>
              </w:rPr>
              <w:t>26</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4ABFCC7">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50D2614">
            <w:pPr>
              <w:spacing w:line="360" w:lineRule="auto"/>
            </w:pPr>
            <w:r>
              <w:rPr>
                <w:sz w:val="18"/>
              </w:rPr>
              <w:t>39.0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47A8131">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ABB09EB">
            <w:pPr>
              <w:spacing w:line="360" w:lineRule="auto"/>
            </w:pPr>
            <w:r>
              <w:rPr>
                <w:sz w:val="18"/>
              </w:rPr>
              <w:t>500</w:t>
            </w:r>
          </w:p>
        </w:tc>
      </w:tr>
      <w:tr w14:paraId="5AD396F2">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98A1088">
            <w:pPr>
              <w:spacing w:line="360" w:lineRule="auto"/>
              <w:rPr>
                <w:rFonts w:eastAsiaTheme="majorEastAsia" w:cstheme="majorBidi"/>
                <w:b/>
                <w:bCs/>
              </w:rPr>
            </w:pPr>
            <w:r>
              <w:rPr>
                <w:rFonts w:eastAsiaTheme="majorEastAsia" w:cstheme="majorBidi"/>
                <w:b/>
                <w:bCs/>
                <w:sz w:val="18"/>
              </w:rPr>
              <w:t>Total clean-v1</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0A8E808">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DA3E57">
            <w:pPr>
              <w:spacing w:line="360" w:lineRule="auto"/>
            </w:pPr>
            <w:r>
              <w:rPr>
                <w:sz w:val="18"/>
              </w:rPr>
              <w:t>208</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1967BBB">
            <w:pPr>
              <w:spacing w:line="360" w:lineRule="auto"/>
            </w:pPr>
            <w:r>
              <w:rPr>
                <w:sz w:val="18"/>
              </w:rPr>
              <w:t>174</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5156C89">
            <w:pPr>
              <w:spacing w:line="360" w:lineRule="auto"/>
            </w:pPr>
            <w:r>
              <w:rPr>
                <w:sz w:val="18"/>
              </w:rPr>
              <w:t>312.0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1F16EB5">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30D7CC">
            <w:pPr>
              <w:spacing w:line="360" w:lineRule="auto"/>
            </w:pPr>
            <w:r>
              <w:rPr>
                <w:sz w:val="18"/>
              </w:rPr>
              <w:t>500</w:t>
            </w:r>
          </w:p>
        </w:tc>
      </w:tr>
      <w:tr w14:paraId="084E6DD5">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529E61">
            <w:pPr>
              <w:spacing w:line="360" w:lineRule="auto"/>
              <w:rPr>
                <w:rFonts w:eastAsiaTheme="majorEastAsia" w:cstheme="majorBidi"/>
                <w:b/>
                <w:bCs/>
              </w:rPr>
            </w:pPr>
            <w:r>
              <w:rPr>
                <w:rFonts w:eastAsiaTheme="majorEastAsia" w:cstheme="majorBidi"/>
                <w:b/>
                <w:bCs/>
                <w:sz w:val="18"/>
              </w:rPr>
              <w:t>Held-back cohort</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692A842">
            <w:pPr>
              <w:spacing w:line="360" w:lineRule="auto"/>
            </w:pPr>
            <w:r>
              <w:rPr>
                <w:sz w:val="18"/>
              </w:rPr>
              <w:t>—</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34DCE96">
            <w:pPr>
              <w:spacing w:line="360" w:lineRule="auto"/>
            </w:pPr>
            <w:r>
              <w:rPr>
                <w:sz w:val="18"/>
              </w:rPr>
              <w:t>14</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AFB1C78">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E80087A">
            <w:pPr>
              <w:spacing w:line="360" w:lineRule="auto"/>
            </w:pPr>
            <w:r>
              <w:rPr>
                <w:sz w:val="18"/>
              </w:rPr>
              <w:t>—</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0D204D7">
            <w:pPr>
              <w:spacing w:line="360" w:lineRule="auto"/>
            </w:pPr>
            <w:r>
              <w:rPr>
                <w:sz w:val="18"/>
              </w:rPr>
              <w:t>—</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41081C1">
            <w:pPr>
              <w:spacing w:line="360" w:lineRule="auto"/>
            </w:pPr>
            <w:r>
              <w:rPr>
                <w:sz w:val="18"/>
              </w:rPr>
              <w:t>—</w:t>
            </w:r>
          </w:p>
        </w:tc>
      </w:tr>
    </w:tbl>
    <w:p w14:paraId="43D83801">
      <w:pPr>
        <w:spacing w:line="360" w:lineRule="auto"/>
      </w:pPr>
      <w:r>
        <w:rPr>
          <w:i/>
          <w:sz w:val="18"/>
        </w:rPr>
        <w:t>Per-class/family numbers for the G12/13 group are representative approximations pending the final clean-v1 metadata freeze; the aggregate counts (208 systems, 174 receptors, 312.0 µs) are the authoritative values.</w:t>
      </w:r>
    </w:p>
    <w:p w14:paraId="58E95DF8">
      <w:pPr>
        <w:spacing w:line="360" w:lineRule="auto"/>
        <w:jc w:val="both"/>
        <w:rPr>
          <w:sz w:val="24"/>
          <w:szCs w:val="24"/>
        </w:rPr>
      </w:pPr>
      <w:r>
        <w:rPr>
          <w:sz w:val="24"/>
          <w:szCs w:val="24"/>
        </w:rPr>
        <w:t>Table 3. Metadata dictionary of the CoupledMD clean-v1 release. Authoritative field-level definition. Field names in the paper, repository metadata, API records and portal display are synchronized to this dictionary.</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2041"/>
        <w:gridCol w:w="1134"/>
        <w:gridCol w:w="5556"/>
      </w:tblGrid>
      <w:tr w14:paraId="18330491">
        <w:trPr>
          <w:jc w:val="center"/>
        </w:trPr>
        <w:tc>
          <w:tcPr>
            <w:tcW w:w="2041"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BC6EA9C">
            <w:pPr>
              <w:spacing w:before="0" w:line="360" w:lineRule="auto"/>
              <w:jc w:val="center"/>
              <w:rPr>
                <w:rFonts w:eastAsiaTheme="majorEastAsia" w:cstheme="majorBidi"/>
                <w:b/>
                <w:bCs/>
              </w:rPr>
            </w:pPr>
            <w:r>
              <w:rPr>
                <w:rFonts w:eastAsiaTheme="majorEastAsia" w:cstheme="majorBidi"/>
                <w:b/>
                <w:bCs/>
                <w:sz w:val="18"/>
              </w:rPr>
              <w:t>Field</w:t>
            </w:r>
          </w:p>
        </w:tc>
        <w:tc>
          <w:tcPr>
            <w:tcW w:w="113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9230B48">
            <w:pPr>
              <w:spacing w:before="0" w:line="360" w:lineRule="auto"/>
              <w:jc w:val="center"/>
              <w:rPr>
                <w:rFonts w:eastAsiaTheme="majorEastAsia" w:cstheme="majorBidi"/>
                <w:b/>
                <w:bCs/>
              </w:rPr>
            </w:pPr>
            <w:r>
              <w:rPr>
                <w:rFonts w:eastAsiaTheme="majorEastAsia" w:cstheme="majorBidi"/>
                <w:b/>
                <w:bCs/>
                <w:sz w:val="18"/>
              </w:rPr>
              <w:t>Type</w:t>
            </w:r>
          </w:p>
        </w:tc>
        <w:tc>
          <w:tcPr>
            <w:tcW w:w="5556"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074B43C">
            <w:pPr>
              <w:spacing w:before="0" w:line="360" w:lineRule="auto"/>
              <w:jc w:val="center"/>
              <w:rPr>
                <w:rFonts w:eastAsiaTheme="majorEastAsia" w:cstheme="majorBidi"/>
                <w:b/>
                <w:bCs/>
              </w:rPr>
            </w:pPr>
            <w:r>
              <w:rPr>
                <w:rFonts w:eastAsiaTheme="majorEastAsia" w:cstheme="majorBidi"/>
                <w:b/>
                <w:bCs/>
                <w:sz w:val="18"/>
              </w:rPr>
              <w:t>Description / controlled vocabulary</w:t>
            </w:r>
          </w:p>
        </w:tc>
      </w:tr>
      <w:tr w14:paraId="247629B7">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842ECF0">
            <w:pPr>
              <w:spacing w:line="360" w:lineRule="auto"/>
              <w:rPr>
                <w:rFonts w:eastAsiaTheme="majorEastAsia" w:cstheme="majorBidi"/>
                <w:b/>
                <w:bCs/>
              </w:rPr>
            </w:pPr>
            <w:r>
              <w:rPr>
                <w:rFonts w:eastAsiaTheme="majorEastAsia" w:cstheme="majorBidi"/>
                <w:b/>
                <w:bCs/>
                <w:sz w:val="18"/>
              </w:rPr>
              <w:t>system_id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A88BCB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ABCB4F0">
            <w:pPr>
              <w:spacing w:line="360" w:lineRule="auto"/>
            </w:pPr>
            <w:r>
              <w:rPr>
                <w:sz w:val="18"/>
              </w:rPr>
              <w:t>Family + PDB identifier, e.g. Gi_7F1Q</w:t>
            </w:r>
          </w:p>
        </w:tc>
      </w:tr>
      <w:tr w14:paraId="57AC61B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42B12BE">
            <w:pPr>
              <w:spacing w:line="360" w:lineRule="auto"/>
              <w:rPr>
                <w:rFonts w:eastAsiaTheme="majorEastAsia" w:cstheme="majorBidi"/>
                <w:b/>
                <w:bCs/>
              </w:rPr>
            </w:pPr>
            <w:r>
              <w:rPr>
                <w:rFonts w:eastAsiaTheme="majorEastAsia" w:cstheme="majorBidi"/>
                <w:b/>
                <w:bCs/>
                <w:sz w:val="18"/>
              </w:rPr>
              <w:t>pdb_id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37AE4E1">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CAB6E1E">
            <w:pPr>
              <w:spacing w:line="360" w:lineRule="auto"/>
              <w:rPr>
                <w:rFonts w:eastAsia="宋体"/>
                <w:lang w:eastAsia="zh-CN"/>
              </w:rPr>
            </w:pPr>
            <w:r>
              <w:rPr>
                <w:sz w:val="18"/>
              </w:rPr>
              <w:t>Primary PDB identifier</w:t>
            </w:r>
            <w:r>
              <w:rPr>
                <w:sz w:val="18"/>
              </w:rPr>
              <w:fldChar w:fldCharType="begin"/>
            </w:r>
            <w:r>
              <w:rPr>
                <w:sz w:val="18"/>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18"/>
              </w:rPr>
              <w:fldChar w:fldCharType="separate"/>
            </w:r>
            <w:r>
              <w:rPr>
                <w:sz w:val="18"/>
                <w:vertAlign w:val="superscript"/>
              </w:rPr>
              <w:t>6</w:t>
            </w:r>
            <w:r>
              <w:rPr>
                <w:sz w:val="18"/>
              </w:rPr>
              <w:fldChar w:fldCharType="end"/>
            </w:r>
          </w:p>
        </w:tc>
      </w:tr>
      <w:tr w14:paraId="02C37A5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2CB99E">
            <w:pPr>
              <w:spacing w:line="360" w:lineRule="auto"/>
              <w:rPr>
                <w:rFonts w:eastAsiaTheme="majorEastAsia" w:cstheme="majorBidi"/>
                <w:b/>
                <w:bCs/>
              </w:rPr>
            </w:pPr>
            <w:r>
              <w:rPr>
                <w:rFonts w:eastAsiaTheme="majorEastAsia" w:cstheme="majorBidi"/>
                <w:b/>
                <w:bCs/>
                <w:sz w:val="18"/>
              </w:rPr>
              <w:t>receptor_name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D98E9B">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E40B098">
            <w:pPr>
              <w:spacing w:line="360" w:lineRule="auto"/>
            </w:pPr>
            <w:r>
              <w:rPr>
                <w:sz w:val="18"/>
              </w:rPr>
              <w:t>IUPHAR/BPS recommended receptor name</w:t>
            </w:r>
          </w:p>
        </w:tc>
      </w:tr>
      <w:tr w14:paraId="4DCE546F">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039C54F">
            <w:pPr>
              <w:spacing w:line="360" w:lineRule="auto"/>
              <w:rPr>
                <w:rFonts w:eastAsiaTheme="majorEastAsia" w:cstheme="majorBidi"/>
                <w:b/>
                <w:bCs/>
              </w:rPr>
            </w:pPr>
            <w:r>
              <w:rPr>
                <w:rFonts w:eastAsiaTheme="majorEastAsia" w:cstheme="majorBidi"/>
                <w:b/>
                <w:bCs/>
                <w:sz w:val="18"/>
              </w:rPr>
              <w:t>receptor_uniprot</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3532FC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95CF276">
            <w:pPr>
              <w:spacing w:line="360" w:lineRule="auto"/>
            </w:pPr>
            <w:r>
              <w:rPr>
                <w:sz w:val="18"/>
              </w:rPr>
              <w:t>UniProt accession</w:t>
            </w:r>
            <w:r>
              <w:rPr>
                <w:sz w:val="18"/>
              </w:rPr>
              <w:fldChar w:fldCharType="begin"/>
            </w:r>
            <w:r>
              <w:rPr>
                <w:sz w:val="18"/>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18"/>
              </w:rPr>
              <w:fldChar w:fldCharType="separate"/>
            </w:r>
            <w:r>
              <w:rPr>
                <w:sz w:val="18"/>
                <w:vertAlign w:val="superscript"/>
              </w:rPr>
              <w:t>7</w:t>
            </w:r>
            <w:r>
              <w:rPr>
                <w:sz w:val="18"/>
              </w:rPr>
              <w:fldChar w:fldCharType="end"/>
            </w:r>
          </w:p>
        </w:tc>
      </w:tr>
      <w:tr w14:paraId="6955C656">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F8A0FAB">
            <w:pPr>
              <w:spacing w:line="360" w:lineRule="auto"/>
              <w:rPr>
                <w:rFonts w:eastAsiaTheme="majorEastAsia" w:cstheme="majorBidi"/>
                <w:b/>
                <w:bCs/>
              </w:rPr>
            </w:pPr>
            <w:r>
              <w:rPr>
                <w:rFonts w:eastAsiaTheme="majorEastAsia" w:cstheme="majorBidi"/>
                <w:b/>
                <w:bCs/>
                <w:sz w:val="18"/>
              </w:rPr>
              <w:t>receptor_gene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E88222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7934F4A">
            <w:pPr>
              <w:spacing w:line="360" w:lineRule="auto"/>
            </w:pPr>
            <w:r>
              <w:rPr>
                <w:sz w:val="18"/>
              </w:rPr>
              <w:t>Gene symbol where available</w:t>
            </w:r>
          </w:p>
        </w:tc>
      </w:tr>
      <w:tr w14:paraId="394F646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AA6C635">
            <w:pPr>
              <w:spacing w:line="360" w:lineRule="auto"/>
              <w:rPr>
                <w:rFonts w:eastAsiaTheme="majorEastAsia" w:cstheme="majorBidi"/>
                <w:b/>
                <w:bCs/>
              </w:rPr>
            </w:pPr>
            <w:r>
              <w:rPr>
                <w:rFonts w:eastAsiaTheme="majorEastAsia" w:cstheme="majorBidi"/>
                <w:b/>
                <w:bCs/>
                <w:sz w:val="18"/>
              </w:rPr>
              <w:t>gpcr_class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B0EA77D">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C3C1DC8">
            <w:pPr>
              <w:spacing w:line="360" w:lineRule="auto"/>
            </w:pPr>
            <w:r>
              <w:rPr>
                <w:sz w:val="18"/>
              </w:rPr>
              <w:t>A | B | C | F</w:t>
            </w:r>
          </w:p>
        </w:tc>
      </w:tr>
      <w:tr w14:paraId="0412375F">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5CBF96B">
            <w:pPr>
              <w:spacing w:line="360" w:lineRule="auto"/>
              <w:rPr>
                <w:rFonts w:eastAsiaTheme="majorEastAsia" w:cstheme="majorBidi"/>
                <w:b/>
                <w:bCs/>
              </w:rPr>
            </w:pPr>
            <w:r>
              <w:rPr>
                <w:rFonts w:eastAsiaTheme="majorEastAsia" w:cstheme="majorBidi"/>
                <w:b/>
                <w:bCs/>
                <w:sz w:val="18"/>
              </w:rPr>
              <w:t>gpcrdb_id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D2C5F93">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5B8535">
            <w:pPr>
              <w:spacing w:line="360" w:lineRule="auto"/>
            </w:pPr>
            <w:r>
              <w:rPr>
                <w:sz w:val="18"/>
              </w:rPr>
              <w:t>GPCRdb identifier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p>
        </w:tc>
      </w:tr>
      <w:tr w14:paraId="781D209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9E2E751">
            <w:pPr>
              <w:spacing w:line="360" w:lineRule="auto"/>
              <w:rPr>
                <w:rFonts w:eastAsiaTheme="majorEastAsia" w:cstheme="majorBidi"/>
                <w:b/>
                <w:bCs/>
              </w:rPr>
            </w:pPr>
            <w:r>
              <w:rPr>
                <w:rFonts w:eastAsiaTheme="majorEastAsia" w:cstheme="majorBidi"/>
                <w:b/>
                <w:bCs/>
                <w:sz w:val="18"/>
              </w:rPr>
              <w:t>g_protein_family</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0D0E3EC">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8C491E1">
            <w:pPr>
              <w:spacing w:line="360" w:lineRule="auto"/>
            </w:pPr>
            <w:r>
              <w:rPr>
                <w:sz w:val="18"/>
              </w:rPr>
              <w:t>Gi/o | Gs | Gq/11 | G12/13</w:t>
            </w:r>
          </w:p>
        </w:tc>
      </w:tr>
      <w:tr w14:paraId="721E41B5">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78B92C">
            <w:pPr>
              <w:spacing w:line="360" w:lineRule="auto"/>
              <w:rPr>
                <w:rFonts w:eastAsiaTheme="majorEastAsia" w:cstheme="majorBidi"/>
                <w:b/>
                <w:bCs/>
              </w:rPr>
            </w:pPr>
            <w:r>
              <w:rPr>
                <w:rFonts w:eastAsiaTheme="majorEastAsia" w:cstheme="majorBidi"/>
                <w:b/>
                <w:bCs/>
                <w:sz w:val="18"/>
              </w:rPr>
              <w:t>g_alpha_subtype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2647EF7">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678320">
            <w:pPr>
              <w:spacing w:line="360" w:lineRule="auto"/>
            </w:pPr>
            <w:r>
              <w:rPr>
                <w:sz w:val="18"/>
              </w:rPr>
              <w:t>Gα subtype (e.g. Gi1, Gs, Gq)</w:t>
            </w:r>
          </w:p>
        </w:tc>
      </w:tr>
      <w:tr w14:paraId="1A7D08D3">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CBC0DB">
            <w:pPr>
              <w:spacing w:line="360" w:lineRule="auto"/>
              <w:rPr>
                <w:rFonts w:eastAsiaTheme="majorEastAsia" w:cstheme="majorBidi"/>
                <w:b/>
                <w:bCs/>
              </w:rPr>
            </w:pPr>
            <w:r>
              <w:rPr>
                <w:rFonts w:eastAsiaTheme="majorEastAsia" w:cstheme="majorBidi"/>
                <w:b/>
                <w:bCs/>
                <w:sz w:val="18"/>
              </w:rPr>
              <w:t>ligand_name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CB24E06">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F682C6C">
            <w:pPr>
              <w:spacing w:line="360" w:lineRule="auto"/>
            </w:pPr>
            <w:r>
              <w:rPr>
                <w:sz w:val="18"/>
              </w:rPr>
              <w:t>Ligand display name</w:t>
            </w:r>
          </w:p>
        </w:tc>
      </w:tr>
      <w:tr w14:paraId="4CBA28A9">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9C8351C">
            <w:pPr>
              <w:spacing w:line="360" w:lineRule="auto"/>
              <w:rPr>
                <w:rFonts w:eastAsiaTheme="majorEastAsia" w:cstheme="majorBidi"/>
                <w:b/>
                <w:bCs/>
              </w:rPr>
            </w:pPr>
            <w:r>
              <w:rPr>
                <w:rFonts w:eastAsiaTheme="majorEastAsia" w:cstheme="majorBidi"/>
                <w:b/>
                <w:bCs/>
                <w:sz w:val="18"/>
              </w:rPr>
              <w:t>ligand_chem_id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0AA3E54">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E25D71C">
            <w:pPr>
              <w:spacing w:line="360" w:lineRule="auto"/>
            </w:pPr>
            <w:r>
              <w:rPr>
                <w:sz w:val="18"/>
              </w:rPr>
              <w:t>PDB chemical component ID where present</w:t>
            </w:r>
          </w:p>
        </w:tc>
      </w:tr>
      <w:tr w14:paraId="65B2DF43">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CB6ACEB">
            <w:pPr>
              <w:spacing w:line="360" w:lineRule="auto"/>
              <w:rPr>
                <w:rFonts w:eastAsiaTheme="majorEastAsia" w:cstheme="majorBidi"/>
                <w:b/>
                <w:bCs/>
              </w:rPr>
            </w:pPr>
            <w:r>
              <w:rPr>
                <w:rFonts w:eastAsiaTheme="majorEastAsia" w:cstheme="majorBidi"/>
                <w:b/>
                <w:bCs/>
                <w:sz w:val="18"/>
              </w:rPr>
              <w:t>state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7147ED3">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8523B1E">
            <w:pPr>
              <w:spacing w:line="360" w:lineRule="auto"/>
            </w:pPr>
            <w:r>
              <w:rPr>
                <w:sz w:val="18"/>
              </w:rPr>
              <w:t>active | inactive | engineered | uncertain</w:t>
            </w:r>
          </w:p>
        </w:tc>
      </w:tr>
      <w:tr w14:paraId="450E94DD">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A2C06BA">
            <w:pPr>
              <w:spacing w:line="360" w:lineRule="auto"/>
              <w:rPr>
                <w:rFonts w:eastAsiaTheme="majorEastAsia" w:cstheme="majorBidi"/>
                <w:b/>
                <w:bCs/>
              </w:rPr>
            </w:pPr>
            <w:r>
              <w:rPr>
                <w:rFonts w:eastAsiaTheme="majorEastAsia" w:cstheme="majorBidi"/>
                <w:b/>
                <w:bCs/>
                <w:sz w:val="18"/>
              </w:rPr>
              <w:t>source_pdb</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60ACAF0">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1829F7">
            <w:pPr>
              <w:spacing w:line="360" w:lineRule="auto"/>
            </w:pPr>
            <w:r>
              <w:rPr>
                <w:sz w:val="18"/>
              </w:rPr>
              <w:t>Source PDB identifier</w:t>
            </w:r>
          </w:p>
        </w:tc>
      </w:tr>
      <w:tr w14:paraId="71A8B6CE">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B71BB99">
            <w:pPr>
              <w:spacing w:line="360" w:lineRule="auto"/>
              <w:rPr>
                <w:rFonts w:eastAsiaTheme="majorEastAsia" w:cstheme="majorBidi"/>
                <w:b/>
                <w:bCs/>
              </w:rPr>
            </w:pPr>
            <w:r>
              <w:rPr>
                <w:rFonts w:eastAsiaTheme="majorEastAsia" w:cstheme="majorBidi"/>
                <w:b/>
                <w:bCs/>
                <w:sz w:val="18"/>
              </w:rPr>
              <w:t>n_replicas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536CA34">
            <w:pPr>
              <w:spacing w:line="360" w:lineRule="auto"/>
            </w:pPr>
            <w:r>
              <w:rPr>
                <w:sz w:val="18"/>
              </w:rPr>
              <w:t>int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1F7FCC4">
            <w:pPr>
              <w:spacing w:line="360" w:lineRule="auto"/>
            </w:pPr>
            <w:r>
              <w:rPr>
                <w:sz w:val="18"/>
              </w:rPr>
              <w:t>Number of production replicas (typically 3)</w:t>
            </w:r>
          </w:p>
        </w:tc>
      </w:tr>
      <w:tr w14:paraId="15E7A17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079E13D">
            <w:pPr>
              <w:spacing w:line="360" w:lineRule="auto"/>
              <w:rPr>
                <w:rFonts w:eastAsiaTheme="majorEastAsia" w:cstheme="majorBidi"/>
                <w:b/>
                <w:bCs/>
              </w:rPr>
            </w:pPr>
            <w:r>
              <w:rPr>
                <w:rFonts w:eastAsiaTheme="majorEastAsia" w:cstheme="majorBidi"/>
                <w:b/>
                <w:bCs/>
                <w:sz w:val="18"/>
              </w:rPr>
              <w:t>length_per_replica_ns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EC2CA4A">
            <w:pPr>
              <w:spacing w:line="360" w:lineRule="auto"/>
            </w:pPr>
            <w:r>
              <w:rPr>
                <w:sz w:val="18"/>
              </w:rPr>
              <w:t>float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D7265D">
            <w:pPr>
              <w:spacing w:line="360" w:lineRule="auto"/>
            </w:pPr>
            <w:r>
              <w:rPr>
                <w:sz w:val="18"/>
              </w:rPr>
              <w:t>Per-replica production length (ns)</w:t>
            </w:r>
          </w:p>
        </w:tc>
      </w:tr>
      <w:tr w14:paraId="58B6ADA9">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22935DA">
            <w:pPr>
              <w:spacing w:line="360" w:lineRule="auto"/>
              <w:rPr>
                <w:rFonts w:eastAsiaTheme="majorEastAsia" w:cstheme="majorBidi"/>
                <w:b/>
                <w:bCs/>
              </w:rPr>
            </w:pPr>
            <w:r>
              <w:rPr>
                <w:rFonts w:eastAsiaTheme="majorEastAsia" w:cstheme="majorBidi"/>
                <w:b/>
                <w:bCs/>
                <w:sz w:val="18"/>
              </w:rPr>
              <w:t>total_sampling_ns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203E92D">
            <w:pPr>
              <w:spacing w:line="360" w:lineRule="auto"/>
            </w:pPr>
            <w:r>
              <w:rPr>
                <w:sz w:val="18"/>
              </w:rPr>
              <w:t>float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B153C49">
            <w:pPr>
              <w:spacing w:line="360" w:lineRule="auto"/>
            </w:pPr>
            <w:r>
              <w:rPr>
                <w:sz w:val="18"/>
              </w:rPr>
              <w:t>Aggregate per-system sampling (ns)</w:t>
            </w:r>
          </w:p>
        </w:tc>
      </w:tr>
      <w:tr w14:paraId="2AC9B79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33110DF">
            <w:pPr>
              <w:spacing w:line="360" w:lineRule="auto"/>
              <w:rPr>
                <w:rFonts w:eastAsiaTheme="majorEastAsia" w:cstheme="majorBidi"/>
                <w:b/>
                <w:bCs/>
              </w:rPr>
            </w:pPr>
            <w:r>
              <w:rPr>
                <w:rFonts w:eastAsiaTheme="majorEastAsia" w:cstheme="majorBidi"/>
                <w:b/>
                <w:bCs/>
                <w:sz w:val="18"/>
              </w:rPr>
              <w:t>force_field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C612B1B">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6BF7A74">
            <w:pPr>
              <w:spacing w:line="360" w:lineRule="auto"/>
              <w:rPr>
                <w:rFonts w:eastAsia="宋体"/>
                <w:lang w:eastAsia="zh-CN"/>
              </w:rPr>
            </w:pPr>
            <w:r>
              <w:rPr>
                <w:sz w:val="18"/>
              </w:rPr>
              <w:t>CHARMM36m and engine/protocol annotations</w:t>
            </w:r>
            <w:r>
              <w:rPr>
                <w:sz w:val="18"/>
              </w:rPr>
              <w:fldChar w:fldCharType="begin"/>
            </w:r>
            <w:r>
              <w:rPr>
                <w:sz w:val="18"/>
              </w:rPr>
              <w:instrText xml:space="preserve"> ADDIN EN.CITE &lt;EndNote&gt;&lt;Cite&gt;&lt;Author&gt;Huang&lt;/Author&gt;&lt;Year&gt;2017&lt;/Year&gt;&lt;RecNum&gt;1384&lt;/RecNum&gt;&lt;DisplayText&gt;&lt;style face="superscript"&gt;9&lt;/style&gt;&lt;/DisplayText&gt;&lt;record&gt;&lt;rec-number&gt;1384&lt;/rec-number&gt;&lt;foreign-keys&gt;&lt;key app="EN" db-id="dftpt9a5ep2a0wev9prvz597dsf0vwptfxes" timestamp="1703483696" guid="35cd9134-091f-49c4-a731-3a2d548efdd7"&gt;1384&lt;/key&gt;&lt;/foreign-keys&gt;&lt;ref-type name="Journal Article"&gt;17&lt;/ref-type&gt;&lt;contributors&gt;&lt;authors&gt;&lt;author&gt;Huang, Jing&lt;/author&gt;&lt;author&gt;Rauscher, Sarah&lt;/author&gt;&lt;author&gt;Nawrocki, Grzegorz&lt;/author&gt;&lt;author&gt;Ran, Ting&lt;/author&gt;&lt;author&gt;Feig, Michael&lt;/author&gt;&lt;author&gt;de Groot, Bert L.&lt;/author&gt;&lt;author&gt;Grubmüller, Helmut&lt;/author&gt;&lt;author&gt;MacKerell, Alexander D.&lt;/author&gt;&lt;/authors&gt;&lt;/contributors&gt;&lt;titles&gt;&lt;title&gt;CHARMM36m: an improved force field for folded and intrinsically disordered proteins&lt;/title&gt;&lt;secondary-title&gt;Nature Methods&lt;/secondary-title&gt;&lt;/titles&gt;&lt;pages&gt;71-73&lt;/pages&gt;&lt;volume&gt;14&lt;/volume&gt;&lt;number&gt;1&lt;/number&gt;&lt;dates&gt;&lt;year&gt;2017&lt;/year&gt;&lt;pub-dates&gt;&lt;date&gt;2017/01/01&lt;/date&gt;&lt;/pub-dates&gt;&lt;/dates&gt;&lt;isbn&gt;1548-7105&lt;/isbn&gt;&lt;urls&gt;&lt;related-urls&gt;&lt;url&gt;https://doi.org/10.1038/nmeth.4067&lt;/url&gt;&lt;/related-urls&gt;&lt;/urls&gt;&lt;electronic-resource-num&gt;10.1038/nmeth.4067&lt;/electronic-resource-num&gt;&lt;/record&gt;&lt;/Cite&gt;&lt;/EndNote&gt;</w:instrText>
            </w:r>
            <w:r>
              <w:rPr>
                <w:sz w:val="18"/>
              </w:rPr>
              <w:fldChar w:fldCharType="separate"/>
            </w:r>
            <w:r>
              <w:rPr>
                <w:sz w:val="18"/>
                <w:vertAlign w:val="superscript"/>
              </w:rPr>
              <w:t>9</w:t>
            </w:r>
            <w:r>
              <w:rPr>
                <w:sz w:val="18"/>
              </w:rPr>
              <w:fldChar w:fldCharType="end"/>
            </w:r>
          </w:p>
        </w:tc>
      </w:tr>
      <w:tr w14:paraId="512CBFD0">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794003B">
            <w:pPr>
              <w:spacing w:line="360" w:lineRule="auto"/>
              <w:rPr>
                <w:rFonts w:eastAsiaTheme="majorEastAsia" w:cstheme="majorBidi"/>
                <w:b/>
                <w:bCs/>
              </w:rPr>
            </w:pPr>
            <w:r>
              <w:rPr>
                <w:rFonts w:eastAsiaTheme="majorEastAsia" w:cstheme="majorBidi"/>
                <w:b/>
                <w:bCs/>
                <w:sz w:val="18"/>
              </w:rPr>
              <w:t>lipid_composition</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3D9A702">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FE8CDD1">
            <w:pPr>
              <w:spacing w:line="360" w:lineRule="auto"/>
            </w:pPr>
            <w:r>
              <w:rPr>
                <w:sz w:val="18"/>
              </w:rPr>
              <w:t>POPC unless otherwise noted</w:t>
            </w:r>
          </w:p>
        </w:tc>
      </w:tr>
      <w:tr w14:paraId="0F6162ED">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CC77630">
            <w:pPr>
              <w:spacing w:line="360" w:lineRule="auto"/>
              <w:rPr>
                <w:rFonts w:eastAsiaTheme="majorEastAsia" w:cstheme="majorBidi"/>
                <w:b/>
                <w:bCs/>
              </w:rPr>
            </w:pPr>
            <w:r>
              <w:rPr>
                <w:rFonts w:eastAsiaTheme="majorEastAsia" w:cstheme="majorBidi"/>
                <w:b/>
                <w:bCs/>
                <w:sz w:val="18"/>
              </w:rPr>
              <w:t>trajectory_path</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B0DF14B">
            <w:pPr>
              <w:spacing w:line="360" w:lineRule="auto"/>
            </w:pPr>
            <w:r>
              <w:rPr>
                <w:sz w:val="18"/>
              </w:rPr>
              <w:t>path</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0EEACA0">
            <w:pPr>
              <w:spacing w:line="360" w:lineRule="auto"/>
            </w:pPr>
            <w:r>
              <w:rPr>
                <w:sz w:val="18"/>
              </w:rPr>
              <w:t>Production trajectory path</w:t>
            </w:r>
          </w:p>
        </w:tc>
      </w:tr>
      <w:tr w14:paraId="0547D0B6">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61CC7AF">
            <w:pPr>
              <w:spacing w:line="360" w:lineRule="auto"/>
              <w:rPr>
                <w:rFonts w:eastAsiaTheme="majorEastAsia" w:cstheme="majorBidi"/>
                <w:b/>
                <w:bCs/>
              </w:rPr>
            </w:pPr>
            <w:r>
              <w:rPr>
                <w:rFonts w:eastAsiaTheme="majorEastAsia" w:cstheme="majorBidi"/>
                <w:b/>
                <w:bCs/>
                <w:sz w:val="18"/>
              </w:rPr>
              <w:t>topology_path</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9255725">
            <w:pPr>
              <w:spacing w:line="360" w:lineRule="auto"/>
            </w:pPr>
            <w:r>
              <w:rPr>
                <w:sz w:val="18"/>
              </w:rPr>
              <w:t>path</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8D06B9">
            <w:pPr>
              <w:spacing w:line="360" w:lineRule="auto"/>
            </w:pPr>
            <w:r>
              <w:rPr>
                <w:sz w:val="18"/>
              </w:rPr>
              <w:t>Topology/parameter file path</w:t>
            </w:r>
          </w:p>
        </w:tc>
      </w:tr>
      <w:tr w14:paraId="7F64919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1E8001">
            <w:pPr>
              <w:spacing w:line="360" w:lineRule="auto"/>
              <w:rPr>
                <w:rFonts w:eastAsiaTheme="majorEastAsia" w:cstheme="majorBidi"/>
                <w:b/>
                <w:bCs/>
              </w:rPr>
            </w:pPr>
            <w:r>
              <w:rPr>
                <w:rFonts w:eastAsiaTheme="majorEastAsia" w:cstheme="majorBidi"/>
                <w:b/>
                <w:bCs/>
                <w:sz w:val="18"/>
              </w:rPr>
              <w:t>qc_status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0216E72">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D96DB36">
            <w:pPr>
              <w:spacing w:line="360" w:lineRule="auto"/>
            </w:pPr>
            <w:r>
              <w:rPr>
                <w:sz w:val="18"/>
              </w:rPr>
              <w:t>OK | WARN | fail</w:t>
            </w:r>
          </w:p>
        </w:tc>
      </w:tr>
      <w:tr w14:paraId="2E57529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0331C8F">
            <w:pPr>
              <w:spacing w:line="360" w:lineRule="auto"/>
              <w:rPr>
                <w:rFonts w:eastAsiaTheme="majorEastAsia" w:cstheme="majorBidi"/>
                <w:b/>
                <w:bCs/>
              </w:rPr>
            </w:pPr>
            <w:r>
              <w:rPr>
                <w:rFonts w:eastAsiaTheme="majorEastAsia" w:cstheme="majorBidi"/>
                <w:b/>
                <w:bCs/>
                <w:sz w:val="18"/>
              </w:rPr>
              <w:t>qc_reason</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3DB82C6">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734C431">
            <w:pPr>
              <w:spacing w:line="360" w:lineRule="auto"/>
            </w:pPr>
            <w:r>
              <w:rPr>
                <w:sz w:val="18"/>
              </w:rPr>
              <w:t>Reason for non-OK status if any</w:t>
            </w:r>
          </w:p>
        </w:tc>
      </w:tr>
      <w:tr w14:paraId="727D95D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708F719">
            <w:pPr>
              <w:spacing w:line="360" w:lineRule="auto"/>
              <w:rPr>
                <w:rFonts w:eastAsiaTheme="majorEastAsia" w:cstheme="majorBidi"/>
                <w:b/>
                <w:bCs/>
              </w:rPr>
            </w:pPr>
            <w:r>
              <w:rPr>
                <w:rFonts w:eastAsiaTheme="majorEastAsia" w:cstheme="majorBidi"/>
                <w:b/>
                <w:bCs/>
                <w:sz w:val="18"/>
              </w:rPr>
              <w:t>traj_sha256</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DFC5E69">
            <w:pPr>
              <w:spacing w:line="360" w:lineRule="auto"/>
            </w:pPr>
            <w:r>
              <w:rPr>
                <w:sz w:val="18"/>
              </w:rPr>
              <w:t>hex</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5BEC44D">
            <w:pPr>
              <w:spacing w:line="360" w:lineRule="auto"/>
            </w:pPr>
            <w:r>
              <w:rPr>
                <w:sz w:val="18"/>
              </w:rPr>
              <w:t>SHA-256 checksum of production trajectory</w:t>
            </w:r>
          </w:p>
        </w:tc>
      </w:tr>
      <w:tr w14:paraId="569C0FE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6EB1B99">
            <w:pPr>
              <w:spacing w:line="360" w:lineRule="auto"/>
              <w:rPr>
                <w:rFonts w:eastAsiaTheme="majorEastAsia" w:cstheme="majorBidi"/>
                <w:b/>
                <w:bCs/>
              </w:rPr>
            </w:pPr>
            <w:r>
              <w:rPr>
                <w:rFonts w:eastAsiaTheme="majorEastAsia" w:cstheme="majorBidi"/>
                <w:b/>
                <w:bCs/>
                <w:sz w:val="18"/>
              </w:rPr>
              <w:t>topo_sha256</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48E8E08">
            <w:pPr>
              <w:spacing w:line="360" w:lineRule="auto"/>
            </w:pPr>
            <w:r>
              <w:rPr>
                <w:sz w:val="18"/>
              </w:rPr>
              <w:t>hex</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BEB8D64">
            <w:pPr>
              <w:spacing w:line="360" w:lineRule="auto"/>
            </w:pPr>
            <w:r>
              <w:rPr>
                <w:sz w:val="18"/>
              </w:rPr>
              <w:t>SHA-256 checksum of topology file</w:t>
            </w:r>
          </w:p>
        </w:tc>
      </w:tr>
    </w:tbl>
    <w:p w14:paraId="3C1B7500">
      <w:pPr>
        <w:keepNext/>
        <w:spacing w:before="240" w:after="120" w:line="360" w:lineRule="auto"/>
      </w:pPr>
      <w:r>
        <w:rPr>
          <w:b/>
          <w:sz w:val="24"/>
        </w:rPr>
        <w:t>Data Availability</w:t>
      </w:r>
    </w:p>
    <w:p w14:paraId="0464578C">
      <w:pPr>
        <w:spacing w:line="360" w:lineRule="auto"/>
        <w:rPr>
          <w:sz w:val="24"/>
          <w:szCs w:val="24"/>
        </w:rPr>
      </w:pPr>
      <w:r>
        <w:rPr>
          <w:sz w:val="24"/>
          <w:szCs w:val="24"/>
        </w:rPr>
        <w:t>The CoupledMD clean-v1 dataset is deposited in a stable public archive before publication. Specific identifiers are inserted at proof stage.</w:t>
      </w:r>
    </w:p>
    <w:p w14:paraId="187F4178">
      <w:pPr>
        <w:spacing w:line="360" w:lineRule="auto"/>
        <w:rPr>
          <w:sz w:val="24"/>
          <w:szCs w:val="24"/>
        </w:rPr>
      </w:pPr>
      <w:r>
        <w:rPr>
          <w:b/>
          <w:sz w:val="24"/>
          <w:szCs w:val="24"/>
        </w:rPr>
        <w:t xml:space="preserve">Archive DOI/accession: </w:t>
      </w:r>
      <w:r>
        <w:rPr>
          <w:sz w:val="24"/>
          <w:szCs w:val="24"/>
        </w:rPr>
        <w:t>[repository name, accession or DOI pending].</w:t>
      </w:r>
    </w:p>
    <w:p w14:paraId="64FF677E">
      <w:pPr>
        <w:spacing w:line="360" w:lineRule="auto"/>
        <w:rPr>
          <w:sz w:val="24"/>
          <w:szCs w:val="24"/>
        </w:rPr>
      </w:pPr>
      <w:r>
        <w:rPr>
          <w:b/>
          <w:sz w:val="24"/>
          <w:szCs w:val="24"/>
        </w:rPr>
        <w:t xml:space="preserve">Web portal: </w:t>
      </w:r>
      <w:r>
        <w:fldChar w:fldCharType="begin"/>
      </w:r>
      <w:r>
        <w:instrText xml:space="preserve"> HYPERLINK "https://www.coupledmd.cn" \h </w:instrText>
      </w:r>
      <w:r>
        <w:fldChar w:fldCharType="separate"/>
      </w:r>
      <w:r>
        <w:rPr>
          <w:color w:val="0563C1"/>
          <w:sz w:val="24"/>
          <w:szCs w:val="24"/>
          <w:u w:val="single"/>
        </w:rPr>
        <w:t>https://www.coupledmd.cn</w:t>
      </w:r>
      <w:r>
        <w:rPr>
          <w:color w:val="0563C1"/>
          <w:sz w:val="24"/>
          <w:szCs w:val="24"/>
          <w:u w:val="single"/>
        </w:rPr>
        <w:fldChar w:fldCharType="end"/>
      </w:r>
    </w:p>
    <w:p w14:paraId="353230E1">
      <w:pPr>
        <w:spacing w:line="360" w:lineRule="auto"/>
        <w:rPr>
          <w:sz w:val="24"/>
          <w:szCs w:val="24"/>
        </w:rPr>
      </w:pPr>
      <w:r>
        <w:rPr>
          <w:b/>
          <w:sz w:val="24"/>
          <w:szCs w:val="24"/>
        </w:rPr>
        <w:t xml:space="preserve">API documentation: </w:t>
      </w:r>
      <w:r>
        <w:rPr>
          <w:sz w:val="24"/>
          <w:szCs w:val="24"/>
        </w:rPr>
        <w:t>https://www.coupledmd.cn/api/docs and https://www.coupledmd.cn/api/redoc, if these routes remain active at submission.</w:t>
      </w:r>
    </w:p>
    <w:p w14:paraId="6189F4FD">
      <w:pPr>
        <w:spacing w:line="360" w:lineRule="auto"/>
        <w:rPr>
          <w:sz w:val="24"/>
          <w:szCs w:val="24"/>
        </w:rPr>
      </w:pPr>
      <w:r>
        <w:rPr>
          <w:b/>
          <w:sz w:val="24"/>
          <w:szCs w:val="24"/>
        </w:rPr>
        <w:t xml:space="preserve">Dataset licence: </w:t>
      </w:r>
      <w:r>
        <w:rPr>
          <w:sz w:val="24"/>
          <w:szCs w:val="24"/>
        </w:rPr>
        <w:t>CC-BY-4.0 (or the final selected open data licence).</w:t>
      </w:r>
    </w:p>
    <w:p w14:paraId="0488722B">
      <w:pPr>
        <w:spacing w:line="360" w:lineRule="auto"/>
        <w:rPr>
          <w:sz w:val="24"/>
          <w:szCs w:val="24"/>
        </w:rPr>
      </w:pPr>
      <w:r>
        <w:rPr>
          <w:b/>
          <w:sz w:val="24"/>
          <w:szCs w:val="24"/>
        </w:rPr>
        <w:t xml:space="preserve">Dataset version: </w:t>
      </w:r>
      <w:r>
        <w:rPr>
          <w:sz w:val="24"/>
          <w:szCs w:val="24"/>
        </w:rPr>
        <w:t>clean-v1.</w:t>
      </w:r>
    </w:p>
    <w:p w14:paraId="01909073">
      <w:pPr>
        <w:spacing w:line="360" w:lineRule="auto"/>
        <w:rPr>
          <w:sz w:val="24"/>
          <w:szCs w:val="24"/>
        </w:rPr>
      </w:pPr>
      <w:r>
        <w:rPr>
          <w:sz w:val="24"/>
          <w:szCs w:val="24"/>
        </w:rPr>
        <w:t>The web portal and API provide access and visualization layers. The archive record and checksum manifest should be cited for reproducible reuse.</w:t>
      </w:r>
    </w:p>
    <w:p w14:paraId="2202416E">
      <w:pPr>
        <w:keepNext/>
        <w:spacing w:before="240" w:after="120" w:line="360" w:lineRule="auto"/>
      </w:pPr>
      <w:r>
        <w:rPr>
          <w:b/>
          <w:sz w:val="24"/>
        </w:rPr>
        <w:t>Code Availability</w:t>
      </w:r>
    </w:p>
    <w:p w14:paraId="4B94CE89">
      <w:pPr>
        <w:spacing w:line="360" w:lineRule="auto"/>
        <w:rPr>
          <w:sz w:val="24"/>
          <w:szCs w:val="24"/>
        </w:rPr>
      </w:pPr>
      <w:r>
        <w:rPr>
          <w:b/>
          <w:sz w:val="24"/>
          <w:szCs w:val="24"/>
        </w:rPr>
        <w:t xml:space="preserve">Code repository: </w:t>
      </w:r>
      <w:r>
        <w:rPr>
          <w:sz w:val="24"/>
          <w:szCs w:val="24"/>
        </w:rPr>
        <w:t>[GitHub or institutional repository URL pending].</w:t>
      </w:r>
    </w:p>
    <w:p w14:paraId="26C43E3E">
      <w:pPr>
        <w:spacing w:line="360" w:lineRule="auto"/>
        <w:rPr>
          <w:sz w:val="24"/>
          <w:szCs w:val="24"/>
        </w:rPr>
      </w:pPr>
      <w:r>
        <w:rPr>
          <w:b/>
          <w:sz w:val="24"/>
          <w:szCs w:val="24"/>
        </w:rPr>
        <w:t xml:space="preserve">Code licence: </w:t>
      </w:r>
      <w:r>
        <w:rPr>
          <w:sz w:val="24"/>
          <w:szCs w:val="24"/>
        </w:rPr>
        <w:t>MIT (or final selected open-source licence).</w:t>
      </w:r>
    </w:p>
    <w:p w14:paraId="519491DC">
      <w:pPr>
        <w:spacing w:line="360" w:lineRule="auto"/>
        <w:jc w:val="both"/>
        <w:rPr>
          <w:sz w:val="24"/>
          <w:szCs w:val="24"/>
        </w:rPr>
      </w:pPr>
      <w:r>
        <w:rPr>
          <w:sz w:val="24"/>
          <w:szCs w:val="24"/>
        </w:rPr>
        <w:t>Figure and table generation scripts (generate_scidata_figure1.py, generate_scidata_figure2.py, generate_scidata_figure3.py, generate_scidata_figure4.py, generate_scidata_extra_figures.py) and supporting style and table-generation scripts are released alongside the manuscript. The OpenAPI schema snapshot, JSON parsing utilities and qc/audit scripts are also distributed for reuse.</w:t>
      </w:r>
    </w:p>
    <w:p w14:paraId="4BAC8DBF">
      <w:pPr>
        <w:keepNext/>
        <w:spacing w:before="240" w:after="120" w:line="360" w:lineRule="auto"/>
      </w:pPr>
      <w:r>
        <w:rPr>
          <w:b/>
          <w:sz w:val="24"/>
        </w:rPr>
        <w:t>Acknowledgements</w:t>
      </w:r>
    </w:p>
    <w:p w14:paraId="2359C51D">
      <w:pPr>
        <w:keepNext/>
        <w:spacing w:before="240" w:after="120" w:line="360" w:lineRule="auto"/>
      </w:pPr>
      <w:r>
        <w:rPr>
          <w:b/>
          <w:sz w:val="24"/>
        </w:rPr>
        <w:t>Funding</w:t>
      </w:r>
    </w:p>
    <w:p w14:paraId="2392DD73">
      <w:pPr>
        <w:spacing w:line="360" w:lineRule="auto"/>
        <w:ind w:firstLine="480" w:firstLineChars="200"/>
        <w:jc w:val="both"/>
        <w:rPr>
          <w:sz w:val="24"/>
          <w:szCs w:val="24"/>
        </w:rPr>
      </w:pPr>
      <w:r>
        <w:rPr>
          <w:sz w:val="24"/>
          <w:szCs w:val="24"/>
        </w:rPr>
        <w:t xml:space="preserve">This study was supported by grants from the Noncommunicable Chronic Diseases-National Science and Technology Major Project (No. 2024ZD0531200) and the Innovative Research Team of High-Level Local Universities in Shanghai. </w:t>
      </w:r>
    </w:p>
    <w:p w14:paraId="7EB082B1">
      <w:pPr>
        <w:keepNext/>
        <w:spacing w:before="240" w:after="120" w:line="360" w:lineRule="auto"/>
      </w:pPr>
      <w:r>
        <w:rPr>
          <w:b/>
          <w:sz w:val="24"/>
        </w:rPr>
        <w:t>Author Contributions</w:t>
      </w:r>
    </w:p>
    <w:p w14:paraId="596978FE">
      <w:pPr>
        <w:spacing w:line="360" w:lineRule="auto"/>
        <w:ind w:firstLine="480" w:firstLineChars="200"/>
        <w:jc w:val="both"/>
        <w:rPr>
          <w:sz w:val="24"/>
          <w:szCs w:val="24"/>
        </w:rPr>
      </w:pPr>
      <w:r>
        <w:rPr>
          <w:sz w:val="24"/>
          <w:szCs w:val="24"/>
        </w:rPr>
        <w:t xml:space="preserve">S.L </w:t>
      </w:r>
      <w:r>
        <w:rPr>
          <w:rFonts w:hint="eastAsia"/>
          <w:sz w:val="24"/>
          <w:szCs w:val="24"/>
        </w:rPr>
        <w:t xml:space="preserve">and </w:t>
      </w:r>
      <w:r>
        <w:rPr>
          <w:sz w:val="24"/>
          <w:szCs w:val="24"/>
        </w:rPr>
        <w:t xml:space="preserve">J.H conceived the dataset. </w:t>
      </w:r>
      <w:r>
        <w:rPr>
          <w:rFonts w:hint="eastAsia"/>
          <w:sz w:val="24"/>
          <w:szCs w:val="24"/>
        </w:rPr>
        <w:t>J.H</w:t>
      </w:r>
      <w:r>
        <w:rPr>
          <w:sz w:val="24"/>
          <w:szCs w:val="24"/>
        </w:rPr>
        <w:t xml:space="preserve"> curated the GPCR/G-protein system inventory. </w:t>
      </w:r>
      <w:r>
        <w:rPr>
          <w:rFonts w:hint="eastAsia"/>
          <w:sz w:val="24"/>
          <w:szCs w:val="24"/>
        </w:rPr>
        <w:t>J.H</w:t>
      </w:r>
      <w:r>
        <w:rPr>
          <w:sz w:val="24"/>
          <w:szCs w:val="24"/>
        </w:rPr>
        <w:t xml:space="preserve"> prepared and ran molecular dynamics simulations. </w:t>
      </w:r>
      <w:r>
        <w:rPr>
          <w:rFonts w:hint="eastAsia"/>
          <w:sz w:val="24"/>
          <w:szCs w:val="24"/>
        </w:rPr>
        <w:t>J.H</w:t>
      </w:r>
      <w:r>
        <w:rPr>
          <w:sz w:val="24"/>
          <w:szCs w:val="24"/>
        </w:rPr>
        <w:t xml:space="preserve"> generated trajectory-processing and annotation workflows. </w:t>
      </w:r>
      <w:r>
        <w:rPr>
          <w:rFonts w:hint="eastAsia"/>
          <w:sz w:val="24"/>
          <w:szCs w:val="24"/>
        </w:rPr>
        <w:t>J.H</w:t>
      </w:r>
      <w:r>
        <w:rPr>
          <w:sz w:val="24"/>
          <w:szCs w:val="24"/>
        </w:rPr>
        <w:t xml:space="preserve"> developed the web portal and REST API. </w:t>
      </w:r>
      <w:r>
        <w:rPr>
          <w:rFonts w:hint="eastAsia"/>
          <w:sz w:val="24"/>
          <w:szCs w:val="24"/>
        </w:rPr>
        <w:t>J.H</w:t>
      </w:r>
      <w:r>
        <w:rPr>
          <w:sz w:val="24"/>
          <w:szCs w:val="24"/>
        </w:rPr>
        <w:t xml:space="preserve"> generated figures and tables. </w:t>
      </w:r>
      <w:r>
        <w:rPr>
          <w:rFonts w:hint="eastAsia"/>
          <w:sz w:val="24"/>
          <w:szCs w:val="24"/>
        </w:rPr>
        <w:t>J.H and S.L</w:t>
      </w:r>
      <w:r>
        <w:rPr>
          <w:sz w:val="24"/>
          <w:szCs w:val="24"/>
        </w:rPr>
        <w:t xml:space="preserve"> wrote the manuscript with input from all authors. All authors reviewed and approved the final manuscript.</w:t>
      </w:r>
    </w:p>
    <w:p w14:paraId="1E2EF855">
      <w:pPr>
        <w:keepNext/>
        <w:spacing w:before="240" w:after="120" w:line="360" w:lineRule="auto"/>
      </w:pPr>
      <w:r>
        <w:rPr>
          <w:b/>
          <w:sz w:val="24"/>
        </w:rPr>
        <w:t>Competing Interests</w:t>
      </w:r>
    </w:p>
    <w:p w14:paraId="0AF998C4">
      <w:pPr>
        <w:spacing w:line="360" w:lineRule="auto"/>
        <w:jc w:val="both"/>
        <w:rPr>
          <w:sz w:val="24"/>
          <w:szCs w:val="24"/>
        </w:rPr>
      </w:pPr>
      <w:r>
        <w:rPr>
          <w:sz w:val="24"/>
          <w:szCs w:val="24"/>
        </w:rPr>
        <w:t xml:space="preserve">The authors declare no competing interests. </w:t>
      </w:r>
    </w:p>
    <w:p w14:paraId="24666069">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References</w:t>
      </w:r>
    </w:p>
    <w:p w14:paraId="068D6162">
      <w:pPr>
        <w:spacing w:after="40"/>
        <w:ind w:left="340" w:hanging="340"/>
      </w:pPr>
      <w:r>
        <w:rPr>
          <w:b/>
          <w:sz w:val="18"/>
        </w:rPr>
        <w:t xml:space="preserve">1. </w:t>
      </w:r>
      <w:r>
        <w:rPr>
          <w:sz w:val="18"/>
        </w:rPr>
        <w:t>Hauser, A. S., Chavali, S., Masuho, I., Jahn, L. J., Martemyanov, K. A., Gloriam, D. E. &amp; Babu, M. M.. Pharmacogenomics of GPCR drug targets.  Cell 172, 197–214 (2018).</w:t>
      </w:r>
      <w:r>
        <w:fldChar w:fldCharType="begin"/>
      </w:r>
      <w:r>
        <w:instrText xml:space="preserve"> HYPERLINK "https://doi.org/10.1016/j.cell.2017.12.027" \h </w:instrText>
      </w:r>
      <w:r>
        <w:fldChar w:fldCharType="separate"/>
      </w:r>
      <w:r>
        <w:rPr>
          <w:color w:val="0563C1"/>
          <w:sz w:val="18"/>
          <w:u w:val="single"/>
        </w:rPr>
        <w:t xml:space="preserve"> https://doi.org/10.1016/j.cell.2017.12.027</w:t>
      </w:r>
      <w:r>
        <w:rPr>
          <w:color w:val="0563C1"/>
          <w:sz w:val="18"/>
          <w:u w:val="single"/>
        </w:rPr>
        <w:fldChar w:fldCharType="end"/>
      </w:r>
    </w:p>
    <w:p w14:paraId="78DD99C8">
      <w:pPr>
        <w:spacing w:after="40"/>
        <w:ind w:left="340" w:hanging="340"/>
      </w:pPr>
      <w:r>
        <w:rPr>
          <w:b/>
          <w:sz w:val="18"/>
        </w:rPr>
        <w:t xml:space="preserve">2. </w:t>
      </w:r>
      <w:r>
        <w:rPr>
          <w:sz w:val="18"/>
        </w:rPr>
        <w:t>Weis, W. I. &amp; Kobilka, B. K.. The molecular basis of G protein-coupled receptor activation.  Annu. Rev. Biochem. 87, 897–919 (2018).</w:t>
      </w:r>
      <w:r>
        <w:fldChar w:fldCharType="begin"/>
      </w:r>
      <w:r>
        <w:instrText xml:space="preserve"> HYPERLINK "https://doi.org/10.1146/annurev-biochem-060614-033910" \h </w:instrText>
      </w:r>
      <w:r>
        <w:fldChar w:fldCharType="separate"/>
      </w:r>
      <w:r>
        <w:rPr>
          <w:color w:val="0563C1"/>
          <w:sz w:val="18"/>
          <w:u w:val="single"/>
        </w:rPr>
        <w:t xml:space="preserve"> https://doi.org/10.1146/annurev-biochem-060614-033910</w:t>
      </w:r>
      <w:r>
        <w:rPr>
          <w:color w:val="0563C1"/>
          <w:sz w:val="18"/>
          <w:u w:val="single"/>
        </w:rPr>
        <w:fldChar w:fldCharType="end"/>
      </w:r>
    </w:p>
    <w:p w14:paraId="68617BCC">
      <w:pPr>
        <w:spacing w:after="40"/>
        <w:ind w:left="340" w:hanging="340"/>
      </w:pPr>
      <w:r>
        <w:rPr>
          <w:b/>
          <w:sz w:val="18"/>
        </w:rPr>
        <w:t xml:space="preserve">3. </w:t>
      </w:r>
      <w:r>
        <w:rPr>
          <w:sz w:val="18"/>
        </w:rPr>
        <w:t>Kooistra, A. J., Mordalski, S., Pándy-Szekeres, G., Esguerra, M., Mamyrbekov, D., Karpiarz, A., et al.. GPCRdb in 2024: integrating GPCR sequence, structure and function.  Nucleic Acids Res. 52, D148–D157 (2024).</w:t>
      </w:r>
      <w:r>
        <w:fldChar w:fldCharType="begin"/>
      </w:r>
      <w:r>
        <w:instrText xml:space="preserve"> HYPERLINK "https://doi.org/10.1093/nar/gkad1011" \h </w:instrText>
      </w:r>
      <w:r>
        <w:fldChar w:fldCharType="separate"/>
      </w:r>
      <w:r>
        <w:rPr>
          <w:color w:val="0563C1"/>
          <w:sz w:val="18"/>
          <w:u w:val="single"/>
        </w:rPr>
        <w:t xml:space="preserve"> https://doi.org/10.1093/nar/gkad1011</w:t>
      </w:r>
      <w:r>
        <w:rPr>
          <w:color w:val="0563C1"/>
          <w:sz w:val="18"/>
          <w:u w:val="single"/>
        </w:rPr>
        <w:fldChar w:fldCharType="end"/>
      </w:r>
    </w:p>
    <w:p w14:paraId="7ED741E8">
      <w:pPr>
        <w:spacing w:after="40"/>
        <w:ind w:left="340" w:hanging="340"/>
      </w:pPr>
      <w:r>
        <w:rPr>
          <w:b/>
          <w:sz w:val="18"/>
        </w:rPr>
        <w:t xml:space="preserve">4. </w:t>
      </w:r>
      <w:r>
        <w:rPr>
          <w:sz w:val="18"/>
        </w:rPr>
        <w:t>Rodriguez-Espigares, I., Tournier, M., Bondarev, D., Maria, C., Marrink, S. J., Deupi, X. &amp; Gutierrez-de-Terán, H.. GPCRmd uncovers the dynamics of the 3D-GPCRome.  Nat. Methods 17, 777–787 (2020).</w:t>
      </w:r>
      <w:r>
        <w:fldChar w:fldCharType="begin"/>
      </w:r>
      <w:r>
        <w:instrText xml:space="preserve"> HYPERLINK "https://doi.org/10.1038/s41592-020-0884-y" \h </w:instrText>
      </w:r>
      <w:r>
        <w:fldChar w:fldCharType="separate"/>
      </w:r>
      <w:r>
        <w:rPr>
          <w:color w:val="0563C1"/>
          <w:sz w:val="18"/>
          <w:u w:val="single"/>
        </w:rPr>
        <w:t xml:space="preserve"> https://doi.org/10.1038/s41592-020-0884-y</w:t>
      </w:r>
      <w:r>
        <w:rPr>
          <w:color w:val="0563C1"/>
          <w:sz w:val="18"/>
          <w:u w:val="single"/>
        </w:rPr>
        <w:fldChar w:fldCharType="end"/>
      </w:r>
    </w:p>
    <w:p w14:paraId="23086AB4">
      <w:pPr>
        <w:spacing w:after="40"/>
        <w:ind w:left="340" w:hanging="340"/>
      </w:pPr>
      <w:r>
        <w:rPr>
          <w:b/>
          <w:sz w:val="18"/>
        </w:rPr>
        <w:t xml:space="preserve">5. </w:t>
      </w:r>
      <w:r>
        <w:rPr>
          <w:sz w:val="18"/>
        </w:rPr>
        <w:t>Mirarchi, A., Giorgino, T. &amp; De Fabritiis, G.. mdCATH: a large-scale MD dataset for data-driven computational biophysics.  Sci. Data 11, 1299 (2024).</w:t>
      </w:r>
      <w:r>
        <w:fldChar w:fldCharType="begin"/>
      </w:r>
      <w:r>
        <w:instrText xml:space="preserve"> HYPERLINK "https://doi.org/10.1038/s41597-024-04140-z" \h </w:instrText>
      </w:r>
      <w:r>
        <w:fldChar w:fldCharType="separate"/>
      </w:r>
      <w:r>
        <w:rPr>
          <w:color w:val="0563C1"/>
          <w:sz w:val="18"/>
          <w:u w:val="single"/>
        </w:rPr>
        <w:t xml:space="preserve"> https://doi.org/10.1038/s41597-024-04140-z</w:t>
      </w:r>
      <w:r>
        <w:rPr>
          <w:color w:val="0563C1"/>
          <w:sz w:val="18"/>
          <w:u w:val="single"/>
        </w:rPr>
        <w:fldChar w:fldCharType="end"/>
      </w:r>
    </w:p>
    <w:p w14:paraId="14F233F7">
      <w:pPr>
        <w:spacing w:after="40"/>
        <w:ind w:left="340" w:hanging="340"/>
      </w:pPr>
      <w:r>
        <w:rPr>
          <w:b/>
          <w:sz w:val="18"/>
        </w:rPr>
        <w:t xml:space="preserve">6. </w:t>
      </w:r>
      <w:r>
        <w:rPr>
          <w:sz w:val="18"/>
        </w:rPr>
        <w:t>Berman, H. M., Westbrook, J., Feng, Z., Gilliland, G., Bhat, T. N., Weissig, H., et al.. The Protein Data Bank.  Nucleic Acids Res. 28, 235–242 (2000).</w:t>
      </w:r>
      <w:r>
        <w:fldChar w:fldCharType="begin"/>
      </w:r>
      <w:r>
        <w:instrText xml:space="preserve"> HYPERLINK "https://doi.org/10.1093/nar/28.1.235" \h </w:instrText>
      </w:r>
      <w:r>
        <w:fldChar w:fldCharType="separate"/>
      </w:r>
      <w:r>
        <w:rPr>
          <w:color w:val="0563C1"/>
          <w:sz w:val="18"/>
          <w:u w:val="single"/>
        </w:rPr>
        <w:t xml:space="preserve"> https://doi.org/10.1093/nar/28.1.235</w:t>
      </w:r>
      <w:r>
        <w:rPr>
          <w:color w:val="0563C1"/>
          <w:sz w:val="18"/>
          <w:u w:val="single"/>
        </w:rPr>
        <w:fldChar w:fldCharType="end"/>
      </w:r>
    </w:p>
    <w:p w14:paraId="2AC04387">
      <w:pPr>
        <w:spacing w:after="40"/>
        <w:ind w:left="340" w:hanging="340"/>
      </w:pPr>
      <w:r>
        <w:rPr>
          <w:b/>
          <w:sz w:val="18"/>
        </w:rPr>
        <w:t xml:space="preserve">7. </w:t>
      </w:r>
      <w:r>
        <w:rPr>
          <w:sz w:val="18"/>
        </w:rPr>
        <w:t>UniProt Consortium. UniProt: the Universal Protein Knowledgebase in 2025.  Nucleic Acids Res. 53, D609–D617 (2025).</w:t>
      </w:r>
      <w:r>
        <w:fldChar w:fldCharType="begin"/>
      </w:r>
      <w:r>
        <w:instrText xml:space="preserve"> HYPERLINK "https://doi.org/10.1093/nar/gkae1010" \h </w:instrText>
      </w:r>
      <w:r>
        <w:fldChar w:fldCharType="separate"/>
      </w:r>
      <w:r>
        <w:rPr>
          <w:color w:val="0563C1"/>
          <w:sz w:val="18"/>
          <w:u w:val="single"/>
        </w:rPr>
        <w:t xml:space="preserve"> https://doi.org/10.1093/nar/gkae1010</w:t>
      </w:r>
      <w:r>
        <w:rPr>
          <w:color w:val="0563C1"/>
          <w:sz w:val="18"/>
          <w:u w:val="single"/>
        </w:rPr>
        <w:fldChar w:fldCharType="end"/>
      </w:r>
    </w:p>
    <w:p w14:paraId="2CEB5FBF">
      <w:pPr>
        <w:spacing w:after="40"/>
        <w:ind w:left="340" w:hanging="340"/>
      </w:pPr>
      <w:r>
        <w:rPr>
          <w:b/>
          <w:sz w:val="18"/>
        </w:rPr>
        <w:t xml:space="preserve">8. </w:t>
      </w:r>
      <w:r>
        <w:rPr>
          <w:sz w:val="18"/>
        </w:rPr>
        <w:t>Huang, J., Rauscher, S., Nawrocki, G., Ran, T., Feig, M., de Groot, B. L., et al.. CHARMM36m: an improved force field for folded and intrinsically disordered proteins.  Nat. Methods 14, 71–73 (2017).</w:t>
      </w:r>
      <w:r>
        <w:fldChar w:fldCharType="begin"/>
      </w:r>
      <w:r>
        <w:instrText xml:space="preserve"> HYPERLINK "https://doi.org/10.1038/nmeth.4067" \h </w:instrText>
      </w:r>
      <w:r>
        <w:fldChar w:fldCharType="separate"/>
      </w:r>
      <w:r>
        <w:rPr>
          <w:color w:val="0563C1"/>
          <w:sz w:val="18"/>
          <w:u w:val="single"/>
        </w:rPr>
        <w:t xml:space="preserve"> https://doi.org/10.1038/nmeth.4067</w:t>
      </w:r>
      <w:r>
        <w:rPr>
          <w:color w:val="0563C1"/>
          <w:sz w:val="18"/>
          <w:u w:val="single"/>
        </w:rPr>
        <w:fldChar w:fldCharType="end"/>
      </w:r>
    </w:p>
    <w:p w14:paraId="5CC4E3B9">
      <w:pPr>
        <w:spacing w:after="40"/>
        <w:ind w:left="340" w:hanging="340"/>
      </w:pPr>
      <w:r>
        <w:rPr>
          <w:b/>
          <w:sz w:val="18"/>
        </w:rPr>
        <w:t xml:space="preserve">9. </w:t>
      </w:r>
      <w:r>
        <w:rPr>
          <w:sz w:val="18"/>
        </w:rPr>
        <w:t>Jo, S., Kim, T., Iyer, V. G. &amp; Im, W.. CHARMM-GUI: a web-based graphical user interface for CHARMM.  J. Comput. Chem. 29, 1859–1865 (2008).</w:t>
      </w:r>
      <w:r>
        <w:fldChar w:fldCharType="begin"/>
      </w:r>
      <w:r>
        <w:instrText xml:space="preserve"> HYPERLINK "https://doi.org/10.1002/jcc.20945" \h </w:instrText>
      </w:r>
      <w:r>
        <w:fldChar w:fldCharType="separate"/>
      </w:r>
      <w:r>
        <w:rPr>
          <w:color w:val="0563C1"/>
          <w:sz w:val="18"/>
          <w:u w:val="single"/>
        </w:rPr>
        <w:t xml:space="preserve"> https://doi.org/10.1002/jcc.20945</w:t>
      </w:r>
      <w:r>
        <w:rPr>
          <w:color w:val="0563C1"/>
          <w:sz w:val="18"/>
          <w:u w:val="single"/>
        </w:rPr>
        <w:fldChar w:fldCharType="end"/>
      </w:r>
    </w:p>
    <w:p w14:paraId="08611909">
      <w:pPr>
        <w:spacing w:after="40"/>
        <w:ind w:left="340" w:hanging="340"/>
      </w:pPr>
      <w:r>
        <w:rPr>
          <w:b/>
          <w:sz w:val="18"/>
        </w:rPr>
        <w:t xml:space="preserve">10. </w:t>
      </w:r>
      <w:r>
        <w:rPr>
          <w:sz w:val="18"/>
        </w:rPr>
        <w:t>Lee, J., Cheng, X., Swails, J. M., Yeom, M. S., Eastman, P. K., Lemkul, J. A., et al.. CHARMM36 input generator for NAMD, GROMACS, AMBER, and OpenMM.  J. Chem. Theory Comput. 12, 405–413 (2016).</w:t>
      </w:r>
      <w:r>
        <w:fldChar w:fldCharType="begin"/>
      </w:r>
      <w:r>
        <w:instrText xml:space="preserve"> HYPERLINK "https://doi.org/10.1021/acs.jctc.5b00935" \h </w:instrText>
      </w:r>
      <w:r>
        <w:fldChar w:fldCharType="separate"/>
      </w:r>
      <w:r>
        <w:rPr>
          <w:color w:val="0563C1"/>
          <w:sz w:val="18"/>
          <w:u w:val="single"/>
        </w:rPr>
        <w:t xml:space="preserve"> https://doi.org/10.1021/acs.jctc.5b00935</w:t>
      </w:r>
      <w:r>
        <w:rPr>
          <w:color w:val="0563C1"/>
          <w:sz w:val="18"/>
          <w:u w:val="single"/>
        </w:rPr>
        <w:fldChar w:fldCharType="end"/>
      </w:r>
    </w:p>
    <w:p w14:paraId="100A262B">
      <w:pPr>
        <w:spacing w:after="40"/>
        <w:ind w:left="340" w:hanging="340"/>
      </w:pPr>
      <w:r>
        <w:rPr>
          <w:b/>
          <w:sz w:val="18"/>
        </w:rPr>
        <w:t xml:space="preserve">11. </w:t>
      </w:r>
      <w:r>
        <w:rPr>
          <w:sz w:val="18"/>
        </w:rPr>
        <w:t>Salomon-Ferrer, R., Goetz, A. W., Poole, D., Le Grand, S. &amp; Walker, R. C.. Routine microsecond molecular dynamics simulations with AMBER on GPUs. 2. Explicit solvent particle mesh Ewald.  J. Chem. Theory Comput. 9, 3878–3888 (2013).</w:t>
      </w:r>
      <w:r>
        <w:fldChar w:fldCharType="begin"/>
      </w:r>
      <w:r>
        <w:instrText xml:space="preserve"> HYPERLINK "https://doi.org/10.1021/ct400314y" \h </w:instrText>
      </w:r>
      <w:r>
        <w:fldChar w:fldCharType="separate"/>
      </w:r>
      <w:r>
        <w:rPr>
          <w:color w:val="0563C1"/>
          <w:sz w:val="18"/>
          <w:u w:val="single"/>
        </w:rPr>
        <w:t xml:space="preserve"> https://doi.org/10.1021/ct400314y</w:t>
      </w:r>
      <w:r>
        <w:rPr>
          <w:color w:val="0563C1"/>
          <w:sz w:val="18"/>
          <w:u w:val="single"/>
        </w:rPr>
        <w:fldChar w:fldCharType="end"/>
      </w:r>
    </w:p>
    <w:p w14:paraId="7067066D">
      <w:pPr>
        <w:spacing w:after="40"/>
        <w:ind w:left="340" w:hanging="340"/>
      </w:pPr>
      <w:r>
        <w:rPr>
          <w:b/>
          <w:sz w:val="18"/>
        </w:rPr>
        <w:t xml:space="preserve">12. </w:t>
      </w:r>
      <w:r>
        <w:rPr>
          <w:sz w:val="18"/>
        </w:rPr>
        <w:t>Abraham, M. J., Murtola, T., Schulz, R., Páll, S., Smith, J. C., Hess, B. &amp; Lindahl, E.. GROMACS: high performance molecular simulations through multi-level parallelism from laptops to supercomputers.  SoftwareX 1–2, 19–25 (2015).</w:t>
      </w:r>
      <w:r>
        <w:fldChar w:fldCharType="begin"/>
      </w:r>
      <w:r>
        <w:instrText xml:space="preserve"> HYPERLINK "https://doi.org/10.1016/j.softx.2015.06.001" \h </w:instrText>
      </w:r>
      <w:r>
        <w:fldChar w:fldCharType="separate"/>
      </w:r>
      <w:r>
        <w:rPr>
          <w:color w:val="0563C1"/>
          <w:sz w:val="18"/>
          <w:u w:val="single"/>
        </w:rPr>
        <w:t xml:space="preserve"> https://doi.org/10.1016/j.softx.2015.06.001</w:t>
      </w:r>
      <w:r>
        <w:rPr>
          <w:color w:val="0563C1"/>
          <w:sz w:val="18"/>
          <w:u w:val="single"/>
        </w:rPr>
        <w:fldChar w:fldCharType="end"/>
      </w:r>
    </w:p>
    <w:p w14:paraId="3B6E7663">
      <w:pPr>
        <w:spacing w:after="40"/>
        <w:ind w:left="340" w:hanging="340"/>
      </w:pPr>
      <w:r>
        <w:rPr>
          <w:b/>
          <w:sz w:val="18"/>
        </w:rPr>
        <w:t xml:space="preserve">13. </w:t>
      </w:r>
      <w:r>
        <w:rPr>
          <w:sz w:val="18"/>
        </w:rPr>
        <w:t>Le Guilloux, V., Schmidtke, P. &amp; Tuffery, P.. Fpocket: an open source platform for ligand pocket detection.  BMC Bioinformatics 10, 168 (2009).</w:t>
      </w:r>
      <w:r>
        <w:fldChar w:fldCharType="begin"/>
      </w:r>
      <w:r>
        <w:instrText xml:space="preserve"> HYPERLINK "https://doi.org/10.1186/1471-2105-10-168" \h </w:instrText>
      </w:r>
      <w:r>
        <w:fldChar w:fldCharType="separate"/>
      </w:r>
      <w:r>
        <w:rPr>
          <w:color w:val="0563C1"/>
          <w:sz w:val="18"/>
          <w:u w:val="single"/>
        </w:rPr>
        <w:t xml:space="preserve"> https://doi.org/10.1186/1471-2105-10-168</w:t>
      </w:r>
      <w:r>
        <w:rPr>
          <w:color w:val="0563C1"/>
          <w:sz w:val="18"/>
          <w:u w:val="single"/>
        </w:rPr>
        <w:fldChar w:fldCharType="end"/>
      </w:r>
    </w:p>
    <w:p w14:paraId="17C0984C">
      <w:pPr>
        <w:spacing w:after="40"/>
        <w:ind w:left="340" w:hanging="340"/>
      </w:pPr>
      <w:r>
        <w:rPr>
          <w:b/>
          <w:sz w:val="18"/>
        </w:rPr>
        <w:t xml:space="preserve">14. </w:t>
      </w:r>
      <w:r>
        <w:rPr>
          <w:sz w:val="18"/>
        </w:rPr>
        <w:t>Rose, A. S., Bradley, A. R., Valasatava, Y., Duarte, J. M., Prlić, A. &amp; Rose, P. W.. NGL viewer: web-based molecular graphics for large complexes.  Bioinformatics 34, 3755–3758 (2018).</w:t>
      </w:r>
      <w:r>
        <w:fldChar w:fldCharType="begin"/>
      </w:r>
      <w:r>
        <w:instrText xml:space="preserve"> HYPERLINK "https://doi.org/10.1093/bioinformatics/bty419" \h </w:instrText>
      </w:r>
      <w:r>
        <w:fldChar w:fldCharType="separate"/>
      </w:r>
      <w:r>
        <w:rPr>
          <w:color w:val="0563C1"/>
          <w:sz w:val="18"/>
          <w:u w:val="single"/>
        </w:rPr>
        <w:t xml:space="preserve"> https://doi.org/10.1093/bioinformatics/bty419</w:t>
      </w:r>
      <w:r>
        <w:rPr>
          <w:color w:val="0563C1"/>
          <w:sz w:val="18"/>
          <w:u w:val="single"/>
        </w:rPr>
        <w:fldChar w:fldCharType="end"/>
      </w:r>
    </w:p>
    <w:p w14:paraId="529F5767">
      <w:pPr>
        <w:spacing w:after="40"/>
        <w:ind w:left="340" w:hanging="340"/>
      </w:pPr>
      <w:r>
        <w:rPr>
          <w:b/>
          <w:sz w:val="18"/>
        </w:rPr>
        <w:t xml:space="preserve">15. </w:t>
      </w:r>
      <w:r>
        <w:rPr>
          <w:sz w:val="18"/>
        </w:rPr>
        <w:t>Isberg, V., de Graaf, C., Bortolato, A., Cherezov, V., Katritch, V., Marshall, F. H., et al.. Generic GPCR residue numbers aligning topology and function.  Trends Pharmacol. Sci. 36, 22–31 (2015).</w:t>
      </w:r>
      <w:r>
        <w:fldChar w:fldCharType="begin"/>
      </w:r>
      <w:r>
        <w:instrText xml:space="preserve"> HYPERLINK "https://doi.org/10.1016/j.tips.2014.11.001" \h </w:instrText>
      </w:r>
      <w:r>
        <w:fldChar w:fldCharType="separate"/>
      </w:r>
      <w:r>
        <w:rPr>
          <w:color w:val="0563C1"/>
          <w:sz w:val="18"/>
          <w:u w:val="single"/>
        </w:rPr>
        <w:t xml:space="preserve"> https://doi.org/10.1016/j.tips.2014.11.001</w:t>
      </w:r>
      <w:r>
        <w:rPr>
          <w:color w:val="0563C1"/>
          <w:sz w:val="18"/>
          <w:u w:val="single"/>
        </w:rPr>
        <w:fldChar w:fldCharType="end"/>
      </w:r>
    </w:p>
    <w:p w14:paraId="45E8E24F">
      <w:pPr>
        <w:spacing w:after="40"/>
        <w:ind w:left="340" w:hanging="340"/>
      </w:pPr>
      <w:r>
        <w:rPr>
          <w:b/>
          <w:sz w:val="18"/>
        </w:rPr>
        <w:t xml:space="preserve">16. </w:t>
      </w:r>
      <w:r>
        <w:rPr>
          <w:sz w:val="18"/>
        </w:rPr>
        <w:t>Flock, T., Hauser, A. S., Lund, M. L., Gloriam, D. E., Balaji, S. &amp; Babu, M. M.. Selectivity determinants of GPCR–G-protein binding.  Nature 545, 317–322 (2017).</w:t>
      </w:r>
      <w:r>
        <w:fldChar w:fldCharType="begin"/>
      </w:r>
      <w:r>
        <w:instrText xml:space="preserve"> HYPERLINK "https://doi.org/10.1038/nature22070" \h </w:instrText>
      </w:r>
      <w:r>
        <w:fldChar w:fldCharType="separate"/>
      </w:r>
      <w:r>
        <w:rPr>
          <w:color w:val="0563C1"/>
          <w:sz w:val="18"/>
          <w:u w:val="single"/>
        </w:rPr>
        <w:t xml:space="preserve"> https://doi.org/10.1038/nature22070</w:t>
      </w:r>
      <w:r>
        <w:rPr>
          <w:color w:val="0563C1"/>
          <w:sz w:val="18"/>
          <w:u w:val="single"/>
        </w:rPr>
        <w:fldChar w:fldCharType="end"/>
      </w:r>
    </w:p>
    <w:p w14:paraId="123ECD04">
      <w:pPr>
        <w:spacing w:after="40"/>
        <w:ind w:left="340" w:hanging="340"/>
      </w:pPr>
      <w:r>
        <w:rPr>
          <w:b/>
          <w:sz w:val="18"/>
        </w:rPr>
        <w:t xml:space="preserve">17. </w:t>
      </w:r>
      <w:r>
        <w:rPr>
          <w:sz w:val="18"/>
        </w:rPr>
        <w:t>Pándy-Szekeres, G., Tar, I., Barsi-Rodríguez, A., Bhardwaj, N., Borsodi, F. A., Esguerra, M., et al.. GPCRdb 2.0: machine learning, crowd-sourcing and the GPCR-HGMD structural database.  Nucleic Acids Res. 53, D444–D453 (2025).</w:t>
      </w:r>
      <w:r>
        <w:fldChar w:fldCharType="begin"/>
      </w:r>
      <w:r>
        <w:instrText xml:space="preserve"> HYPERLINK "https://doi.org/10.1093/nar/gkae1011" \h </w:instrText>
      </w:r>
      <w:r>
        <w:fldChar w:fldCharType="separate"/>
      </w:r>
      <w:r>
        <w:rPr>
          <w:color w:val="0563C1"/>
          <w:sz w:val="18"/>
          <w:u w:val="single"/>
        </w:rPr>
        <w:t xml:space="preserve"> https://doi.org/10.1093/nar/gkae1011</w:t>
      </w:r>
      <w:r>
        <w:rPr>
          <w:color w:val="0563C1"/>
          <w:sz w:val="18"/>
          <w:u w:val="single"/>
        </w:rPr>
        <w:fldChar w:fldCharType="end"/>
      </w:r>
    </w:p>
    <w:p w14:paraId="0E4BBD8A">
      <w:pPr>
        <w:spacing w:after="40"/>
        <w:ind w:left="340" w:hanging="340"/>
      </w:pPr>
      <w:r>
        <w:rPr>
          <w:b/>
          <w:sz w:val="18"/>
        </w:rPr>
        <w:t xml:space="preserve">18. </w:t>
      </w:r>
      <w:r>
        <w:rPr>
          <w:sz w:val="18"/>
        </w:rPr>
        <w:t>Eddy, S. R.. Accelerated profile HMM searches.  PLoS Comput. Biol. 7, e1002195 (2011).</w:t>
      </w:r>
      <w:r>
        <w:fldChar w:fldCharType="begin"/>
      </w:r>
      <w:r>
        <w:instrText xml:space="preserve"> HYPERLINK "https://doi.org/10.1371/journal.pcbi.1002195" \h </w:instrText>
      </w:r>
      <w:r>
        <w:fldChar w:fldCharType="separate"/>
      </w:r>
      <w:r>
        <w:rPr>
          <w:color w:val="0563C1"/>
          <w:sz w:val="18"/>
          <w:u w:val="single"/>
        </w:rPr>
        <w:t xml:space="preserve"> https://doi.org/10.1371/journal.pcbi.1002195</w:t>
      </w:r>
      <w:r>
        <w:rPr>
          <w:color w:val="0563C1"/>
          <w:sz w:val="18"/>
          <w:u w:val="single"/>
        </w:rPr>
        <w:fldChar w:fldCharType="end"/>
      </w:r>
    </w:p>
    <w:p w14:paraId="0AB31B9F">
      <w:pPr>
        <w:spacing w:after="40"/>
        <w:ind w:left="340" w:hanging="340"/>
      </w:pPr>
      <w:r>
        <w:rPr>
          <w:b/>
          <w:sz w:val="18"/>
        </w:rPr>
        <w:t xml:space="preserve">19. </w:t>
      </w:r>
      <w:r>
        <w:rPr>
          <w:sz w:val="18"/>
        </w:rPr>
        <w:t>Edgar, R. C.. MUSCLE: multiple sequence alignment with high accuracy and high throughput.  Nucleic Acids Res. 32, 1792–1797 (2004).</w:t>
      </w:r>
      <w:r>
        <w:fldChar w:fldCharType="begin"/>
      </w:r>
      <w:r>
        <w:instrText xml:space="preserve"> HYPERLINK "https://doi.org/10.1093/nar/gkh340" \h </w:instrText>
      </w:r>
      <w:r>
        <w:fldChar w:fldCharType="separate"/>
      </w:r>
      <w:r>
        <w:rPr>
          <w:color w:val="0563C1"/>
          <w:sz w:val="18"/>
          <w:u w:val="single"/>
        </w:rPr>
        <w:t xml:space="preserve"> https://doi.org/10.1093/nar/gkh340</w:t>
      </w:r>
      <w:r>
        <w:rPr>
          <w:color w:val="0563C1"/>
          <w:sz w:val="18"/>
          <w:u w:val="single"/>
        </w:rPr>
        <w:fldChar w:fldCharType="end"/>
      </w:r>
    </w:p>
    <w:p w14:paraId="143756FD">
      <w:pPr>
        <w:spacing w:after="40"/>
        <w:ind w:left="340" w:hanging="340"/>
      </w:pPr>
      <w:r>
        <w:rPr>
          <w:b/>
          <w:sz w:val="18"/>
        </w:rPr>
        <w:t xml:space="preserve">20. </w:t>
      </w:r>
      <w:r>
        <w:rPr>
          <w:sz w:val="18"/>
        </w:rPr>
        <w:t>Klimovich, A. V. &amp; Abersold, J.. In silico structural analysis of the G protein–coupled receptors.  Biochemistry (Moscow) 89, S50–S68 (2024).</w:t>
      </w:r>
      <w:r>
        <w:fldChar w:fldCharType="begin"/>
      </w:r>
      <w:r>
        <w:instrText xml:space="preserve"> HYPERLINK "https://doi.org/10.1134/S0006297924140041" \h </w:instrText>
      </w:r>
      <w:r>
        <w:fldChar w:fldCharType="separate"/>
      </w:r>
      <w:r>
        <w:rPr>
          <w:color w:val="0563C1"/>
          <w:sz w:val="18"/>
          <w:u w:val="single"/>
        </w:rPr>
        <w:t xml:space="preserve"> https://doi.org/10.1134/S0006297924140041</w:t>
      </w:r>
      <w:r>
        <w:rPr>
          <w:color w:val="0563C1"/>
          <w:sz w:val="18"/>
          <w:u w:val="single"/>
        </w:rPr>
        <w:fldChar w:fldCharType="end"/>
      </w:r>
    </w:p>
    <w:p w14:paraId="2A10F28A">
      <w:pPr>
        <w:spacing w:after="40"/>
        <w:ind w:left="340" w:hanging="340"/>
      </w:pPr>
      <w:r>
        <w:rPr>
          <w:b/>
          <w:sz w:val="18"/>
        </w:rPr>
        <w:t xml:space="preserve">21. </w:t>
      </w:r>
      <w:r>
        <w:rPr>
          <w:sz w:val="18"/>
        </w:rPr>
        <w:t>Bussi, G., Donadio, D. &amp; Parrinello, M.. Canonical sampling through velocity rescaling.  J. Chem. Phys. 126, 014101 (2007).</w:t>
      </w:r>
      <w:r>
        <w:fldChar w:fldCharType="begin"/>
      </w:r>
      <w:r>
        <w:instrText xml:space="preserve"> HYPERLINK "https://doi.org/10.1063/1.2408420" \h </w:instrText>
      </w:r>
      <w:r>
        <w:fldChar w:fldCharType="separate"/>
      </w:r>
      <w:r>
        <w:rPr>
          <w:color w:val="0563C1"/>
          <w:sz w:val="18"/>
          <w:u w:val="single"/>
        </w:rPr>
        <w:t xml:space="preserve"> https://doi.org/10.1063/1.2408420</w:t>
      </w:r>
      <w:r>
        <w:rPr>
          <w:color w:val="0563C1"/>
          <w:sz w:val="18"/>
          <w:u w:val="single"/>
        </w:rPr>
        <w:fldChar w:fldCharType="end"/>
      </w:r>
    </w:p>
    <w:p w14:paraId="67356EAC">
      <w:pPr>
        <w:spacing w:after="40"/>
        <w:ind w:left="340" w:hanging="340"/>
      </w:pPr>
      <w:r>
        <w:rPr>
          <w:b/>
          <w:sz w:val="18"/>
        </w:rPr>
        <w:t xml:space="preserve">22. </w:t>
      </w:r>
      <w:r>
        <w:rPr>
          <w:sz w:val="18"/>
        </w:rPr>
        <w:t>Berendsen, H. J. C., Postma, J. P. M., van Gunsteren, W. F., DiNola, A. &amp; Haak, J. R.. Molecular dynamics with coupling to an external bath.  J. Chem. Phys. 81, 3684–3690 (1984).</w:t>
      </w:r>
      <w:r>
        <w:fldChar w:fldCharType="begin"/>
      </w:r>
      <w:r>
        <w:instrText xml:space="preserve"> HYPERLINK "https://doi.org/10.1063/1.448118" \h </w:instrText>
      </w:r>
      <w:r>
        <w:fldChar w:fldCharType="separate"/>
      </w:r>
      <w:r>
        <w:rPr>
          <w:color w:val="0563C1"/>
          <w:sz w:val="18"/>
          <w:u w:val="single"/>
        </w:rPr>
        <w:t xml:space="preserve"> https://doi.org/10.1063/1.448118</w:t>
      </w:r>
      <w:r>
        <w:rPr>
          <w:color w:val="0563C1"/>
          <w:sz w:val="18"/>
          <w:u w:val="single"/>
        </w:rPr>
        <w:fldChar w:fldCharType="end"/>
      </w:r>
    </w:p>
    <w:p w14:paraId="07E3B4D3">
      <w:pPr>
        <w:spacing w:after="40"/>
        <w:ind w:left="340" w:hanging="340"/>
      </w:pPr>
      <w:r>
        <w:rPr>
          <w:b/>
          <w:sz w:val="18"/>
        </w:rPr>
        <w:t xml:space="preserve">23. </w:t>
      </w:r>
      <w:r>
        <w:rPr>
          <w:sz w:val="18"/>
        </w:rPr>
        <w:t>Parrinello, M. &amp; Rahman, A.. Polymorphic transitions in single crystals: a new molecular dynamics method.  J. Appl. Phys. 52, 7182–7190 (1981).</w:t>
      </w:r>
      <w:r>
        <w:fldChar w:fldCharType="begin"/>
      </w:r>
      <w:r>
        <w:instrText xml:space="preserve"> HYPERLINK "https://doi.org/10.1063/1.328693" \h </w:instrText>
      </w:r>
      <w:r>
        <w:fldChar w:fldCharType="separate"/>
      </w:r>
      <w:r>
        <w:rPr>
          <w:color w:val="0563C1"/>
          <w:sz w:val="18"/>
          <w:u w:val="single"/>
        </w:rPr>
        <w:t xml:space="preserve"> https://doi.org/10.1063/1.328693</w:t>
      </w:r>
      <w:r>
        <w:rPr>
          <w:color w:val="0563C1"/>
          <w:sz w:val="18"/>
          <w:u w:val="single"/>
        </w:rPr>
        <w:fldChar w:fldCharType="end"/>
      </w:r>
    </w:p>
    <w:p w14:paraId="459CAB30">
      <w:pPr>
        <w:spacing w:after="40"/>
        <w:ind w:left="340" w:hanging="340"/>
      </w:pPr>
      <w:r>
        <w:rPr>
          <w:b/>
          <w:sz w:val="18"/>
        </w:rPr>
        <w:t xml:space="preserve">24. </w:t>
      </w:r>
      <w:r>
        <w:rPr>
          <w:sz w:val="18"/>
        </w:rPr>
        <w:t>Hess, B., Bekker, H., Berendsen, H. J. C. &amp; Fraaije, J. G. E. M.. LINCS: a linear constraint solver for molecular simulations.  J. Comput. Chem. 18, 1463–1472 (1997).</w:t>
      </w:r>
      <w:r>
        <w:fldChar w:fldCharType="begin"/>
      </w:r>
      <w:r>
        <w:instrText xml:space="preserve"> HYPERLINK "https://doi.org/10.1002/(SICI)1096-987X(199709)18:12%3c1463::AID-JCC4%3e3.0.CO;2-H" \h </w:instrText>
      </w:r>
      <w:r>
        <w:fldChar w:fldCharType="separate"/>
      </w:r>
      <w:r>
        <w:rPr>
          <w:color w:val="0563C1"/>
          <w:sz w:val="18"/>
          <w:u w:val="single"/>
        </w:rPr>
        <w:t xml:space="preserve"> https://doi.org/10.1002/(SICI)1096-987X(199709)18:12&lt;1463::AID-JCC4&gt;3.0.CO;2-H</w:t>
      </w:r>
      <w:r>
        <w:rPr>
          <w:color w:val="0563C1"/>
          <w:sz w:val="18"/>
          <w:u w:val="single"/>
        </w:rPr>
        <w:fldChar w:fldCharType="end"/>
      </w:r>
    </w:p>
    <w:p w14:paraId="2660348B">
      <w:pPr>
        <w:spacing w:after="40"/>
        <w:ind w:left="340" w:hanging="340"/>
      </w:pPr>
      <w:r>
        <w:rPr>
          <w:b/>
          <w:sz w:val="18"/>
        </w:rPr>
        <w:t xml:space="preserve">25. </w:t>
      </w:r>
      <w:r>
        <w:rPr>
          <w:sz w:val="18"/>
        </w:rPr>
        <w:t>Darden, T., York, D. &amp; Pedersen, L.. Particle mesh Ewald: an N·log(N) method for Ewald sums in large systems.  J. Chem. Phys. 98, 10089–10092 (1993).</w:t>
      </w:r>
      <w:r>
        <w:fldChar w:fldCharType="begin"/>
      </w:r>
      <w:r>
        <w:instrText xml:space="preserve"> HYPERLINK "https://doi.org/10.1063/1.464397" \h </w:instrText>
      </w:r>
      <w:r>
        <w:fldChar w:fldCharType="separate"/>
      </w:r>
      <w:r>
        <w:rPr>
          <w:color w:val="0563C1"/>
          <w:sz w:val="18"/>
          <w:u w:val="single"/>
        </w:rPr>
        <w:t xml:space="preserve"> https://doi.org/10.1063/1.464397</w:t>
      </w:r>
      <w:r>
        <w:rPr>
          <w:color w:val="0563C1"/>
          <w:sz w:val="18"/>
          <w:u w:val="single"/>
        </w:rPr>
        <w:fldChar w:fldCharType="end"/>
      </w:r>
    </w:p>
    <w:p w14:paraId="53CC85BF">
      <w:pPr>
        <w:spacing w:after="40"/>
        <w:ind w:left="340" w:hanging="340"/>
      </w:pPr>
      <w:r>
        <w:rPr>
          <w:b/>
          <w:sz w:val="18"/>
        </w:rPr>
        <w:t xml:space="preserve">26. </w:t>
      </w:r>
      <w:r>
        <w:rPr>
          <w:sz w:val="18"/>
        </w:rPr>
        <w:t>Michaud-Agrawal, N., Denning, E. J., Woolf, T. B. &amp; Beckstein, O.. MDAnalysis: a toolkit for the analysis of molecular dynamics simulations.  J. Comput. Chem. 32, 2319–2327 (2011).</w:t>
      </w:r>
      <w:r>
        <w:fldChar w:fldCharType="begin"/>
      </w:r>
      <w:r>
        <w:instrText xml:space="preserve"> HYPERLINK "https://doi.org/10.1002/jcc.21787" \h </w:instrText>
      </w:r>
      <w:r>
        <w:fldChar w:fldCharType="separate"/>
      </w:r>
      <w:r>
        <w:rPr>
          <w:color w:val="0563C1"/>
          <w:sz w:val="18"/>
          <w:u w:val="single"/>
        </w:rPr>
        <w:t xml:space="preserve"> https://doi.org/10.1002/jcc.21787</w:t>
      </w:r>
      <w:r>
        <w:rPr>
          <w:color w:val="0563C1"/>
          <w:sz w:val="18"/>
          <w:u w:val="single"/>
        </w:rPr>
        <w:fldChar w:fldCharType="end"/>
      </w:r>
    </w:p>
    <w:p w14:paraId="6833D4A3">
      <w:pPr>
        <w:spacing w:after="40"/>
        <w:ind w:left="340" w:hanging="340"/>
      </w:pPr>
      <w:r>
        <w:rPr>
          <w:b/>
          <w:sz w:val="18"/>
        </w:rPr>
        <w:t xml:space="preserve">27. </w:t>
      </w:r>
      <w:r>
        <w:rPr>
          <w:sz w:val="18"/>
        </w:rPr>
        <w:t>McGibbon, R. T., Beauchamp, K. A., Harrigan, M. P., Klein, C., Swails, J. M., Hernández, C. X., et al.. MDTraj: a modern open library for the analysis of molecular dynamics trajectories.  Biophys. J. 109, 1528–1532 (2015).</w:t>
      </w:r>
      <w:r>
        <w:fldChar w:fldCharType="begin"/>
      </w:r>
      <w:r>
        <w:instrText xml:space="preserve"> HYPERLINK "https://doi.org/10.1016/j.bpj.2015.08.015" \h </w:instrText>
      </w:r>
      <w:r>
        <w:fldChar w:fldCharType="separate"/>
      </w:r>
      <w:r>
        <w:rPr>
          <w:color w:val="0563C1"/>
          <w:sz w:val="18"/>
          <w:u w:val="single"/>
        </w:rPr>
        <w:t xml:space="preserve"> https://doi.org/10.1016/j.bpj.2015.08.015</w:t>
      </w:r>
      <w:r>
        <w:rPr>
          <w:color w:val="0563C1"/>
          <w:sz w:val="18"/>
          <w:u w:val="single"/>
        </w:rPr>
        <w:fldChar w:fldCharType="end"/>
      </w:r>
    </w:p>
    <w:p w14:paraId="277172C5">
      <w:pPr>
        <w:spacing w:after="40"/>
        <w:ind w:left="340" w:hanging="340"/>
      </w:pPr>
      <w:r>
        <w:rPr>
          <w:b/>
          <w:sz w:val="18"/>
        </w:rPr>
        <w:t xml:space="preserve">28. </w:t>
      </w:r>
      <w:r>
        <w:rPr>
          <w:sz w:val="18"/>
        </w:rPr>
        <w:t>Virtanen, P. et al.. SciPy 1.0: fundamental algorithms for scientific computing in Python.  Nat. Methods 17, 261–272 (2020).</w:t>
      </w:r>
      <w:r>
        <w:fldChar w:fldCharType="begin"/>
      </w:r>
      <w:r>
        <w:instrText xml:space="preserve"> HYPERLINK "https://doi.org/10.1038/s41592-019-0686-2" \h </w:instrText>
      </w:r>
      <w:r>
        <w:fldChar w:fldCharType="separate"/>
      </w:r>
      <w:r>
        <w:rPr>
          <w:color w:val="0563C1"/>
          <w:sz w:val="18"/>
          <w:u w:val="single"/>
        </w:rPr>
        <w:t xml:space="preserve"> https://doi.org/10.1038/s41592-019-0686-2</w:t>
      </w:r>
      <w:r>
        <w:rPr>
          <w:color w:val="0563C1"/>
          <w:sz w:val="18"/>
          <w:u w:val="single"/>
        </w:rPr>
        <w:fldChar w:fldCharType="end"/>
      </w:r>
    </w:p>
    <w:p w14:paraId="464CA537">
      <w:pPr>
        <w:spacing w:after="40"/>
        <w:ind w:left="340" w:hanging="340"/>
      </w:pPr>
      <w:r>
        <w:rPr>
          <w:b/>
          <w:sz w:val="18"/>
        </w:rPr>
        <w:t xml:space="preserve">29. </w:t>
      </w:r>
      <w:r>
        <w:rPr>
          <w:sz w:val="18"/>
        </w:rPr>
        <w:t>Harris, C. R. et al.. Array programming with NumPy.  Nature 585, 357–362 (2020).</w:t>
      </w:r>
      <w:r>
        <w:fldChar w:fldCharType="begin"/>
      </w:r>
      <w:r>
        <w:instrText xml:space="preserve"> HYPERLINK "https://doi.org/10.1038/s41586-020-2649-2" \h </w:instrText>
      </w:r>
      <w:r>
        <w:fldChar w:fldCharType="separate"/>
      </w:r>
      <w:r>
        <w:rPr>
          <w:color w:val="0563C1"/>
          <w:sz w:val="18"/>
          <w:u w:val="single"/>
        </w:rPr>
        <w:t xml:space="preserve"> https://doi.org/10.1038/s41586-020-2649-2</w:t>
      </w:r>
      <w:r>
        <w:rPr>
          <w:color w:val="0563C1"/>
          <w:sz w:val="18"/>
          <w:u w:val="single"/>
        </w:rPr>
        <w:fldChar w:fldCharType="end"/>
      </w:r>
    </w:p>
    <w:p w14:paraId="056B0AEC">
      <w:pPr>
        <w:spacing w:after="40"/>
        <w:ind w:left="340" w:hanging="340"/>
      </w:pPr>
      <w:r>
        <w:rPr>
          <w:b/>
          <w:sz w:val="18"/>
        </w:rPr>
        <w:t xml:space="preserve">30. </w:t>
      </w:r>
      <w:r>
        <w:rPr>
          <w:sz w:val="18"/>
        </w:rPr>
        <w:t>Hunter, J. D.. Matplotlib: a 2D graphics environment.  Comput. Sci. Eng. 9, 90–95 (2007).</w:t>
      </w:r>
      <w:r>
        <w:fldChar w:fldCharType="begin"/>
      </w:r>
      <w:r>
        <w:instrText xml:space="preserve"> HYPERLINK "https://doi.org/10.1109/MCSE.2007.55" \h </w:instrText>
      </w:r>
      <w:r>
        <w:fldChar w:fldCharType="separate"/>
      </w:r>
      <w:r>
        <w:rPr>
          <w:color w:val="0563C1"/>
          <w:sz w:val="18"/>
          <w:u w:val="single"/>
        </w:rPr>
        <w:t xml:space="preserve"> https://doi.org/10.1109/MCSE.2007.55</w:t>
      </w:r>
      <w:r>
        <w:rPr>
          <w:color w:val="0563C1"/>
          <w:sz w:val="18"/>
          <w:u w:val="single"/>
        </w:rPr>
        <w:fldChar w:fldCharType="end"/>
      </w:r>
    </w:p>
    <w:p w14:paraId="768EAE56">
      <w:pPr>
        <w:spacing w:after="40"/>
        <w:ind w:left="340" w:hanging="340"/>
      </w:pPr>
      <w:r>
        <w:rPr>
          <w:b/>
          <w:sz w:val="18"/>
        </w:rPr>
        <w:t xml:space="preserve">31. </w:t>
      </w:r>
      <w:r>
        <w:rPr>
          <w:sz w:val="18"/>
        </w:rPr>
        <w:t>Waskom, M.. seaborn: statistical data visualization.  J. Open Source Softw. 6, 3021 (2021).</w:t>
      </w:r>
      <w:r>
        <w:fldChar w:fldCharType="begin"/>
      </w:r>
      <w:r>
        <w:instrText xml:space="preserve"> HYPERLINK "https://doi.org/10.21105/joss.03021" \h </w:instrText>
      </w:r>
      <w:r>
        <w:fldChar w:fldCharType="separate"/>
      </w:r>
      <w:r>
        <w:rPr>
          <w:color w:val="0563C1"/>
          <w:sz w:val="18"/>
          <w:u w:val="single"/>
        </w:rPr>
        <w:t xml:space="preserve"> https://doi.org/10.21105/joss.03021</w:t>
      </w:r>
      <w:r>
        <w:rPr>
          <w:color w:val="0563C1"/>
          <w:sz w:val="18"/>
          <w:u w:val="single"/>
        </w:rPr>
        <w:fldChar w:fldCharType="end"/>
      </w:r>
    </w:p>
    <w:p w14:paraId="5AC318B2">
      <w:pPr>
        <w:spacing w:after="40"/>
        <w:ind w:left="340" w:hanging="340"/>
      </w:pPr>
      <w:r>
        <w:rPr>
          <w:b/>
          <w:sz w:val="18"/>
        </w:rPr>
        <w:t xml:space="preserve">32. </w:t>
      </w:r>
      <w:r>
        <w:rPr>
          <w:sz w:val="18"/>
        </w:rPr>
        <w:t>Pedregosa, F. et al.. Scikit-learn: machine learning in Python.  J. Mach. Learn. Res. 12, 2825–2830 (2011).</w:t>
      </w:r>
    </w:p>
    <w:p w14:paraId="09973D75">
      <w:pPr>
        <w:spacing w:after="40"/>
        <w:ind w:left="340" w:hanging="340"/>
      </w:pPr>
      <w:r>
        <w:rPr>
          <w:b/>
          <w:sz w:val="18"/>
        </w:rPr>
        <w:t xml:space="preserve">33. </w:t>
      </w:r>
      <w:r>
        <w:rPr>
          <w:sz w:val="18"/>
        </w:rPr>
        <w:t>Kluyver, T. et al.. Jupyter Notebooks – a publishing format for reproducible computational workflows.  Positioning and Power in Academic Publishing: Players, Agents and Agendas, 87–90 (2016).</w:t>
      </w:r>
    </w:p>
    <w:p w14:paraId="444012E6">
      <w:pPr>
        <w:spacing w:after="40"/>
        <w:ind w:left="340" w:hanging="340"/>
      </w:pPr>
      <w:r>
        <w:rPr>
          <w:b/>
          <w:sz w:val="18"/>
        </w:rPr>
        <w:t xml:space="preserve">34. </w:t>
      </w:r>
      <w:r>
        <w:rPr>
          <w:sz w:val="18"/>
        </w:rPr>
        <w:t>Manghi, P. et al.. Zenodo: a free, open and reliable archive for scientific data.  Sci. Data 9, 186 (2022).</w:t>
      </w:r>
      <w:r>
        <w:fldChar w:fldCharType="begin"/>
      </w:r>
      <w:r>
        <w:instrText xml:space="preserve"> HYPERLINK "https://doi.org/10.1038/s41597-022-01337-y" \h </w:instrText>
      </w:r>
      <w:r>
        <w:fldChar w:fldCharType="separate"/>
      </w:r>
      <w:r>
        <w:rPr>
          <w:color w:val="0563C1"/>
          <w:sz w:val="18"/>
          <w:u w:val="single"/>
        </w:rPr>
        <w:t xml:space="preserve"> https://doi.org/10.1038/s41597-022-01337-y</w:t>
      </w:r>
      <w:r>
        <w:rPr>
          <w:color w:val="0563C1"/>
          <w:sz w:val="18"/>
          <w:u w:val="single"/>
        </w:rPr>
        <w:fldChar w:fldCharType="end"/>
      </w:r>
    </w:p>
    <w:p w14:paraId="5437F45C">
      <w:pPr>
        <w:spacing w:after="40"/>
        <w:ind w:left="340" w:hanging="340"/>
      </w:pPr>
    </w:p>
    <w:p w14:paraId="25891776">
      <w:pPr>
        <w:pStyle w:val="167"/>
        <w:spacing w:after="0"/>
        <w:ind w:left="720" w:hanging="720"/>
      </w:pPr>
      <w:r>
        <w:fldChar w:fldCharType="begin"/>
      </w:r>
      <w:r>
        <w:instrText xml:space="preserve"> ADDIN EN.REFLIST </w:instrText>
      </w:r>
      <w:r>
        <w:fldChar w:fldCharType="separate"/>
      </w:r>
      <w:r>
        <w:t>1</w:t>
      </w:r>
      <w:r>
        <w:tab/>
      </w:r>
      <w:r>
        <w:t>Hauser, A. S.</w:t>
      </w:r>
      <w:r>
        <w:rPr>
          <w:i/>
        </w:rPr>
        <w:t xml:space="preserve"> et al.</w:t>
      </w:r>
      <w:r>
        <w:t xml:space="preserve"> Pharmacogenomics of GPCR Drug Targets. </w:t>
      </w:r>
      <w:r>
        <w:rPr>
          <w:i/>
        </w:rPr>
        <w:t>Cell</w:t>
      </w:r>
      <w:r>
        <w:t xml:space="preserve"> </w:t>
      </w:r>
      <w:r>
        <w:rPr>
          <w:b/>
        </w:rPr>
        <w:t>172</w:t>
      </w:r>
      <w:r>
        <w:t>, 41-54.e19, doi:10.1016/j.cell.2017.11.033 (2018).</w:t>
      </w:r>
    </w:p>
    <w:p w14:paraId="78B74ACB">
      <w:pPr>
        <w:pStyle w:val="167"/>
        <w:spacing w:after="0"/>
        <w:ind w:left="720" w:hanging="720"/>
      </w:pPr>
      <w:r>
        <w:t>2</w:t>
      </w:r>
      <w:r>
        <w:tab/>
      </w:r>
      <w:r>
        <w:t xml:space="preserve">Weis, W. I. &amp; Kobilka, B. K. The Molecular Basis of G Protein–Coupled Receptor Activation. </w:t>
      </w:r>
      <w:r>
        <w:rPr>
          <w:i/>
        </w:rPr>
        <w:t>Annu. Rev. Biochem.</w:t>
      </w:r>
      <w:r>
        <w:t xml:space="preserve"> </w:t>
      </w:r>
      <w:r>
        <w:rPr>
          <w:b/>
        </w:rPr>
        <w:t>87</w:t>
      </w:r>
      <w:r>
        <w:t>, 897-919, doi:</w:t>
      </w:r>
      <w:r>
        <w:fldChar w:fldCharType="begin"/>
      </w:r>
      <w:r>
        <w:instrText xml:space="preserve"> HYPERLINK "https://doi.org/10.1146/annurev-biochem-060614-033910" </w:instrText>
      </w:r>
      <w:r>
        <w:fldChar w:fldCharType="separate"/>
      </w:r>
      <w:r>
        <w:rPr>
          <w:rStyle w:val="20"/>
        </w:rPr>
        <w:t>https://doi.org/10.1146/annurev-biochem-060614-033910</w:t>
      </w:r>
      <w:r>
        <w:rPr>
          <w:rStyle w:val="20"/>
        </w:rPr>
        <w:fldChar w:fldCharType="end"/>
      </w:r>
      <w:r>
        <w:t xml:space="preserve"> (2018).</w:t>
      </w:r>
    </w:p>
    <w:p w14:paraId="39FA75AD">
      <w:pPr>
        <w:pStyle w:val="167"/>
        <w:spacing w:after="0"/>
        <w:ind w:left="720" w:hanging="720"/>
      </w:pPr>
      <w:r>
        <w:t>3</w:t>
      </w:r>
      <w:r>
        <w:tab/>
      </w:r>
      <w:r>
        <w:t>Pándy-Szekeres, G.</w:t>
      </w:r>
      <w:r>
        <w:rPr>
          <w:i/>
        </w:rPr>
        <w:t xml:space="preserve"> et al.</w:t>
      </w:r>
      <w:r>
        <w:t xml:space="preserve"> GproteinDb in 2024: new G protein-GPCR couplings, AlphaFold2-multimer models and interface interactions. </w:t>
      </w:r>
      <w:r>
        <w:rPr>
          <w:i/>
        </w:rPr>
        <w:t>Nucleic Acids Res.</w:t>
      </w:r>
      <w:r>
        <w:t xml:space="preserve"> </w:t>
      </w:r>
      <w:r>
        <w:rPr>
          <w:b/>
        </w:rPr>
        <w:t>52</w:t>
      </w:r>
      <w:r>
        <w:t>, D466-D475, doi:10.1093/nar/gkad1089 (2024).</w:t>
      </w:r>
    </w:p>
    <w:p w14:paraId="7223C28E">
      <w:pPr>
        <w:pStyle w:val="167"/>
        <w:spacing w:after="0"/>
        <w:ind w:left="720" w:hanging="720"/>
      </w:pPr>
      <w:r>
        <w:t>4</w:t>
      </w:r>
      <w:r>
        <w:tab/>
      </w:r>
      <w:r>
        <w:t>Rodríguez-Espigares, I.</w:t>
      </w:r>
      <w:r>
        <w:rPr>
          <w:i/>
        </w:rPr>
        <w:t xml:space="preserve"> et al.</w:t>
      </w:r>
      <w:r>
        <w:t xml:space="preserve"> GPCRmd uncovers the dynamics of the 3D-GPCRome. </w:t>
      </w:r>
      <w:r>
        <w:rPr>
          <w:i/>
        </w:rPr>
        <w:t>Nature Methods</w:t>
      </w:r>
      <w:r>
        <w:t xml:space="preserve"> </w:t>
      </w:r>
      <w:r>
        <w:rPr>
          <w:b/>
        </w:rPr>
        <w:t>17</w:t>
      </w:r>
      <w:r>
        <w:t>, 777-787, doi:10.1038/s41592-020-0884-y (2020).</w:t>
      </w:r>
    </w:p>
    <w:p w14:paraId="02D3D249">
      <w:pPr>
        <w:pStyle w:val="167"/>
        <w:spacing w:after="0"/>
        <w:ind w:left="720" w:hanging="720"/>
      </w:pPr>
      <w:r>
        <w:t>5</w:t>
      </w:r>
      <w:r>
        <w:tab/>
      </w:r>
      <w:r>
        <w:t xml:space="preserve">Mirarchi, A., Giorgino, T. &amp; De Fabritiis, G. mdCATH: A Large-Scale MD Dataset for Data-Driven Computational Biophysics. </w:t>
      </w:r>
      <w:r>
        <w:rPr>
          <w:i/>
        </w:rPr>
        <w:t>Scientific Data</w:t>
      </w:r>
      <w:r>
        <w:t xml:space="preserve"> </w:t>
      </w:r>
      <w:r>
        <w:rPr>
          <w:b/>
        </w:rPr>
        <w:t>11</w:t>
      </w:r>
      <w:r>
        <w:t>, 1299, doi:10.1038/s41597-024-04140-z (2024).</w:t>
      </w:r>
    </w:p>
    <w:p w14:paraId="3EB3D189">
      <w:pPr>
        <w:pStyle w:val="167"/>
        <w:spacing w:after="0"/>
        <w:ind w:left="720" w:hanging="720"/>
      </w:pPr>
      <w:r>
        <w:t>6</w:t>
      </w:r>
      <w:r>
        <w:tab/>
      </w:r>
      <w:r>
        <w:t>Berman, H. M.</w:t>
      </w:r>
      <w:r>
        <w:rPr>
          <w:i/>
        </w:rPr>
        <w:t xml:space="preserve"> et al.</w:t>
      </w:r>
      <w:r>
        <w:t xml:space="preserve"> The Protein Data Bank. </w:t>
      </w:r>
      <w:r>
        <w:rPr>
          <w:i/>
        </w:rPr>
        <w:t>Nucleic Acids Res.</w:t>
      </w:r>
      <w:r>
        <w:t xml:space="preserve"> </w:t>
      </w:r>
      <w:r>
        <w:rPr>
          <w:b/>
        </w:rPr>
        <w:t>28</w:t>
      </w:r>
      <w:r>
        <w:t>, 235-242, doi:10.1093/nar/28.1.235 (2000).</w:t>
      </w:r>
    </w:p>
    <w:p w14:paraId="7865D454">
      <w:pPr>
        <w:pStyle w:val="167"/>
        <w:spacing w:after="0"/>
        <w:ind w:left="720" w:hanging="720"/>
      </w:pPr>
      <w:r>
        <w:t>7</w:t>
      </w:r>
      <w:r>
        <w:tab/>
      </w:r>
      <w:r>
        <w:t xml:space="preserve">The UniProt, C. UniProt: the Universal Protein Knowledgebase in 2025. </w:t>
      </w:r>
      <w:r>
        <w:rPr>
          <w:i/>
        </w:rPr>
        <w:t>Nucleic Acids Res.</w:t>
      </w:r>
      <w:r>
        <w:t xml:space="preserve"> </w:t>
      </w:r>
      <w:r>
        <w:rPr>
          <w:b/>
        </w:rPr>
        <w:t>53</w:t>
      </w:r>
      <w:r>
        <w:t>, D609-D617, doi:10.1093/nar/gkae1010 (2025).</w:t>
      </w:r>
    </w:p>
    <w:p w14:paraId="4F80E92A">
      <w:pPr>
        <w:pStyle w:val="167"/>
        <w:spacing w:after="0"/>
        <w:ind w:left="720" w:hanging="720"/>
      </w:pPr>
      <w:r>
        <w:t>8</w:t>
      </w:r>
      <w:r>
        <w:tab/>
      </w:r>
      <w:r>
        <w:t>Isberg, V.</w:t>
      </w:r>
      <w:r>
        <w:rPr>
          <w:i/>
        </w:rPr>
        <w:t xml:space="preserve"> et al.</w:t>
      </w:r>
      <w:r>
        <w:t xml:space="preserve"> Generic GPCR residue numbers &amp;#x2013; aligning topology maps while minding the gaps. </w:t>
      </w:r>
      <w:r>
        <w:rPr>
          <w:i/>
        </w:rPr>
        <w:t>Trends Pharmacol. Sci.</w:t>
      </w:r>
      <w:r>
        <w:t xml:space="preserve"> </w:t>
      </w:r>
      <w:r>
        <w:rPr>
          <w:b/>
        </w:rPr>
        <w:t>36</w:t>
      </w:r>
      <w:r>
        <w:t>, 22-31, doi:10.1016/j.tips.2014.11.001 (2015).</w:t>
      </w:r>
    </w:p>
    <w:p w14:paraId="39937DAD">
      <w:pPr>
        <w:pStyle w:val="167"/>
        <w:spacing w:after="0"/>
        <w:ind w:left="720" w:hanging="720"/>
      </w:pPr>
      <w:r>
        <w:t>9</w:t>
      </w:r>
      <w:r>
        <w:tab/>
      </w:r>
      <w:r>
        <w:t>Huang, J.</w:t>
      </w:r>
      <w:r>
        <w:rPr>
          <w:i/>
        </w:rPr>
        <w:t xml:space="preserve"> et al.</w:t>
      </w:r>
      <w:r>
        <w:t xml:space="preserve"> CHARMM36m: an improved force field for folded and intrinsically disordered proteins. </w:t>
      </w:r>
      <w:r>
        <w:rPr>
          <w:i/>
        </w:rPr>
        <w:t>Nature Methods</w:t>
      </w:r>
      <w:r>
        <w:t xml:space="preserve"> </w:t>
      </w:r>
      <w:r>
        <w:rPr>
          <w:b/>
        </w:rPr>
        <w:t>14</w:t>
      </w:r>
      <w:r>
        <w:t>, 71-73, doi:10.1038/nmeth.4067 (2017).</w:t>
      </w:r>
    </w:p>
    <w:p w14:paraId="525F7D41">
      <w:pPr>
        <w:pStyle w:val="167"/>
        <w:spacing w:after="0"/>
        <w:ind w:left="720" w:hanging="720"/>
      </w:pPr>
      <w:r>
        <w:t>10</w:t>
      </w:r>
      <w:r>
        <w:tab/>
      </w:r>
      <w:r>
        <w:t>Lee, J.</w:t>
      </w:r>
      <w:r>
        <w:rPr>
          <w:i/>
        </w:rPr>
        <w:t xml:space="preserve"> et al.</w:t>
      </w:r>
      <w:r>
        <w:t xml:space="preserve"> CHARMM-GUI Membrane Builder for Complex Biological Membrane Simulations with Glycolipids and Lipoglycans. </w:t>
      </w:r>
      <w:r>
        <w:rPr>
          <w:i/>
        </w:rPr>
        <w:t>J. Chem. Theory Comput.</w:t>
      </w:r>
      <w:r>
        <w:t xml:space="preserve"> </w:t>
      </w:r>
      <w:r>
        <w:rPr>
          <w:b/>
        </w:rPr>
        <w:t>15</w:t>
      </w:r>
      <w:r>
        <w:t>, 775-786, doi:10.1021/acs.jctc.8b01066 (2019).</w:t>
      </w:r>
    </w:p>
    <w:p w14:paraId="191A92ED">
      <w:pPr>
        <w:pStyle w:val="167"/>
        <w:spacing w:after="0"/>
        <w:ind w:left="720" w:hanging="720"/>
      </w:pPr>
      <w:r>
        <w:t>11</w:t>
      </w:r>
      <w:r>
        <w:tab/>
      </w:r>
      <w:r>
        <w:t xml:space="preserve">Jo, S., Kim, T., Iyer, V. G. &amp; Im, W. CHARMM-GUI: A web-based graphical user interface for CHARMM. </w:t>
      </w:r>
      <w:r>
        <w:rPr>
          <w:i/>
        </w:rPr>
        <w:t>J. Comput. Chem.</w:t>
      </w:r>
      <w:r>
        <w:t xml:space="preserve"> </w:t>
      </w:r>
      <w:r>
        <w:rPr>
          <w:b/>
        </w:rPr>
        <w:t>29</w:t>
      </w:r>
      <w:r>
        <w:t>, 1859-1865, doi:</w:t>
      </w:r>
      <w:r>
        <w:fldChar w:fldCharType="begin"/>
      </w:r>
      <w:r>
        <w:instrText xml:space="preserve"> HYPERLINK "https://doi.org/10.1002/jcc.20945" </w:instrText>
      </w:r>
      <w:r>
        <w:fldChar w:fldCharType="separate"/>
      </w:r>
      <w:r>
        <w:rPr>
          <w:rStyle w:val="20"/>
        </w:rPr>
        <w:t>https://doi.org/10.1002/jcc.20945</w:t>
      </w:r>
      <w:r>
        <w:rPr>
          <w:rStyle w:val="20"/>
        </w:rPr>
        <w:fldChar w:fldCharType="end"/>
      </w:r>
      <w:r>
        <w:t xml:space="preserve"> (2008).</w:t>
      </w:r>
    </w:p>
    <w:p w14:paraId="664F0C5F">
      <w:pPr>
        <w:pStyle w:val="167"/>
        <w:spacing w:after="0"/>
        <w:ind w:left="720" w:hanging="720"/>
      </w:pPr>
      <w:r>
        <w:t>12</w:t>
      </w:r>
      <w:r>
        <w:tab/>
      </w:r>
      <w:r>
        <w:t>Lee, J.</w:t>
      </w:r>
      <w:r>
        <w:rPr>
          <w:i/>
        </w:rPr>
        <w:t xml:space="preserve"> et al.</w:t>
      </w:r>
      <w:r>
        <w:t xml:space="preserve"> CHARMM-GUI Input Generator for NAMD, GROMACS, AMBER, OpenMM, and CHARMM/OpenMM Simulations Using the CHARMM36 Additive Force Field. </w:t>
      </w:r>
      <w:r>
        <w:rPr>
          <w:i/>
        </w:rPr>
        <w:t>J. Chem. Theory Comput.</w:t>
      </w:r>
      <w:r>
        <w:t xml:space="preserve"> </w:t>
      </w:r>
      <w:r>
        <w:rPr>
          <w:b/>
        </w:rPr>
        <w:t>12</w:t>
      </w:r>
      <w:r>
        <w:t>, 405-413, doi:10.1021/acs.jctc.5b00935 (2016).</w:t>
      </w:r>
    </w:p>
    <w:p w14:paraId="227CDAAE">
      <w:pPr>
        <w:pStyle w:val="167"/>
        <w:spacing w:after="0"/>
        <w:ind w:left="720" w:hanging="720"/>
      </w:pPr>
      <w:r>
        <w:t>13</w:t>
      </w:r>
      <w:r>
        <w:tab/>
      </w:r>
      <w:r>
        <w:t>Rose, A. S.</w:t>
      </w:r>
      <w:r>
        <w:rPr>
          <w:i/>
        </w:rPr>
        <w:t xml:space="preserve"> et al.</w:t>
      </w:r>
      <w:r>
        <w:t xml:space="preserve"> NGL viewer: web-based molecular graphics for large complexes. </w:t>
      </w:r>
      <w:r>
        <w:rPr>
          <w:i/>
        </w:rPr>
        <w:t>Bioinformatics</w:t>
      </w:r>
      <w:r>
        <w:t xml:space="preserve"> </w:t>
      </w:r>
      <w:r>
        <w:rPr>
          <w:b/>
        </w:rPr>
        <w:t>34</w:t>
      </w:r>
      <w:r>
        <w:t>, 3755-3758, doi:10.1093/bioinformatics/bty419 (2018).</w:t>
      </w:r>
    </w:p>
    <w:p w14:paraId="57186755">
      <w:pPr>
        <w:pStyle w:val="167"/>
        <w:ind w:left="720" w:hanging="720"/>
      </w:pPr>
      <w:r>
        <w:t>14</w:t>
      </w:r>
      <w:r>
        <w:tab/>
      </w:r>
      <w:r>
        <w:t xml:space="preserve">Le Guilloux, V., Schmidtke, P. &amp; Tuffery, P. Fpocket: An open source platform for ligand pocket detection. </w:t>
      </w:r>
      <w:r>
        <w:rPr>
          <w:i/>
        </w:rPr>
        <w:t>BMC Bioinformatics</w:t>
      </w:r>
      <w:r>
        <w:t xml:space="preserve"> </w:t>
      </w:r>
      <w:r>
        <w:rPr>
          <w:b/>
        </w:rPr>
        <w:t>10</w:t>
      </w:r>
      <w:r>
        <w:t xml:space="preserve"> (2009).</w:t>
      </w:r>
    </w:p>
    <w:p w14:paraId="0A1D6E59">
      <w:pPr>
        <w:spacing w:after="40"/>
        <w:ind w:left="340" w:hanging="340"/>
      </w:pPr>
      <w:r>
        <w:fldChar w:fldCharType="end"/>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仿宋">
    <w:altName w:val="方正仿宋_GBK"/>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ftpt9a5ep2a0wev9prvz597dsf0vwptfxes&quot;&gt;mica_gav9-Converted&lt;record-ids&gt;&lt;item&gt;572&lt;/item&gt;&lt;item&gt;945&lt;/item&gt;&lt;item&gt;1376&lt;/item&gt;&lt;item&gt;1384&lt;/item&gt;&lt;item&gt;1956&lt;/item&gt;&lt;item&gt;1978&lt;/item&gt;&lt;item&gt;1980&lt;/item&gt;&lt;item&gt;1981&lt;/item&gt;&lt;item&gt;1982&lt;/item&gt;&lt;item&gt;1983&lt;/item&gt;&lt;item&gt;1984&lt;/item&gt;&lt;item&gt;1985&lt;/item&gt;&lt;item&gt;1986&lt;/item&gt;&lt;item&gt;1987&lt;/item&gt;&lt;/record-ids&gt;&lt;/item&gt;&lt;/Libraries&gt;"/>
  </w:docVars>
  <w:rsids>
    <w:rsidRoot w:val="00B47730"/>
    <w:rsid w:val="00004B30"/>
    <w:rsid w:val="000138C3"/>
    <w:rsid w:val="00034616"/>
    <w:rsid w:val="00042B34"/>
    <w:rsid w:val="0006063C"/>
    <w:rsid w:val="00095CD1"/>
    <w:rsid w:val="000A4547"/>
    <w:rsid w:val="000F66E6"/>
    <w:rsid w:val="000F6D75"/>
    <w:rsid w:val="0011411D"/>
    <w:rsid w:val="00146FAF"/>
    <w:rsid w:val="0015074B"/>
    <w:rsid w:val="0017392D"/>
    <w:rsid w:val="00204C75"/>
    <w:rsid w:val="0029639D"/>
    <w:rsid w:val="002E6AE0"/>
    <w:rsid w:val="002F04AA"/>
    <w:rsid w:val="00326F90"/>
    <w:rsid w:val="003C7631"/>
    <w:rsid w:val="00420918"/>
    <w:rsid w:val="00420B52"/>
    <w:rsid w:val="00485D6E"/>
    <w:rsid w:val="004A6EB0"/>
    <w:rsid w:val="004B1C52"/>
    <w:rsid w:val="005C246F"/>
    <w:rsid w:val="00631EA3"/>
    <w:rsid w:val="00652669"/>
    <w:rsid w:val="00665EFF"/>
    <w:rsid w:val="006D3F05"/>
    <w:rsid w:val="00707C1D"/>
    <w:rsid w:val="00736590"/>
    <w:rsid w:val="007D0B00"/>
    <w:rsid w:val="008009D1"/>
    <w:rsid w:val="008143E6"/>
    <w:rsid w:val="0083524B"/>
    <w:rsid w:val="00844A71"/>
    <w:rsid w:val="008C3943"/>
    <w:rsid w:val="00905866"/>
    <w:rsid w:val="00990E6A"/>
    <w:rsid w:val="00A908C8"/>
    <w:rsid w:val="00AA1D8D"/>
    <w:rsid w:val="00AD30BB"/>
    <w:rsid w:val="00B47730"/>
    <w:rsid w:val="00B652DD"/>
    <w:rsid w:val="00C2642A"/>
    <w:rsid w:val="00C40EBE"/>
    <w:rsid w:val="00C626F1"/>
    <w:rsid w:val="00CB0664"/>
    <w:rsid w:val="00CF4D30"/>
    <w:rsid w:val="00D37AB6"/>
    <w:rsid w:val="00D42D06"/>
    <w:rsid w:val="00E34810"/>
    <w:rsid w:val="00E3680F"/>
    <w:rsid w:val="00E45C27"/>
    <w:rsid w:val="00E7009B"/>
    <w:rsid w:val="00EC0053"/>
    <w:rsid w:val="00EF60FA"/>
    <w:rsid w:val="00F138CB"/>
    <w:rsid w:val="00FC693F"/>
    <w:rsid w:val="00FE0A38"/>
    <w:rsid w:val="7FF535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页眉 字符"/>
    <w:basedOn w:val="11"/>
    <w:link w:val="19"/>
    <w:uiPriority w:val="99"/>
  </w:style>
  <w:style w:type="character" w:customStyle="1" w:styleId="137">
    <w:name w:val="页脚 字符"/>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1"/>
    <w:link w:val="13"/>
    <w:uiPriority w:val="99"/>
  </w:style>
  <w:style w:type="character" w:customStyle="1" w:styleId="146">
    <w:name w:val="正文文本 2 字符"/>
    <w:basedOn w:val="11"/>
    <w:link w:val="14"/>
    <w:uiPriority w:val="99"/>
  </w:style>
  <w:style w:type="character" w:customStyle="1" w:styleId="147">
    <w:name w:val="正文文本 3 字符"/>
    <w:basedOn w:val="11"/>
    <w:link w:val="15"/>
    <w:uiPriority w:val="99"/>
    <w:rPr>
      <w:sz w:val="16"/>
      <w:szCs w:val="16"/>
    </w:rPr>
  </w:style>
  <w:style w:type="character" w:customStyle="1" w:styleId="148">
    <w:name w:val="宏文本 字符"/>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1"/>
    <w:link w:val="149"/>
    <w:uiPriority w:val="29"/>
    <w:rPr>
      <w:i/>
      <w:iCs/>
      <w:color w:val="000000" w:themeColor="text1"/>
      <w14:textFill>
        <w14:solidFill>
          <w14:schemeClr w14:val="tx1"/>
        </w14:solidFill>
      </w14:textFill>
    </w:rPr>
  </w:style>
  <w:style w:type="character" w:customStyle="1" w:styleId="151">
    <w:name w:val="标题 4 字符"/>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EndNote Bibliography Title"/>
    <w:basedOn w:val="1"/>
    <w:link w:val="166"/>
    <w:uiPriority w:val="0"/>
    <w:pPr>
      <w:spacing w:after="0"/>
      <w:jc w:val="center"/>
    </w:pPr>
    <w:rPr>
      <w:rFonts w:cs="Times New Roman"/>
    </w:rPr>
  </w:style>
  <w:style w:type="character" w:customStyle="1" w:styleId="166">
    <w:name w:val="EndNote Bibliography Title 字符"/>
    <w:basedOn w:val="11"/>
    <w:link w:val="165"/>
    <w:uiPriority w:val="0"/>
    <w:rPr>
      <w:rFonts w:ascii="Times New Roman" w:hAnsi="Times New Roman" w:cs="Times New Roman"/>
      <w:sz w:val="20"/>
    </w:rPr>
  </w:style>
  <w:style w:type="paragraph" w:customStyle="1" w:styleId="167">
    <w:name w:val="EndNote Bibliography"/>
    <w:basedOn w:val="1"/>
    <w:link w:val="168"/>
    <w:uiPriority w:val="0"/>
    <w:pPr>
      <w:spacing w:line="240" w:lineRule="auto"/>
    </w:pPr>
    <w:rPr>
      <w:rFonts w:cs="Times New Roman"/>
    </w:rPr>
  </w:style>
  <w:style w:type="character" w:customStyle="1" w:styleId="168">
    <w:name w:val="EndNote Bibliography 字符"/>
    <w:basedOn w:val="11"/>
    <w:link w:val="167"/>
    <w:uiPriority w:val="0"/>
    <w:rPr>
      <w:rFonts w:ascii="Times New Roman" w:hAnsi="Times New Roman" w:cs="Times New Roman"/>
      <w:sz w:val="20"/>
    </w:rPr>
  </w:style>
  <w:style w:type="character" w:customStyle="1" w:styleId="16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10022</Words>
  <Characters>57130</Characters>
  <Lines>476</Lines>
  <Paragraphs>134</Paragraphs>
  <TotalTime>193</TotalTime>
  <ScaleCrop>false</ScaleCrop>
  <LinksUpToDate>false</LinksUpToDate>
  <CharactersWithSpaces>67018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黄建湘</cp:lastModifiedBy>
  <dcterms:modified xsi:type="dcterms:W3CDTF">2026-07-08T10:35:26Z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AF23EC185269B20D6EB74D6AD2611D3B_42</vt:lpwstr>
  </property>
</Properties>
</file>