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web resource for comparative molecular dynamics of 222 GPCR–G-protein ternary complexes reveals dynamic coupling selectivity</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 where applicable—and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where pocket landscapes are completely non-overlapping between the Gq and Gs complexes.</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protein-only systems with GROMACS [8], and 26 class-B receptor systems prepared via CHARMM-GUI [10]. A total of 212 systems were embedded in a POPC lipid bilayer; the remaining 10 were simulated in explicit solvent without membrane. Of the 222 structures, 211 derive from experimental coordinates; 11 originate from engineered or chimeric constructs (BRIL-fused receptors, recovered identifiers) and are flagged in the database.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0.864 to 0.927.</w:t>
      </w:r>
    </w:p>
    <w:p>
      <w:r>
        <w:rPr>
          <w:b w:val="0"/>
          <w:i w:val="0"/>
        </w:rPr>
        <w:t>As a prospective validation, we examined CCR5 (system Gi_7F1Q; Figure 2). MD blind-recovers an intracellular allosteric pocket lining residues at GPCRdb positions 2.50, 3.39, and 7.49 — the Na⁺ binding motif that co-localises with the adjacent maraviroc binding site [13, 14], the site of an FDA-approved allosteric CCR5 inhibitor used to treat HIV infection. In CCR5 this pocket is recovered at a mean occupancy frequency of 0.910 from MD dynamics alone, without structural input from the inhibitor-bound conformation (Figure 2A, B); across the database, the corresponding consensus pocket cluster spans 10 systems at a mean frequency of 0.927.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The uniform simulation protocol of CoupledMD uniquely enables direct comparison of pocket landscapes between G-protein partners of the same receptor. Across 16 receptor contrasts with MD data for two or more G-protein partners, Jaccard similarity coefficients for pocket residue sets range from complete overlap (1.0) to complete non-overlap (0.0). The most extreme case is OX2R, which is coupled to Gi, Gq, and Gs in independent simulations: the Gq–Gs contrast yields Jaccard = 0.0, indicating that the intracellular pocket landscape is entirely reorganized upon partner switching (Figure 5). Receptor contrasts such as EDNRB (Gi–Gq, Jaccard = 0.6) and GHSR (Gi–Gq, Jaccard = 0.67) show intermediate divergence, suggesting a spectrum of pocket sensitivity to G-protein identity. Because all paired simulations in CoupledMD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positions indexed by the 356-position Common G-protein Numbering (CGN) scheme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indexed to the CGN scheme and directly comparable across simulations; Figure 4A shows the mean profile across the pilot interface cohort.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(Gs, PDB 7L1V) is among the top-ranked systems,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protein-only systems were simulated with GROMACS [8]; and 26 class-B receptor systems were prepared via CHARMM-GUI [10] and simulated under the same force field. Each system was simulated in three independent replicas of 500 ns, yielding approximately 332 μs of aggregate sampling. A total of 212 systems were embedded in a POPC lipid bilayer; the remaining 10 were simulated as protein-only in explicit solvent. Production trajectories were stored in AMBER NetCDF format for membrane-embedded systems and GROMACS TRR format for protein-only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positions indexed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residue sets were compared using the Jaccard similarity coefficient, and gateway distance distributions were contrasted across partners. OX2R, with data for Gi, Gq, and Gs coupling, shows Jaccard = 0.0 between Gq and Gs, representing the most extreme case of pocket-landscape reorganization upon partner switching in the database.</w:t>
      </w:r>
    </w:p>
    <w:p>
      <w:r>
        <w:rPr>
          <w:b/>
          <w:i w:val="0"/>
        </w:rPr>
        <w:t>Allosteric site recovery.</w:t>
      </w:r>
      <w:r>
        <w:rPr>
          <w:b w:val="0"/>
          <w:i w:val="0"/>
        </w:rPr>
        <w:t xml:space="preserve"> As prospective validation, CCR5 (Gi_7F1Q) was examined. MD recovers an intracellular pocket lining generic positions 2.50, 3.39, and 7.49 that corresponds to the Na⁺ allosteric pocket and the adjacent maraviroc binding site [13, 14], at a mean occupancy frequency of 0.910.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Membrane environment. 212 of 222 systems were simulated in a POPC lipid bilayer; 10 protein-only systems were simulated in explicit solvent without membrane.</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The twelve most-represented receptors, ranked by number of systems and coloured by predominant G-protein subfamily. Peptide- and lipid-sensing class A receptors dominate (orexin OX2R, free fatty acid FFAR4, cholecystokinin CCKAR, corticotropin-releasing factor CRHR2, endothelin EDNRB),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occupancy frequency of the 13 persistent pockets detected in CCR5 (system Gi_7F1Q), ranked by frequency. The orthosteric pocket (red) is recovered at frequency 0.947; the intracellular Na⁺/maraviroc allosteric pocket (orange), lining GPCRdb positions 2.50, 3.39 and 7.49, is recovered at frequency 0.910 — blind from MD, with no inhibitor-bound starting structure. Remaining allosteric and interface pockets are shown in teal.</w:t>
      </w:r>
      <w:r>
        <w:rPr>
          <w:b w:val="0"/>
          <w:i w:val="0"/>
          <w:sz w:val="18"/>
        </w:rPr>
        <w:t xml:space="preserve"> (B) Pocket size (lining residue count) versus mean occupancy frequency for all 13 pockets; bubble area is proportional to pocket volume. The Na⁺/maraviroc pocket and the orthosteric pocket are annotated; the former's lining residues at GPCRdb positions 2.50, 3.39 and 7.49 constitute the Na⁺ binding motif that co-localises with the maraviroc site.</w:t>
      </w:r>
      <w:r>
        <w:rPr>
          <w:b w:val="0"/>
          <w:i w:val="0"/>
          <w:sz w:val="18"/>
        </w:rPr>
        <w:t xml:space="preserve"> (C) Summary of the CCR5 case study: system identifier, sampling, recovered pocket frequencies, key generic residue positions, and the clinical cross-reference to maraviroc.</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open fraction (fraction of frames in the open state) for all seven transmembrane portal pairs, shown side-by-side for Gi/o (green) and Gq/11 (orange) with 95% confidence intervals. The TM6–TM7 portal shows the largest divergence (Gi: 0.022 vs Gq: 0.208; ~ten-fold), indicating near-complete closure under Gi coupling.</w:t>
      </w:r>
      <w:r>
        <w:rPr>
          <w:b w:val="0"/>
          <w:i w:val="0"/>
          <w:sz w:val="18"/>
        </w:rPr>
        <w:t xml:space="preserve"> (B) Mean portal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Mean contact persistence across the 25 CGN positions profiled in the pilot interface cohort, averaged over systems and grouped by CGN segment; bars are coloured by Flock functional class (conserved, selectivity-determining) and error bars are 95% confidence intervals. The α5 (G.H5) segment is shaded.</w:t>
      </w:r>
      <w:r>
        <w:rPr>
          <w:b w:val="0"/>
          <w:i w:val="0"/>
          <w:sz w:val="18"/>
        </w:rPr>
        <w:t xml:space="preserve"> (B) α5 tilt angle versus insertion depth for the 27 systems with both descriptors available, coloured by G-protein subfamily; shaded ellipses are 2σ covariance envelopes. OX2R (Gs coupling, PDB 7L1V), tied for the top composite functional rank, is highlighted.</w:t>
      </w:r>
      <w:r>
        <w:rPr>
          <w:b w:val="0"/>
          <w:i w:val="0"/>
          <w:sz w:val="18"/>
        </w:rPr>
        <w:t xml:space="preserve"> (C) Contact persistence at the selectivity-determining CGN positions, averaged within each G-protein subfamily, revealing conserved versus family-specific interface regions.</w:t>
      </w:r>
      <w:r>
        <w:rPr>
          <w:b w:val="0"/>
          <w:i w:val="0"/>
          <w:sz w:val="18"/>
        </w:rPr>
        <w:t xml:space="preserve"> (D) RMSF profile along the G.H5 (α5) segment,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Pocket Jaccard similarity versus gateway dissimilarity for all 16 receptor contrasts with multi-partner data. OX2R (Gq versus Gs) falls at Jaccard = 0.0 — the most extreme pocket-landscape reorganization in the dataset.</w:t>
      </w:r>
      <w:r>
        <w:rPr>
          <w:b w:val="0"/>
          <w:i w:val="0"/>
          <w:sz w:val="18"/>
        </w:rPr>
        <w:t xml:space="preserve"> (B) Pairwise pocket-residue Jaccard similarity among OX2R's three G-protein complexes. The Gq↔Gs comparison is 0.00, i.e. complete non-overlap of pocket-lining residues, whereas Gi↔Gq and Gi↔Gs each retain 0.50.</w:t>
      </w:r>
      <w:r>
        <w:rPr>
          <w:b w:val="0"/>
          <w:i w:val="0"/>
          <w:sz w:val="18"/>
        </w:rPr>
        <w:t xml:space="preserve"> (C) Heatmap of gateway open fraction across all seven TM portal pairs for OX2R under Gi, Gq, and Gs coupling, illustrating how the lipid-accessible interface is remodelled by partner identity.</w:t>
      </w:r>
      <w:r>
        <w:rPr>
          <w:b w:val="0"/>
          <w:i w:val="0"/>
          <w:sz w:val="18"/>
        </w:rPr>
        <w:t xml:space="preserve"> (D) Pocket Jaccard similarity versus α5 tilt difference for the 13 contrasts with both descriptors, OX2R highlighted. Across these contrasts, pocket divergence and α5 geometry difference show no significant association (Spearman, n = 13), indicating that pocket-landscape reorganization is not simply a consequence of α5 re-tilting.</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