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Information</w:t>
      </w:r>
    </w:p>
    <w:p>
      <w:pPr>
        <w:pStyle w:val="Heading1"/>
      </w:pPr>
      <w:r>
        <w:t>Reduced molecular dynamics trajectories of 207 active GPCR–G-protein complexes</w:t>
      </w:r>
    </w:p>
    <w:p>
      <w:pPr>
        <w:spacing w:line="240" w:lineRule="auto"/>
        <w:jc w:val="center"/>
      </w:pPr>
      <w:r>
        <w:t>Jianxiang Huang</w:t>
      </w:r>
      <w:r>
        <w:rPr>
          <w:sz w:val="15"/>
          <w:vertAlign w:val="superscript"/>
        </w:rPr>
        <w:t>1,2,3</w:t>
      </w:r>
      <w:r>
        <w:t>, Xin Qiao</w:t>
      </w:r>
      <w:r>
        <w:rPr>
          <w:sz w:val="15"/>
          <w:vertAlign w:val="superscript"/>
        </w:rPr>
        <w:t>3</w:t>
      </w:r>
      <w:r>
        <w:t>, Shaoyong Lu</w:t>
      </w:r>
      <w:r>
        <w:rPr>
          <w:sz w:val="15"/>
          <w:vertAlign w:val="superscript"/>
        </w:rPr>
        <w:t>1,2,3,*</w:t>
      </w:r>
    </w:p>
    <w:p>
      <w:pPr>
        <w:spacing w:line="240" w:lineRule="auto"/>
        <w:jc w:val="center"/>
      </w:pPr>
      <w:r>
        <w:rPr>
          <w:sz w:val="15"/>
          <w:vertAlign w:val="superscript"/>
        </w:rPr>
        <w:t>1</w:t>
      </w:r>
      <w:r>
        <w:t xml:space="preserve"> Artificial Intelligence Clinical Research Center for Drug Discovery, Shanghai Key Laboratory of Flexible Medical Robotics, Institute of Medical Robotics, Tongren Hospital, Shanghai Jiao Tong University School of Medicine, Shanghai 200336, China</w:t>
      </w:r>
    </w:p>
    <w:p>
      <w:pPr>
        <w:spacing w:line="240" w:lineRule="auto"/>
        <w:jc w:val="center"/>
      </w:pPr>
      <w:r>
        <w:rPr>
          <w:sz w:val="15"/>
          <w:vertAlign w:val="superscript"/>
        </w:rPr>
        <w:t>2</w:t>
      </w:r>
      <w:r>
        <w:t xml:space="preserve"> Key Laboratory of Protection, Development and Utilization of Medicinal Resources in Liupanshan Area, Ministry of Education; Peptide &amp; Protein Drug Research Center, School of Pharmacy, Ningxia Medical University, Yinchuan 750004, China</w:t>
      </w:r>
    </w:p>
    <w:p>
      <w:pPr>
        <w:spacing w:line="240" w:lineRule="auto"/>
        <w:jc w:val="center"/>
      </w:pPr>
      <w:r>
        <w:rPr>
          <w:sz w:val="15"/>
          <w:vertAlign w:val="superscript"/>
        </w:rPr>
        <w:t>3</w:t>
      </w:r>
      <w:r>
        <w:t xml:space="preserve"> Department of Pharmacology, School of Medicine, Shanghai Jiao Tong University, Shanghai 200025, China</w:t>
      </w:r>
    </w:p>
    <w:p>
      <w:pPr>
        <w:spacing w:line="240" w:lineRule="auto"/>
        <w:jc w:val="center"/>
      </w:pPr>
      <w:r>
        <w:t>*Correspondence: Shaoyong Lu (lushaoyong@sjtu.edu.cn)</w:t>
      </w:r>
    </w:p>
    <w:p>
      <w:pPr>
        <w:pStyle w:val="Heading1"/>
      </w:pPr>
      <w:r>
        <w:t>Supplementary Note 1. Frozen cohort and the 208-to-207 transition</w:t>
      </w:r>
    </w:p>
    <w:p>
      <w:pPr/>
      <w:r>
        <w:t xml:space="preserve">The authoritative cohort is </w:t>
      </w:r>
      <w:r>
        <w:rPr>
          <w:rFonts w:ascii="Liberation Mono" w:hAnsi="Liberation Mono"/>
          <w:color w:val="225E68"/>
          <w:sz w:val="17"/>
        </w:rPr>
        <w:t>data/release_cohort_v9_final207.csv</w:t>
      </w:r>
      <w:r>
        <w:t xml:space="preserve">. It contains 207 unique </w:t>
      </w:r>
      <w:r>
        <w:rPr>
          <w:rFonts w:ascii="Liberation Mono" w:hAnsi="Liberation Mono"/>
          <w:color w:val="225E68"/>
          <w:sz w:val="17"/>
        </w:rPr>
        <w:t>system_id</w:t>
      </w:r>
      <w:r>
        <w:t xml:space="preserve"> values and is used as an allow-list for all v12 tables, figures and API consistency checks. The class counts are 181 Class A and 26 Class B. The family counts are 95 Gi/o, 65 Gs, 41 Gq/11 and 6 G12/13. The cross-tabulation is:</w:t>
      </w:r>
    </w:p>
    <w:tbl>
      <w:tblPr>
        <w:tblStyle w:val="TableGrid"/>
        <w:tblW w:type="auto" w:w="0"/>
        <w:tblLayout w:type="autofit"/>
        <w:tblLook w:firstColumn="1" w:firstRow="1" w:lastColumn="0" w:lastRow="0" w:noHBand="0" w:noVBand="1" w:val="04A0"/>
      </w:tblPr>
      <w:tblGrid>
        <w:gridCol w:w="1646"/>
        <w:gridCol w:w="1646"/>
        <w:gridCol w:w="1646"/>
        <w:gridCol w:w="1646"/>
        <w:gridCol w:w="1646"/>
        <w:gridCol w:w="1646"/>
      </w:tblGrid>
      <w:tr>
        <w:trPr>
          <w:cantSplit/>
          <w:tblHeader w:val="true"/>
        </w:trPr>
        <w:tc>
          <w:tcPr>
            <w:tcW w:type="dxa" w:w="1646"/>
            <w:vAlign w:val="center"/>
            <w:shd w:fill="DCE8EA"/>
          </w:tcPr>
          <w:p>
            <w:pPr>
              <w:spacing w:after="0" w:line="240" w:lineRule="auto"/>
            </w:pPr>
            <w:r>
              <w:rPr>
                <w:b/>
                <w:sz w:val="15"/>
              </w:rPr>
            </w:r>
            <w:r>
              <w:rPr>
                <w:b/>
                <w:sz w:val="15"/>
              </w:rPr>
              <w:t>GPCR class</w:t>
            </w:r>
          </w:p>
        </w:tc>
        <w:tc>
          <w:tcPr>
            <w:tcW w:type="dxa" w:w="1646"/>
            <w:vAlign w:val="center"/>
            <w:shd w:fill="DCE8EA"/>
          </w:tcPr>
          <w:p>
            <w:pPr>
              <w:spacing w:after="0" w:line="240" w:lineRule="auto"/>
            </w:pPr>
            <w:r>
              <w:rPr>
                <w:b/>
                <w:sz w:val="15"/>
              </w:rPr>
            </w:r>
            <w:r>
              <w:rPr>
                <w:b/>
                <w:sz w:val="15"/>
              </w:rPr>
              <w:t>Gi/o</w:t>
            </w:r>
          </w:p>
        </w:tc>
        <w:tc>
          <w:tcPr>
            <w:tcW w:type="dxa" w:w="1646"/>
            <w:vAlign w:val="center"/>
            <w:shd w:fill="DCE8EA"/>
          </w:tcPr>
          <w:p>
            <w:pPr>
              <w:spacing w:after="0" w:line="240" w:lineRule="auto"/>
            </w:pPr>
            <w:r>
              <w:rPr>
                <w:b/>
                <w:sz w:val="15"/>
              </w:rPr>
            </w:r>
            <w:r>
              <w:rPr>
                <w:b/>
                <w:sz w:val="15"/>
              </w:rPr>
              <w:t>Gs</w:t>
            </w:r>
          </w:p>
        </w:tc>
        <w:tc>
          <w:tcPr>
            <w:tcW w:type="dxa" w:w="1646"/>
            <w:vAlign w:val="center"/>
            <w:shd w:fill="DCE8EA"/>
          </w:tcPr>
          <w:p>
            <w:pPr>
              <w:spacing w:after="0" w:line="240" w:lineRule="auto"/>
            </w:pPr>
            <w:r>
              <w:rPr>
                <w:b/>
                <w:sz w:val="15"/>
              </w:rPr>
            </w:r>
            <w:r>
              <w:rPr>
                <w:b/>
                <w:sz w:val="15"/>
              </w:rPr>
              <w:t>Gq/11</w:t>
            </w:r>
          </w:p>
        </w:tc>
        <w:tc>
          <w:tcPr>
            <w:tcW w:type="dxa" w:w="1646"/>
            <w:vAlign w:val="center"/>
            <w:shd w:fill="DCE8EA"/>
          </w:tcPr>
          <w:p>
            <w:pPr>
              <w:spacing w:after="0" w:line="240" w:lineRule="auto"/>
            </w:pPr>
            <w:r>
              <w:rPr>
                <w:b/>
                <w:sz w:val="15"/>
              </w:rPr>
            </w:r>
            <w:r>
              <w:rPr>
                <w:b/>
                <w:sz w:val="15"/>
              </w:rPr>
              <w:t>G12/13</w:t>
            </w:r>
          </w:p>
        </w:tc>
        <w:tc>
          <w:tcPr>
            <w:tcW w:type="dxa" w:w="1646"/>
            <w:vAlign w:val="center"/>
            <w:shd w:fill="DCE8EA"/>
          </w:tcPr>
          <w:p>
            <w:pPr>
              <w:spacing w:after="0" w:line="240" w:lineRule="auto"/>
            </w:pPr>
            <w:r>
              <w:rPr>
                <w:b/>
                <w:sz w:val="15"/>
              </w:rPr>
            </w:r>
            <w:r>
              <w:rPr>
                <w:b/>
                <w:sz w:val="15"/>
              </w:rPr>
              <w:t>Total</w:t>
            </w:r>
          </w:p>
        </w:tc>
      </w:tr>
      <w:tr>
        <w:trPr>
          <w:cantSplit/>
        </w:trPr>
        <w:tc>
          <w:tcPr>
            <w:tcW w:type="dxa" w:w="1646"/>
            <w:vAlign w:val="center"/>
          </w:tcPr>
          <w:p>
            <w:pPr>
              <w:spacing w:after="0" w:line="240" w:lineRule="auto"/>
            </w:pPr>
            <w:r>
              <w:rPr>
                <w:sz w:val="15"/>
              </w:rPr>
            </w:r>
            <w:r>
              <w:rPr>
                <w:sz w:val="15"/>
              </w:rPr>
              <w:t>Class A</w:t>
            </w:r>
          </w:p>
        </w:tc>
        <w:tc>
          <w:tcPr>
            <w:tcW w:type="dxa" w:w="1646"/>
            <w:vAlign w:val="center"/>
          </w:tcPr>
          <w:p>
            <w:pPr>
              <w:spacing w:after="0" w:line="240" w:lineRule="auto"/>
            </w:pPr>
            <w:r>
              <w:rPr>
                <w:sz w:val="15"/>
              </w:rPr>
            </w:r>
            <w:r>
              <w:rPr>
                <w:sz w:val="15"/>
              </w:rPr>
              <w:t>92</w:t>
            </w:r>
          </w:p>
        </w:tc>
        <w:tc>
          <w:tcPr>
            <w:tcW w:type="dxa" w:w="1646"/>
            <w:vAlign w:val="center"/>
          </w:tcPr>
          <w:p>
            <w:pPr>
              <w:spacing w:after="0" w:line="240" w:lineRule="auto"/>
            </w:pPr>
            <w:r>
              <w:rPr>
                <w:sz w:val="15"/>
              </w:rPr>
            </w:r>
            <w:r>
              <w:rPr>
                <w:sz w:val="15"/>
              </w:rPr>
              <w:t>46</w:t>
            </w:r>
          </w:p>
        </w:tc>
        <w:tc>
          <w:tcPr>
            <w:tcW w:type="dxa" w:w="1646"/>
            <w:vAlign w:val="center"/>
          </w:tcPr>
          <w:p>
            <w:pPr>
              <w:spacing w:after="0" w:line="240" w:lineRule="auto"/>
            </w:pPr>
            <w:r>
              <w:rPr>
                <w:sz w:val="15"/>
              </w:rPr>
            </w:r>
            <w:r>
              <w:rPr>
                <w:sz w:val="15"/>
              </w:rPr>
              <w:t>39</w:t>
            </w:r>
          </w:p>
        </w:tc>
        <w:tc>
          <w:tcPr>
            <w:tcW w:type="dxa" w:w="1646"/>
            <w:vAlign w:val="center"/>
          </w:tcPr>
          <w:p>
            <w:pPr>
              <w:spacing w:after="0" w:line="240" w:lineRule="auto"/>
            </w:pPr>
            <w:r>
              <w:rPr>
                <w:sz w:val="15"/>
              </w:rPr>
            </w:r>
            <w:r>
              <w:rPr>
                <w:sz w:val="15"/>
              </w:rPr>
              <w:t>4</w:t>
            </w:r>
          </w:p>
        </w:tc>
        <w:tc>
          <w:tcPr>
            <w:tcW w:type="dxa" w:w="1646"/>
            <w:vAlign w:val="center"/>
          </w:tcPr>
          <w:p>
            <w:pPr>
              <w:spacing w:after="0" w:line="240" w:lineRule="auto"/>
            </w:pPr>
            <w:r>
              <w:rPr>
                <w:sz w:val="15"/>
              </w:rPr>
            </w:r>
            <w:r>
              <w:rPr>
                <w:sz w:val="15"/>
              </w:rPr>
              <w:t>181</w:t>
            </w:r>
          </w:p>
        </w:tc>
      </w:tr>
      <w:tr>
        <w:trPr>
          <w:cantSplit/>
        </w:trPr>
        <w:tc>
          <w:tcPr>
            <w:tcW w:type="dxa" w:w="1646"/>
            <w:vAlign w:val="center"/>
          </w:tcPr>
          <w:p>
            <w:pPr>
              <w:spacing w:after="0" w:line="240" w:lineRule="auto"/>
            </w:pPr>
            <w:r>
              <w:rPr>
                <w:sz w:val="15"/>
              </w:rPr>
            </w:r>
            <w:r>
              <w:rPr>
                <w:sz w:val="15"/>
              </w:rPr>
              <w:t>Class B</w:t>
            </w:r>
          </w:p>
        </w:tc>
        <w:tc>
          <w:tcPr>
            <w:tcW w:type="dxa" w:w="1646"/>
            <w:vAlign w:val="center"/>
          </w:tcPr>
          <w:p>
            <w:pPr>
              <w:spacing w:after="0" w:line="240" w:lineRule="auto"/>
            </w:pPr>
            <w:r>
              <w:rPr>
                <w:sz w:val="15"/>
              </w:rPr>
            </w:r>
            <w:r>
              <w:rPr>
                <w:sz w:val="15"/>
              </w:rPr>
              <w:t>3</w:t>
            </w:r>
          </w:p>
        </w:tc>
        <w:tc>
          <w:tcPr>
            <w:tcW w:type="dxa" w:w="1646"/>
            <w:vAlign w:val="center"/>
          </w:tcPr>
          <w:p>
            <w:pPr>
              <w:spacing w:after="0" w:line="240" w:lineRule="auto"/>
            </w:pPr>
            <w:r>
              <w:rPr>
                <w:sz w:val="15"/>
              </w:rPr>
            </w:r>
            <w:r>
              <w:rPr>
                <w:sz w:val="15"/>
              </w:rPr>
              <w:t>19</w:t>
            </w:r>
          </w:p>
        </w:tc>
        <w:tc>
          <w:tcPr>
            <w:tcW w:type="dxa" w:w="1646"/>
            <w:vAlign w:val="center"/>
          </w:tcPr>
          <w:p>
            <w:pPr>
              <w:spacing w:after="0" w:line="240" w:lineRule="auto"/>
            </w:pPr>
            <w:r>
              <w:rPr>
                <w:sz w:val="15"/>
              </w:rPr>
            </w:r>
            <w:r>
              <w:rPr>
                <w:sz w:val="15"/>
              </w:rPr>
              <w:t>2</w:t>
            </w:r>
          </w:p>
        </w:tc>
        <w:tc>
          <w:tcPr>
            <w:tcW w:type="dxa" w:w="1646"/>
            <w:vAlign w:val="center"/>
          </w:tcPr>
          <w:p>
            <w:pPr>
              <w:spacing w:after="0" w:line="240" w:lineRule="auto"/>
            </w:pPr>
            <w:r>
              <w:rPr>
                <w:sz w:val="15"/>
              </w:rPr>
            </w:r>
            <w:r>
              <w:rPr>
                <w:sz w:val="15"/>
              </w:rPr>
              <w:t>2</w:t>
            </w:r>
          </w:p>
        </w:tc>
        <w:tc>
          <w:tcPr>
            <w:tcW w:type="dxa" w:w="1646"/>
            <w:vAlign w:val="center"/>
          </w:tcPr>
          <w:p>
            <w:pPr>
              <w:spacing w:after="0" w:line="240" w:lineRule="auto"/>
            </w:pPr>
            <w:r>
              <w:rPr>
                <w:sz w:val="15"/>
              </w:rPr>
            </w:r>
            <w:r>
              <w:rPr>
                <w:sz w:val="15"/>
              </w:rPr>
              <w:t>26</w:t>
            </w:r>
          </w:p>
        </w:tc>
      </w:tr>
      <w:tr>
        <w:trPr>
          <w:cantSplit/>
        </w:trPr>
        <w:tc>
          <w:tcPr>
            <w:tcW w:type="dxa" w:w="1646"/>
            <w:vAlign w:val="center"/>
          </w:tcPr>
          <w:p>
            <w:pPr>
              <w:spacing w:after="0" w:line="240" w:lineRule="auto"/>
            </w:pPr>
            <w:r>
              <w:rPr>
                <w:sz w:val="15"/>
              </w:rPr>
            </w:r>
            <w:r>
              <w:rPr>
                <w:b/>
                <w:sz w:val="15"/>
              </w:rPr>
              <w:t>Total</w:t>
            </w:r>
          </w:p>
        </w:tc>
        <w:tc>
          <w:tcPr>
            <w:tcW w:type="dxa" w:w="1646"/>
            <w:vAlign w:val="center"/>
          </w:tcPr>
          <w:p>
            <w:pPr>
              <w:spacing w:after="0" w:line="240" w:lineRule="auto"/>
            </w:pPr>
            <w:r>
              <w:rPr>
                <w:sz w:val="15"/>
              </w:rPr>
            </w:r>
            <w:r>
              <w:rPr>
                <w:b/>
                <w:sz w:val="15"/>
              </w:rPr>
              <w:t>95</w:t>
            </w:r>
          </w:p>
        </w:tc>
        <w:tc>
          <w:tcPr>
            <w:tcW w:type="dxa" w:w="1646"/>
            <w:vAlign w:val="center"/>
          </w:tcPr>
          <w:p>
            <w:pPr>
              <w:spacing w:after="0" w:line="240" w:lineRule="auto"/>
            </w:pPr>
            <w:r>
              <w:rPr>
                <w:sz w:val="15"/>
              </w:rPr>
            </w:r>
            <w:r>
              <w:rPr>
                <w:b/>
                <w:sz w:val="15"/>
              </w:rPr>
              <w:t>65</w:t>
            </w:r>
          </w:p>
        </w:tc>
        <w:tc>
          <w:tcPr>
            <w:tcW w:type="dxa" w:w="1646"/>
            <w:vAlign w:val="center"/>
          </w:tcPr>
          <w:p>
            <w:pPr>
              <w:spacing w:after="0" w:line="240" w:lineRule="auto"/>
            </w:pPr>
            <w:r>
              <w:rPr>
                <w:sz w:val="15"/>
              </w:rPr>
            </w:r>
            <w:r>
              <w:rPr>
                <w:b/>
                <w:sz w:val="15"/>
              </w:rPr>
              <w:t>41</w:t>
            </w:r>
          </w:p>
        </w:tc>
        <w:tc>
          <w:tcPr>
            <w:tcW w:type="dxa" w:w="1646"/>
            <w:vAlign w:val="center"/>
          </w:tcPr>
          <w:p>
            <w:pPr>
              <w:spacing w:after="0" w:line="240" w:lineRule="auto"/>
            </w:pPr>
            <w:r>
              <w:rPr>
                <w:sz w:val="15"/>
              </w:rPr>
            </w:r>
            <w:r>
              <w:rPr>
                <w:b/>
                <w:sz w:val="15"/>
              </w:rPr>
              <w:t>6</w:t>
            </w:r>
          </w:p>
        </w:tc>
        <w:tc>
          <w:tcPr>
            <w:tcW w:type="dxa" w:w="1646"/>
            <w:vAlign w:val="center"/>
          </w:tcPr>
          <w:p>
            <w:pPr>
              <w:spacing w:after="0" w:line="240" w:lineRule="auto"/>
            </w:pPr>
            <w:r>
              <w:rPr>
                <w:sz w:val="15"/>
              </w:rPr>
            </w:r>
            <w:r>
              <w:rPr>
                <w:b/>
                <w:sz w:val="15"/>
              </w:rPr>
              <w:t>207</w:t>
            </w:r>
          </w:p>
        </w:tc>
      </w:tr>
    </w:tbl>
    <w:p>
      <w:pPr>
        <w:spacing w:after="0"/>
      </w:pPr>
    </w:p>
    <w:p>
      <w:pPr/>
      <w:r>
        <w:t>The 222-record working inventory is partitioned into 207 included, 13 unresolved and two excluded records. The two exclusions are:</w:t>
      </w:r>
    </w:p>
    <w:p>
      <w:pPr>
        <w:pStyle w:val="ListBullet"/>
      </w:pPr>
      <w:r>
        <w:rPr>
          <w:rFonts w:ascii="Liberation Mono" w:hAnsi="Liberation Mono"/>
          <w:color w:val="225E68"/>
          <w:sz w:val="17"/>
        </w:rPr>
        <w:t>Gq_7E9W</w:t>
      </w:r>
      <w:r>
        <w:t xml:space="preserve">: non-GPCR duplicate or mislabel of </w:t>
      </w:r>
      <w:r>
        <w:rPr>
          <w:rFonts w:ascii="Liberation Mono" w:hAnsi="Liberation Mono"/>
          <w:color w:val="225E68"/>
          <w:sz w:val="17"/>
        </w:rPr>
        <w:t>Gq_8E9W</w:t>
      </w:r>
      <w:r>
        <w:t>.</w:t>
      </w:r>
    </w:p>
    <w:p>
      <w:pPr>
        <w:pStyle w:val="ListBullet"/>
      </w:pPr>
      <w:r>
        <w:rPr>
          <w:rFonts w:ascii="Liberation Mono" w:hAnsi="Liberation Mono"/>
          <w:color w:val="225E68"/>
          <w:sz w:val="17"/>
        </w:rPr>
        <w:t>Gq_7DWC</w:t>
      </w:r>
      <w:r>
        <w:t xml:space="preserve">: duplicate source identity of </w:t>
      </w:r>
      <w:r>
        <w:rPr>
          <w:rFonts w:ascii="Liberation Mono" w:hAnsi="Liberation Mono"/>
          <w:color w:val="225E68"/>
          <w:sz w:val="17"/>
        </w:rPr>
        <w:t>Gq_8DWC</w:t>
      </w:r>
      <w:r>
        <w:t>; both source records were assigned to MRGPRX1 (Q96LB2).</w:t>
      </w:r>
    </w:p>
    <w:p>
      <w:pPr/>
      <w:r>
        <w:t xml:space="preserve">Earlier 208-system files included </w:t>
      </w:r>
      <w:r>
        <w:rPr>
          <w:rFonts w:ascii="Liberation Mono" w:hAnsi="Liberation Mono"/>
          <w:color w:val="225E68"/>
          <w:sz w:val="17"/>
        </w:rPr>
        <w:t>Gq_7DWC</w:t>
      </w:r>
      <w:r>
        <w:t xml:space="preserve">. Its exclusion changes 208 systems to 207, Class A from 182 to 181, Gq/11 from 42 to 41, production repeats from 624 to 621 and nominal sampling from 312.0 to 310.5 µs. Historical files containing </w:t>
      </w:r>
      <w:r>
        <w:rPr>
          <w:rFonts w:ascii="Liberation Mono" w:hAnsi="Liberation Mono"/>
          <w:color w:val="225E68"/>
          <w:sz w:val="17"/>
        </w:rPr>
        <w:t>final208</w:t>
      </w:r>
      <w:r>
        <w:t xml:space="preserve"> or </w:t>
      </w:r>
      <w:r>
        <w:rPr>
          <w:rFonts w:ascii="Liberation Mono" w:hAnsi="Liberation Mono"/>
          <w:color w:val="225E68"/>
          <w:sz w:val="17"/>
        </w:rPr>
        <w:t>final624</w:t>
      </w:r>
      <w:r>
        <w:t xml:space="preserve"> in their names are source-provenance inputs only. Their contents are filtered against the final-207 allow-list, and no active v12 submission artifact uses those labels.</w:t>
      </w:r>
    </w:p>
    <w:p>
      <w:pPr/>
      <w:r>
        <w:rPr>
          <w:rFonts w:ascii="Liberation Mono" w:hAnsi="Liberation Mono"/>
          <w:color w:val="225E68"/>
          <w:sz w:val="17"/>
        </w:rPr>
        <w:t>Gs_8HTI</w:t>
      </w:r>
      <w:r>
        <w:t xml:space="preserve"> is retained as a valid system but has no canonical receptor UniProt accession. It is serialized with an explicit null value, not a fabricated accession.</w:t>
      </w:r>
    </w:p>
    <w:p>
      <w:pPr>
        <w:pStyle w:val="Heading1"/>
      </w:pPr>
      <w:r>
        <w:t>Supplementary Note 2. Source-protocol evidence</w:t>
      </w:r>
    </w:p>
    <w:p>
      <w:pPr/>
      <w:r>
        <w:t xml:space="preserve">The protocol assignment is regenerated by joining the final cohort to </w:t>
      </w:r>
      <w:r>
        <w:rPr>
          <w:rFonts w:ascii="Liberation Mono" w:hAnsi="Liberation Mono"/>
          <w:color w:val="225E68"/>
          <w:sz w:val="17"/>
        </w:rPr>
        <w:t>parallel_codex/provenance_direct/protocol_system_evidence.csv</w:t>
      </w:r>
      <w:r>
        <w:t>. The counts are P1 179, P2 26 and P3 2. There are 205 AMBER-family systems and two GROMACS systems. Source records include production output paths, hashes where available, recovered version strings, output interval, random-seed evidence and a structured settings record.</w:t>
      </w:r>
    </w:p>
    <w:p>
      <w:pPr/>
      <w:r>
        <w:t xml:space="preserve">Evidence is classified as </w:t>
      </w:r>
      <w:r>
        <w:rPr>
          <w:rFonts w:ascii="Liberation Mono" w:hAnsi="Liberation Mono"/>
          <w:color w:val="225E68"/>
          <w:sz w:val="17"/>
        </w:rPr>
        <w:t>verified</w:t>
      </w:r>
      <w:r>
        <w:t xml:space="preserve"> for 202 systems and </w:t>
      </w:r>
      <w:r>
        <w:rPr>
          <w:rFonts w:ascii="Liberation Mono" w:hAnsi="Liberation Mono"/>
          <w:color w:val="225E68"/>
          <w:sz w:val="17"/>
        </w:rPr>
        <w:t>partial</w:t>
      </w:r>
      <w:r>
        <w:t xml:space="preserve"> for five systems:</w:t>
      </w:r>
    </w:p>
    <w:tbl>
      <w:tblPr>
        <w:tblStyle w:val="TableGrid"/>
        <w:tblW w:type="auto" w:w="0"/>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shd w:fill="DCE8EA"/>
          </w:tcPr>
          <w:p>
            <w:pPr>
              <w:spacing w:after="0" w:line="240" w:lineRule="auto"/>
            </w:pPr>
            <w:r>
              <w:rPr>
                <w:b/>
                <w:sz w:val="15"/>
              </w:rPr>
            </w:r>
            <w:r>
              <w:rPr>
                <w:b/>
                <w:sz w:val="15"/>
              </w:rPr>
              <w:t>System</w:t>
            </w:r>
          </w:p>
        </w:tc>
        <w:tc>
          <w:tcPr>
            <w:tcW w:type="dxa" w:w="2469"/>
            <w:vAlign w:val="center"/>
            <w:shd w:fill="DCE8EA"/>
          </w:tcPr>
          <w:p>
            <w:pPr>
              <w:spacing w:after="0" w:line="240" w:lineRule="auto"/>
            </w:pPr>
            <w:r>
              <w:rPr>
                <w:b/>
                <w:sz w:val="15"/>
              </w:rPr>
            </w:r>
            <w:r>
              <w:rPr>
                <w:b/>
                <w:sz w:val="15"/>
              </w:rPr>
              <w:t>Protocol</w:t>
            </w:r>
          </w:p>
        </w:tc>
        <w:tc>
          <w:tcPr>
            <w:tcW w:type="dxa" w:w="2469"/>
            <w:vAlign w:val="center"/>
            <w:shd w:fill="DCE8EA"/>
          </w:tcPr>
          <w:p>
            <w:pPr>
              <w:spacing w:after="0" w:line="240" w:lineRule="auto"/>
            </w:pPr>
            <w:r>
              <w:rPr>
                <w:b/>
                <w:sz w:val="15"/>
              </w:rPr>
            </w:r>
            <w:r>
              <w:rPr>
                <w:b/>
                <w:sz w:val="15"/>
              </w:rPr>
              <w:t>Evidence status</w:t>
            </w:r>
          </w:p>
        </w:tc>
        <w:tc>
          <w:tcPr>
            <w:tcW w:type="dxa" w:w="2469"/>
            <w:vAlign w:val="center"/>
            <w:shd w:fill="DCE8EA"/>
          </w:tcPr>
          <w:p>
            <w:pPr>
              <w:spacing w:after="0" w:line="240" w:lineRule="auto"/>
            </w:pPr>
            <w:r>
              <w:rPr>
                <w:b/>
                <w:sz w:val="15"/>
              </w:rPr>
            </w:r>
            <w:r>
              <w:rPr>
                <w:b/>
                <w:sz w:val="15"/>
              </w:rPr>
              <w:t>Interpretation</w:t>
            </w:r>
          </w:p>
        </w:tc>
      </w:tr>
      <w:tr>
        <w:trPr>
          <w:cantSplit/>
        </w:trPr>
        <w:tc>
          <w:tcPr>
            <w:tcW w:type="dxa" w:w="2469"/>
            <w:vAlign w:val="center"/>
          </w:tcPr>
          <w:p>
            <w:pPr>
              <w:spacing w:after="0" w:line="240" w:lineRule="auto"/>
            </w:pPr>
            <w:r>
              <w:rPr>
                <w:sz w:val="15"/>
              </w:rPr>
            </w:r>
            <w:r>
              <w:rPr>
                <w:rFonts w:ascii="Liberation Mono" w:hAnsi="Liberation Mono"/>
                <w:color w:val="225E68"/>
                <w:sz w:val="15"/>
              </w:rPr>
              <w:t>Gi_8EFO</w:t>
            </w:r>
          </w:p>
        </w:tc>
        <w:tc>
          <w:tcPr>
            <w:tcW w:type="dxa" w:w="2469"/>
            <w:vAlign w:val="center"/>
          </w:tcPr>
          <w:p>
            <w:pPr>
              <w:spacing w:after="0" w:line="240" w:lineRule="auto"/>
            </w:pPr>
            <w:r>
              <w:rPr>
                <w:sz w:val="15"/>
              </w:rPr>
            </w:r>
            <w:r>
              <w:rPr>
                <w:sz w:val="15"/>
              </w:rPr>
              <w:t>P1</w:t>
            </w:r>
          </w:p>
        </w:tc>
        <w:tc>
          <w:tcPr>
            <w:tcW w:type="dxa" w:w="2469"/>
            <w:vAlign w:val="center"/>
          </w:tcPr>
          <w:p>
            <w:pPr>
              <w:spacing w:after="0" w:line="240" w:lineRule="auto"/>
            </w:pPr>
            <w:r>
              <w:rPr>
                <w:sz w:val="15"/>
              </w:rPr>
            </w:r>
            <w:r>
              <w:rPr>
                <w:sz w:val="15"/>
              </w:rPr>
              <w:t>partial</w:t>
            </w:r>
          </w:p>
        </w:tc>
        <w:tc>
          <w:tcPr>
            <w:tcW w:type="dxa" w:w="2469"/>
            <w:vAlign w:val="center"/>
          </w:tcPr>
          <w:p>
            <w:pPr>
              <w:spacing w:after="0" w:line="240" w:lineRule="auto"/>
            </w:pPr>
            <w:r>
              <w:rPr>
                <w:sz w:val="15"/>
              </w:rPr>
            </w:r>
            <w:r>
              <w:rPr>
                <w:sz w:val="15"/>
              </w:rPr>
              <w:t>one or more requested provenance fields were not recovered</w:t>
            </w:r>
          </w:p>
        </w:tc>
      </w:tr>
      <w:tr>
        <w:trPr>
          <w:cantSplit/>
        </w:trPr>
        <w:tc>
          <w:tcPr>
            <w:tcW w:type="dxa" w:w="2469"/>
            <w:vAlign w:val="center"/>
          </w:tcPr>
          <w:p>
            <w:pPr>
              <w:spacing w:after="0" w:line="240" w:lineRule="auto"/>
            </w:pPr>
            <w:r>
              <w:rPr>
                <w:sz w:val="15"/>
              </w:rPr>
            </w:r>
            <w:r>
              <w:rPr>
                <w:rFonts w:ascii="Liberation Mono" w:hAnsi="Liberation Mono"/>
                <w:color w:val="225E68"/>
                <w:sz w:val="15"/>
              </w:rPr>
              <w:t>Gi_8HK2</w:t>
            </w:r>
          </w:p>
        </w:tc>
        <w:tc>
          <w:tcPr>
            <w:tcW w:type="dxa" w:w="2469"/>
            <w:vAlign w:val="center"/>
          </w:tcPr>
          <w:p>
            <w:pPr>
              <w:spacing w:after="0" w:line="240" w:lineRule="auto"/>
            </w:pPr>
            <w:r>
              <w:rPr>
                <w:sz w:val="15"/>
              </w:rPr>
            </w:r>
            <w:r>
              <w:rPr>
                <w:sz w:val="15"/>
              </w:rPr>
              <w:t>P1</w:t>
            </w:r>
          </w:p>
        </w:tc>
        <w:tc>
          <w:tcPr>
            <w:tcW w:type="dxa" w:w="2469"/>
            <w:vAlign w:val="center"/>
          </w:tcPr>
          <w:p>
            <w:pPr>
              <w:spacing w:after="0" w:line="240" w:lineRule="auto"/>
            </w:pPr>
            <w:r>
              <w:rPr>
                <w:sz w:val="15"/>
              </w:rPr>
            </w:r>
            <w:r>
              <w:rPr>
                <w:sz w:val="15"/>
              </w:rPr>
              <w:t>partial</w:t>
            </w:r>
          </w:p>
        </w:tc>
        <w:tc>
          <w:tcPr>
            <w:tcW w:type="dxa" w:w="2469"/>
            <w:vAlign w:val="center"/>
          </w:tcPr>
          <w:p>
            <w:pPr>
              <w:spacing w:after="0" w:line="240" w:lineRule="auto"/>
            </w:pPr>
            <w:r>
              <w:rPr>
                <w:sz w:val="15"/>
              </w:rPr>
            </w:r>
            <w:r>
              <w:rPr>
                <w:sz w:val="15"/>
              </w:rPr>
              <w:t>one or more requested provenance fields were not recovered</w:t>
            </w:r>
          </w:p>
        </w:tc>
      </w:tr>
      <w:tr>
        <w:trPr>
          <w:cantSplit/>
        </w:trPr>
        <w:tc>
          <w:tcPr>
            <w:tcW w:type="dxa" w:w="2469"/>
            <w:vAlign w:val="center"/>
          </w:tcPr>
          <w:p>
            <w:pPr>
              <w:spacing w:after="0" w:line="240" w:lineRule="auto"/>
            </w:pPr>
            <w:r>
              <w:rPr>
                <w:sz w:val="15"/>
              </w:rPr>
            </w:r>
            <w:r>
              <w:rPr>
                <w:rFonts w:ascii="Liberation Mono" w:hAnsi="Liberation Mono"/>
                <w:color w:val="225E68"/>
                <w:sz w:val="15"/>
              </w:rPr>
              <w:t>Gq_7RAN</w:t>
            </w:r>
          </w:p>
        </w:tc>
        <w:tc>
          <w:tcPr>
            <w:tcW w:type="dxa" w:w="2469"/>
            <w:vAlign w:val="center"/>
          </w:tcPr>
          <w:p>
            <w:pPr>
              <w:spacing w:after="0" w:line="240" w:lineRule="auto"/>
            </w:pPr>
            <w:r>
              <w:rPr>
                <w:sz w:val="15"/>
              </w:rPr>
            </w:r>
            <w:r>
              <w:rPr>
                <w:sz w:val="15"/>
              </w:rPr>
              <w:t>P1</w:t>
            </w:r>
          </w:p>
        </w:tc>
        <w:tc>
          <w:tcPr>
            <w:tcW w:type="dxa" w:w="2469"/>
            <w:vAlign w:val="center"/>
          </w:tcPr>
          <w:p>
            <w:pPr>
              <w:spacing w:after="0" w:line="240" w:lineRule="auto"/>
            </w:pPr>
            <w:r>
              <w:rPr>
                <w:sz w:val="15"/>
              </w:rPr>
            </w:r>
            <w:r>
              <w:rPr>
                <w:sz w:val="15"/>
              </w:rPr>
              <w:t>partial</w:t>
            </w:r>
          </w:p>
        </w:tc>
        <w:tc>
          <w:tcPr>
            <w:tcW w:type="dxa" w:w="2469"/>
            <w:vAlign w:val="center"/>
          </w:tcPr>
          <w:p>
            <w:pPr>
              <w:spacing w:after="0" w:line="240" w:lineRule="auto"/>
            </w:pPr>
            <w:r>
              <w:rPr>
                <w:sz w:val="15"/>
              </w:rPr>
            </w:r>
            <w:r>
              <w:rPr>
                <w:sz w:val="15"/>
              </w:rPr>
              <w:t>one or more requested provenance fields were not recovered</w:t>
            </w:r>
          </w:p>
        </w:tc>
      </w:tr>
      <w:tr>
        <w:trPr>
          <w:cantSplit/>
        </w:trPr>
        <w:tc>
          <w:tcPr>
            <w:tcW w:type="dxa" w:w="2469"/>
            <w:vAlign w:val="center"/>
          </w:tcPr>
          <w:p>
            <w:pPr>
              <w:spacing w:after="0" w:line="240" w:lineRule="auto"/>
            </w:pPr>
            <w:r>
              <w:rPr>
                <w:sz w:val="15"/>
              </w:rPr>
            </w:r>
            <w:r>
              <w:rPr>
                <w:rFonts w:ascii="Liberation Mono" w:hAnsi="Liberation Mono"/>
                <w:color w:val="225E68"/>
                <w:sz w:val="15"/>
              </w:rPr>
              <w:t>Gq_7XWO</w:t>
            </w:r>
          </w:p>
        </w:tc>
        <w:tc>
          <w:tcPr>
            <w:tcW w:type="dxa" w:w="2469"/>
            <w:vAlign w:val="center"/>
          </w:tcPr>
          <w:p>
            <w:pPr>
              <w:spacing w:after="0" w:line="240" w:lineRule="auto"/>
            </w:pPr>
            <w:r>
              <w:rPr>
                <w:sz w:val="15"/>
              </w:rPr>
            </w:r>
            <w:r>
              <w:rPr>
                <w:sz w:val="15"/>
              </w:rPr>
              <w:t>P1</w:t>
            </w:r>
          </w:p>
        </w:tc>
        <w:tc>
          <w:tcPr>
            <w:tcW w:type="dxa" w:w="2469"/>
            <w:vAlign w:val="center"/>
          </w:tcPr>
          <w:p>
            <w:pPr>
              <w:spacing w:after="0" w:line="240" w:lineRule="auto"/>
            </w:pPr>
            <w:r>
              <w:rPr>
                <w:sz w:val="15"/>
              </w:rPr>
            </w:r>
            <w:r>
              <w:rPr>
                <w:sz w:val="15"/>
              </w:rPr>
              <w:t>partial</w:t>
            </w:r>
          </w:p>
        </w:tc>
        <w:tc>
          <w:tcPr>
            <w:tcW w:type="dxa" w:w="2469"/>
            <w:vAlign w:val="center"/>
          </w:tcPr>
          <w:p>
            <w:pPr>
              <w:spacing w:after="0" w:line="240" w:lineRule="auto"/>
            </w:pPr>
            <w:r>
              <w:rPr>
                <w:sz w:val="15"/>
              </w:rPr>
            </w:r>
            <w:r>
              <w:rPr>
                <w:sz w:val="15"/>
              </w:rPr>
              <w:t>one or more requested provenance fields were not recovered</w:t>
            </w:r>
          </w:p>
        </w:tc>
      </w:tr>
      <w:tr>
        <w:trPr>
          <w:cantSplit/>
        </w:trPr>
        <w:tc>
          <w:tcPr>
            <w:tcW w:type="dxa" w:w="2469"/>
            <w:vAlign w:val="center"/>
          </w:tcPr>
          <w:p>
            <w:pPr>
              <w:spacing w:after="0" w:line="240" w:lineRule="auto"/>
            </w:pPr>
            <w:r>
              <w:rPr>
                <w:sz w:val="15"/>
              </w:rPr>
            </w:r>
            <w:r>
              <w:rPr>
                <w:rFonts w:ascii="Liberation Mono" w:hAnsi="Liberation Mono"/>
                <w:color w:val="225E68"/>
                <w:sz w:val="15"/>
              </w:rPr>
              <w:t>Gq_7XXH</w:t>
            </w:r>
          </w:p>
        </w:tc>
        <w:tc>
          <w:tcPr>
            <w:tcW w:type="dxa" w:w="2469"/>
            <w:vAlign w:val="center"/>
          </w:tcPr>
          <w:p>
            <w:pPr>
              <w:spacing w:after="0" w:line="240" w:lineRule="auto"/>
            </w:pPr>
            <w:r>
              <w:rPr>
                <w:sz w:val="15"/>
              </w:rPr>
            </w:r>
            <w:r>
              <w:rPr>
                <w:sz w:val="15"/>
              </w:rPr>
              <w:t>P1</w:t>
            </w:r>
          </w:p>
        </w:tc>
        <w:tc>
          <w:tcPr>
            <w:tcW w:type="dxa" w:w="2469"/>
            <w:vAlign w:val="center"/>
          </w:tcPr>
          <w:p>
            <w:pPr>
              <w:spacing w:after="0" w:line="240" w:lineRule="auto"/>
            </w:pPr>
            <w:r>
              <w:rPr>
                <w:sz w:val="15"/>
              </w:rPr>
            </w:r>
            <w:r>
              <w:rPr>
                <w:sz w:val="15"/>
              </w:rPr>
              <w:t>partial</w:t>
            </w:r>
          </w:p>
        </w:tc>
        <w:tc>
          <w:tcPr>
            <w:tcW w:type="dxa" w:w="2469"/>
            <w:vAlign w:val="center"/>
          </w:tcPr>
          <w:p>
            <w:pPr>
              <w:spacing w:after="0" w:line="240" w:lineRule="auto"/>
            </w:pPr>
            <w:r>
              <w:rPr>
                <w:sz w:val="15"/>
              </w:rPr>
            </w:r>
            <w:r>
              <w:rPr>
                <w:sz w:val="15"/>
              </w:rPr>
              <w:t>one or more requested provenance fields were not recovered</w:t>
            </w:r>
          </w:p>
        </w:tc>
      </w:tr>
    </w:tbl>
    <w:p>
      <w:pPr>
        <w:spacing w:after="0"/>
      </w:pPr>
    </w:p>
    <w:p>
      <w:pPr/>
      <w:r>
        <w:t>The v12 text therefore does not assign one global engine version to the collection. Recovered version strings and their evidence scope are retained per system in Supplementary Data S7. Protocol group, construct provenance and source PDB should be treated as potential batch variables.</w:t>
      </w:r>
    </w:p>
    <w:p>
      <w:pPr/>
      <w:r>
        <w:t>The three production replicas are computational repeats. They do not represent biological specimens, independent receptor constructs or independent experimental structures.</w:t>
      </w:r>
    </w:p>
    <w:p>
      <w:pPr>
        <w:pStyle w:val="Heading1"/>
      </w:pPr>
      <w:r>
        <w:t>Supplementary Note 3. Sampling definitions and Gq_8ZPT replica 2</w:t>
      </w:r>
    </w:p>
    <w:p>
      <w:pPr/>
      <w:r>
        <w:t>Three sampling quantities must remain distinct:</w:t>
      </w:r>
    </w:p>
    <w:p>
      <w:pPr>
        <w:pStyle w:val="ListNumber"/>
      </w:pPr>
      <w:r>
        <w:rPr>
          <w:b/>
        </w:rPr>
        <w:t>Nominal protocol sampling:</w:t>
      </w:r>
      <w:r>
        <w:t xml:space="preserve"> 207 × 3 × 500 ns = 310.5 µs.</w:t>
      </w:r>
    </w:p>
    <w:p>
      <w:pPr>
        <w:pStyle w:val="ListNumber"/>
      </w:pPr>
      <w:r>
        <w:rPr>
          <w:b/>
        </w:rPr>
        <w:t>Original file-observed coordinate sampling:</w:t>
      </w:r>
      <w:r>
        <w:t xml:space="preserve"> 310.4168 µs.</w:t>
      </w:r>
    </w:p>
    <w:p>
      <w:pPr>
        <w:pStyle w:val="ListNumber"/>
      </w:pPr>
      <w:r>
        <w:rPr>
          <w:b/>
        </w:rPr>
        <w:t>Reduced-release coordinate coverage:</w:t>
      </w:r>
      <w:r>
        <w:t xml:space="preserve"> the represented time between the first and last of 2,500 frames is 499.8 ns per released record.</w:t>
      </w:r>
    </w:p>
    <w:p>
      <w:pPr/>
      <w:r>
        <w:t xml:space="preserve">The 83.2-ns difference between the first two quantities arises from the original </w:t>
      </w:r>
      <w:r>
        <w:rPr>
          <w:rFonts w:ascii="Liberation Mono" w:hAnsi="Liberation Mono"/>
          <w:color w:val="225E68"/>
          <w:sz w:val="17"/>
        </w:rPr>
        <w:t>Gq_8ZPT</w:t>
      </w:r>
      <w:r>
        <w:t xml:space="preserve"> replica 2 coordinate record, which contains 416.8 ns rather than 500 ns. A continuation-derived coordinate source used for reduced-release repair was independently checked over 10,000 frames. It has monotonic timestamps, no non-finite frame, no invalid box frame and a represented span of 499.95 ns. The audit verdict is </w:t>
      </w:r>
      <w:r>
        <w:rPr>
          <w:rFonts w:ascii="Liberation Mono" w:hAnsi="Liberation Mono"/>
          <w:color w:val="225E68"/>
          <w:sz w:val="17"/>
        </w:rPr>
        <w:t>GOOD</w:t>
      </w:r>
      <w:r>
        <w:t>.</w:t>
      </w:r>
    </w:p>
    <w:p>
      <w:pPr/>
      <w:r>
        <w:t>The repaired source is sufficient for deterministic production of the reduced PDB/XTC record. It is not evidence that a repaired full-system trajectory, topology and preparation input set are deposited. The v12 manuscript reports nominal and original file-observed campaign totals separately.</w:t>
      </w:r>
    </w:p>
    <w:p>
      <w:pPr>
        <w:keepNext/>
        <w:spacing w:before="100" w:after="20"/>
        <w:jc w:val="center"/>
      </w:pPr>
      <w:r>
        <w:drawing>
          <wp:inline xmlns:a="http://schemas.openxmlformats.org/drawingml/2006/main" xmlns:pic="http://schemas.openxmlformats.org/drawingml/2006/picture">
            <wp:extent cx="6172200" cy="2750419"/>
            <wp:docPr id="1" name="Picture 1"/>
            <wp:cNvGraphicFramePr>
              <a:graphicFrameLocks noChangeAspect="1"/>
            </wp:cNvGraphicFramePr>
            <a:graphic>
              <a:graphicData uri="http://schemas.openxmlformats.org/drawingml/2006/picture">
                <pic:pic>
                  <pic:nvPicPr>
                    <pic:cNvPr id="0" name="supplementary_figure_s2_sampling_provenance.png"/>
                    <pic:cNvPicPr/>
                  </pic:nvPicPr>
                  <pic:blipFill>
                    <a:blip r:embed="rId10"/>
                    <a:stretch>
                      <a:fillRect/>
                    </a:stretch>
                  </pic:blipFill>
                  <pic:spPr>
                    <a:xfrm>
                      <a:off x="0" y="0"/>
                      <a:ext cx="6172200" cy="2750419"/>
                    </a:xfrm>
                    <a:prstGeom prst="rect"/>
                  </pic:spPr>
                </pic:pic>
              </a:graphicData>
            </a:graphic>
          </wp:inline>
        </w:drawing>
      </w:r>
    </w:p>
    <w:p>
      <w:pPr>
        <w:pStyle w:val="Caption"/>
      </w:pPr>
      <w:r>
        <w:rPr>
          <w:b/>
        </w:rPr>
        <w:t>Supplementary Figure S2 | Nominal, original file-observed and repaired reduced-source sampling.</w:t>
      </w:r>
      <w:r>
        <w:t xml:space="preserve"> (</w:t>
      </w:r>
      <w:r>
        <w:rPr>
          <w:b/>
        </w:rPr>
        <w:t>A</w:t>
      </w:r>
      <w:r>
        <w:t>) The final-207 nominal protocol design is 310.5 µs; original coordinate files contain 310.4168 µs. (</w:t>
      </w:r>
      <w:r>
        <w:rPr>
          <w:b/>
        </w:rPr>
        <w:t>B</w:t>
      </w:r>
      <w:r>
        <w:t xml:space="preserve">) </w:t>
      </w:r>
      <w:r>
        <w:rPr>
          <w:rFonts w:ascii="Liberation Mono" w:hAnsi="Liberation Mono"/>
          <w:color w:val="225E68"/>
          <w:sz w:val="17"/>
        </w:rPr>
        <w:t>Gq_8ZPT</w:t>
      </w:r>
      <w:r>
        <w:t xml:space="preserve"> replica 2 accounts for the difference. The continuation-derived reduced source spans 499.95 ns. This local repair does not establish public distribution of a repaired full-system archive.</w:t>
      </w:r>
    </w:p>
    <w:p>
      <w:pPr>
        <w:pStyle w:val="Heading1"/>
      </w:pPr>
      <w:r>
        <w:t>Supplementary Note 4. Reduced-record construction</w:t>
      </w:r>
    </w:p>
    <w:p>
      <w:pPr/>
      <w:r>
        <w:t xml:space="preserve">The replica-specific release builder receives a replica number and the frozen 207-system table. Each target system directory contains a copied canonical </w:t>
      </w:r>
      <w:r>
        <w:rPr>
          <w:rFonts w:ascii="Liberation Mono" w:hAnsi="Liberation Mono"/>
          <w:color w:val="225E68"/>
          <w:sz w:val="17"/>
        </w:rPr>
        <w:t>structure.pdb</w:t>
      </w:r>
      <w:r>
        <w:t xml:space="preserve"> and a generated </w:t>
      </w:r>
      <w:r>
        <w:rPr>
          <w:rFonts w:ascii="Liberation Mono" w:hAnsi="Liberation Mono"/>
          <w:color w:val="225E68"/>
          <w:sz w:val="17"/>
        </w:rPr>
        <w:t>traj.xtc</w:t>
      </w:r>
      <w:r>
        <w:t>. The PDB defines the retained atoms and ordering.</w:t>
      </w:r>
    </w:p>
    <w:p>
      <w:pPr/>
      <w:r>
        <w:t xml:space="preserve">For a source trajectory already matching the PDB, coordinates are written directly. When a full-system or differently ordered source contains additional atoms, target atoms are mapped by </w:t>
      </w:r>
      <w:r>
        <w:rPr>
          <w:rFonts w:ascii="Liberation Mono" w:hAnsi="Liberation Mono"/>
          <w:color w:val="225E68"/>
          <w:sz w:val="17"/>
        </w:rPr>
        <w:t>(resname, resid, atom name)</w:t>
      </w:r>
      <w:r>
        <w:t xml:space="preserve"> against a matching source topology. This selection is checked to contain exactly the PDB atom count. The reduction does not infer a ligand-selection rule; users must inspect the released PDB to determine which non-protein components, if any, were retained.</w:t>
      </w:r>
    </w:p>
    <w:p>
      <w:pPr/>
      <w:r>
        <w:t>The output schedule is:</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shd w:fill="DCE8EA"/>
          </w:tcPr>
          <w:p>
            <w:pPr>
              <w:spacing w:after="0" w:line="240" w:lineRule="auto"/>
            </w:pPr>
            <w:r>
              <w:rPr>
                <w:b/>
                <w:sz w:val="15"/>
              </w:rPr>
            </w:r>
            <w:r>
              <w:rPr>
                <w:b/>
                <w:sz w:val="15"/>
              </w:rPr>
              <w:t>Source form</w:t>
            </w:r>
          </w:p>
        </w:tc>
        <w:tc>
          <w:tcPr>
            <w:tcW w:type="dxa" w:w="3293"/>
            <w:vAlign w:val="center"/>
            <w:shd w:fill="DCE8EA"/>
          </w:tcPr>
          <w:p>
            <w:pPr>
              <w:spacing w:after="0" w:line="240" w:lineRule="auto"/>
            </w:pPr>
            <w:r>
              <w:rPr>
                <w:b/>
                <w:sz w:val="15"/>
              </w:rPr>
            </w:r>
            <w:r>
              <w:rPr>
                <w:b/>
                <w:sz w:val="15"/>
              </w:rPr>
              <w:t>Selection</w:t>
            </w:r>
          </w:p>
        </w:tc>
        <w:tc>
          <w:tcPr>
            <w:tcW w:type="dxa" w:w="3293"/>
            <w:vAlign w:val="center"/>
            <w:shd w:fill="DCE8EA"/>
          </w:tcPr>
          <w:p>
            <w:pPr>
              <w:spacing w:after="0" w:line="240" w:lineRule="auto"/>
            </w:pPr>
            <w:r>
              <w:rPr>
                <w:b/>
                <w:sz w:val="15"/>
              </w:rPr>
            </w:r>
            <w:r>
              <w:rPr>
                <w:b/>
                <w:sz w:val="15"/>
              </w:rPr>
              <w:t>Output</w:t>
            </w:r>
          </w:p>
        </w:tc>
      </w:tr>
      <w:tr>
        <w:trPr>
          <w:cantSplit/>
        </w:trPr>
        <w:tc>
          <w:tcPr>
            <w:tcW w:type="dxa" w:w="3293"/>
            <w:vAlign w:val="center"/>
          </w:tcPr>
          <w:p>
            <w:pPr>
              <w:spacing w:after="0" w:line="240" w:lineRule="auto"/>
            </w:pPr>
            <w:r>
              <w:rPr>
                <w:sz w:val="15"/>
              </w:rPr>
            </w:r>
            <w:r>
              <w:rPr>
                <w:sz w:val="15"/>
              </w:rPr>
              <w:t>10,000 or 10,001 frames at ~50 ps</w:t>
            </w:r>
          </w:p>
        </w:tc>
        <w:tc>
          <w:tcPr>
            <w:tcW w:type="dxa" w:w="3293"/>
            <w:vAlign w:val="center"/>
          </w:tcPr>
          <w:p>
            <w:pPr>
              <w:spacing w:after="0" w:line="240" w:lineRule="auto"/>
            </w:pPr>
            <w:r>
              <w:rPr>
                <w:sz w:val="15"/>
              </w:rPr>
            </w:r>
            <w:r>
              <w:rPr>
                <w:sz w:val="15"/>
              </w:rPr>
              <w:t>every fourth frame, first 10,000-frame span</w:t>
            </w:r>
          </w:p>
        </w:tc>
        <w:tc>
          <w:tcPr>
            <w:tcW w:type="dxa" w:w="3293"/>
            <w:vAlign w:val="center"/>
          </w:tcPr>
          <w:p>
            <w:pPr>
              <w:spacing w:after="0" w:line="240" w:lineRule="auto"/>
            </w:pPr>
            <w:r>
              <w:rPr>
                <w:sz w:val="15"/>
              </w:rPr>
            </w:r>
            <w:r>
              <w:rPr>
                <w:sz w:val="15"/>
              </w:rPr>
              <w:t>2,500 frames</w:t>
            </w:r>
          </w:p>
        </w:tc>
      </w:tr>
      <w:tr>
        <w:trPr>
          <w:cantSplit/>
        </w:trPr>
        <w:tc>
          <w:tcPr>
            <w:tcW w:type="dxa" w:w="3293"/>
            <w:vAlign w:val="center"/>
          </w:tcPr>
          <w:p>
            <w:pPr>
              <w:spacing w:after="0" w:line="240" w:lineRule="auto"/>
            </w:pPr>
            <w:r>
              <w:rPr>
                <w:sz w:val="15"/>
              </w:rPr>
            </w:r>
            <w:r>
              <w:rPr>
                <w:sz w:val="15"/>
              </w:rPr>
              <w:t>2,501 frames at ~200 ps</w:t>
            </w:r>
          </w:p>
        </w:tc>
        <w:tc>
          <w:tcPr>
            <w:tcW w:type="dxa" w:w="3293"/>
            <w:vAlign w:val="center"/>
          </w:tcPr>
          <w:p>
            <w:pPr>
              <w:spacing w:after="0" w:line="240" w:lineRule="auto"/>
            </w:pPr>
            <w:r>
              <w:rPr>
                <w:sz w:val="15"/>
              </w:rPr>
            </w:r>
            <w:r>
              <w:rPr>
                <w:sz w:val="15"/>
              </w:rPr>
              <w:t>first 2,500 frames</w:t>
            </w:r>
          </w:p>
        </w:tc>
        <w:tc>
          <w:tcPr>
            <w:tcW w:type="dxa" w:w="3293"/>
            <w:vAlign w:val="center"/>
          </w:tcPr>
          <w:p>
            <w:pPr>
              <w:spacing w:after="0" w:line="240" w:lineRule="auto"/>
            </w:pPr>
            <w:r>
              <w:rPr>
                <w:sz w:val="15"/>
              </w:rPr>
            </w:r>
            <w:r>
              <w:rPr>
                <w:sz w:val="15"/>
              </w:rPr>
              <w:t>2,500 frames</w:t>
            </w:r>
          </w:p>
        </w:tc>
      </w:tr>
      <w:tr>
        <w:trPr>
          <w:cantSplit/>
        </w:trPr>
        <w:tc>
          <w:tcPr>
            <w:tcW w:type="dxa" w:w="3293"/>
            <w:vAlign w:val="center"/>
          </w:tcPr>
          <w:p>
            <w:pPr>
              <w:spacing w:after="0" w:line="240" w:lineRule="auto"/>
            </w:pPr>
            <w:r>
              <w:rPr>
                <w:sz w:val="15"/>
              </w:rPr>
            </w:r>
            <w:r>
              <w:rPr>
                <w:sz w:val="15"/>
              </w:rPr>
              <w:t>canonical 2,500-frame reduced source</w:t>
            </w:r>
          </w:p>
        </w:tc>
        <w:tc>
          <w:tcPr>
            <w:tcW w:type="dxa" w:w="3293"/>
            <w:vAlign w:val="center"/>
          </w:tcPr>
          <w:p>
            <w:pPr>
              <w:spacing w:after="0" w:line="240" w:lineRule="auto"/>
            </w:pPr>
            <w:r>
              <w:rPr>
                <w:sz w:val="15"/>
              </w:rPr>
            </w:r>
            <w:r>
              <w:rPr>
                <w:sz w:val="15"/>
              </w:rPr>
              <w:t>preserve</w:t>
            </w:r>
          </w:p>
        </w:tc>
        <w:tc>
          <w:tcPr>
            <w:tcW w:type="dxa" w:w="3293"/>
            <w:vAlign w:val="center"/>
          </w:tcPr>
          <w:p>
            <w:pPr>
              <w:spacing w:after="0" w:line="240" w:lineRule="auto"/>
            </w:pPr>
            <w:r>
              <w:rPr>
                <w:sz w:val="15"/>
              </w:rPr>
            </w:r>
            <w:r>
              <w:rPr>
                <w:sz w:val="15"/>
              </w:rPr>
              <w:t>2,500 frames</w:t>
            </w:r>
          </w:p>
        </w:tc>
      </w:tr>
    </w:tbl>
    <w:p>
      <w:pPr>
        <w:spacing w:after="0"/>
      </w:pPr>
    </w:p>
    <w:p>
      <w:pPr/>
      <w:r>
        <w:t>All released trajectories use an approximately 200-ps interval and represent 499.8 ns between first and last frame. The reduction excludes membrane lipids, solvent and mobile ions. The underlying full-system trajectories are not included in the reduced release.</w:t>
      </w:r>
    </w:p>
    <w:p>
      <w:pPr>
        <w:pStyle w:val="Heading1"/>
      </w:pPr>
      <w:r>
        <w:t>Supplementary Note 5. Full-frame reduced-release QC</w:t>
      </w:r>
    </w:p>
    <w:p>
      <w:pPr/>
      <w:r>
        <w:t xml:space="preserve">The JSON audit for each release replica contains one </w:t>
      </w:r>
      <w:r>
        <w:rPr>
          <w:rFonts w:ascii="Liberation Mono" w:hAnsi="Liberation Mono"/>
          <w:color w:val="225E68"/>
          <w:sz w:val="17"/>
        </w:rPr>
        <w:t>system_qc</w:t>
      </w:r>
      <w:r>
        <w:t xml:space="preserve"> record per system and an aggregate status. Every frame of each locally complete release is tested for finite coordinates, monotonic finite time and a valid unit cell. The PDB/XTC atom count must match. Reference backbone geometry is used to detect atom-order errors while documented starting-coordinate gaps are excluded from false-positive bond checks. Component geometry is screened for catastrophic chain breaks, coordinate scatter and receptor–G-protein separation.</w:t>
      </w:r>
    </w:p>
    <w:p>
      <w:pPr/>
      <w:r>
        <w:t>The release-level assertions are:</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shd w:fill="DCE8EA"/>
          </w:tcPr>
          <w:p>
            <w:pPr>
              <w:spacing w:after="0" w:line="240" w:lineRule="auto"/>
            </w:pPr>
            <w:r>
              <w:rPr>
                <w:b/>
                <w:sz w:val="15"/>
              </w:rPr>
            </w:r>
            <w:r>
              <w:rPr>
                <w:b/>
                <w:sz w:val="15"/>
              </w:rPr>
              <w:t>Assertion</w:t>
            </w:r>
          </w:p>
        </w:tc>
        <w:tc>
          <w:tcPr>
            <w:tcW w:type="dxa" w:w="4939"/>
            <w:vAlign w:val="center"/>
            <w:shd w:fill="DCE8EA"/>
          </w:tcPr>
          <w:p>
            <w:pPr>
              <w:spacing w:after="0" w:line="240" w:lineRule="auto"/>
            </w:pPr>
            <w:r>
              <w:rPr>
                <w:b/>
                <w:sz w:val="15"/>
              </w:rPr>
            </w:r>
            <w:r>
              <w:rPr>
                <w:b/>
                <w:sz w:val="15"/>
              </w:rPr>
              <w:t>Required result</w:t>
            </w:r>
          </w:p>
        </w:tc>
      </w:tr>
      <w:tr>
        <w:trPr>
          <w:cantSplit/>
        </w:trPr>
        <w:tc>
          <w:tcPr>
            <w:tcW w:type="dxa" w:w="4939"/>
            <w:vAlign w:val="center"/>
          </w:tcPr>
          <w:p>
            <w:pPr>
              <w:spacing w:after="0" w:line="240" w:lineRule="auto"/>
            </w:pPr>
            <w:r>
              <w:rPr>
                <w:sz w:val="15"/>
              </w:rPr>
            </w:r>
            <w:r>
              <w:rPr>
                <w:sz w:val="15"/>
              </w:rPr>
              <w:t>Cohort directories</w:t>
            </w:r>
          </w:p>
        </w:tc>
        <w:tc>
          <w:tcPr>
            <w:tcW w:type="dxa" w:w="4939"/>
            <w:vAlign w:val="center"/>
          </w:tcPr>
          <w:p>
            <w:pPr>
              <w:spacing w:after="0" w:line="240" w:lineRule="auto"/>
            </w:pPr>
            <w:r>
              <w:rPr>
                <w:sz w:val="15"/>
              </w:rPr>
            </w:r>
            <w:r>
              <w:rPr>
                <w:sz w:val="15"/>
              </w:rPr>
              <w:t>exactly 207</w:t>
            </w:r>
          </w:p>
        </w:tc>
      </w:tr>
      <w:tr>
        <w:trPr>
          <w:cantSplit/>
        </w:trPr>
        <w:tc>
          <w:tcPr>
            <w:tcW w:type="dxa" w:w="4939"/>
            <w:vAlign w:val="center"/>
          </w:tcPr>
          <w:p>
            <w:pPr>
              <w:spacing w:after="0" w:line="240" w:lineRule="auto"/>
            </w:pPr>
            <w:r>
              <w:rPr>
                <w:sz w:val="15"/>
              </w:rPr>
            </w:r>
            <w:r>
              <w:rPr>
                <w:sz w:val="15"/>
              </w:rPr>
              <w:t>Unresolved or excluded directories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PDB files</w:t>
            </w:r>
          </w:p>
        </w:tc>
        <w:tc>
          <w:tcPr>
            <w:tcW w:type="dxa" w:w="4939"/>
            <w:vAlign w:val="center"/>
          </w:tcPr>
          <w:p>
            <w:pPr>
              <w:spacing w:after="0" w:line="240" w:lineRule="auto"/>
            </w:pPr>
            <w:r>
              <w:rPr>
                <w:sz w:val="15"/>
              </w:rPr>
            </w:r>
            <w:r>
              <w:rPr>
                <w:sz w:val="15"/>
              </w:rPr>
              <w:t>207</w:t>
            </w:r>
          </w:p>
        </w:tc>
      </w:tr>
      <w:tr>
        <w:trPr>
          <w:cantSplit/>
        </w:trPr>
        <w:tc>
          <w:tcPr>
            <w:tcW w:type="dxa" w:w="4939"/>
            <w:vAlign w:val="center"/>
          </w:tcPr>
          <w:p>
            <w:pPr>
              <w:spacing w:after="0" w:line="240" w:lineRule="auto"/>
            </w:pPr>
            <w:r>
              <w:rPr>
                <w:sz w:val="15"/>
              </w:rPr>
            </w:r>
            <w:r>
              <w:rPr>
                <w:sz w:val="15"/>
              </w:rPr>
              <w:t>XTC files</w:t>
            </w:r>
          </w:p>
        </w:tc>
        <w:tc>
          <w:tcPr>
            <w:tcW w:type="dxa" w:w="4939"/>
            <w:vAlign w:val="center"/>
          </w:tcPr>
          <w:p>
            <w:pPr>
              <w:spacing w:after="0" w:line="240" w:lineRule="auto"/>
            </w:pPr>
            <w:r>
              <w:rPr>
                <w:sz w:val="15"/>
              </w:rPr>
            </w:r>
            <w:r>
              <w:rPr>
                <w:sz w:val="15"/>
              </w:rPr>
              <w:t>207</w:t>
            </w:r>
          </w:p>
        </w:tc>
      </w:tr>
      <w:tr>
        <w:trPr>
          <w:cantSplit/>
        </w:trPr>
        <w:tc>
          <w:tcPr>
            <w:tcW w:type="dxa" w:w="4939"/>
            <w:vAlign w:val="center"/>
          </w:tcPr>
          <w:p>
            <w:pPr>
              <w:spacing w:after="0" w:line="240" w:lineRule="auto"/>
            </w:pPr>
            <w:r>
              <w:rPr>
                <w:sz w:val="15"/>
              </w:rPr>
            </w:r>
            <w:r>
              <w:rPr>
                <w:sz w:val="15"/>
              </w:rPr>
              <w:t>Frames per XTC</w:t>
            </w:r>
          </w:p>
        </w:tc>
        <w:tc>
          <w:tcPr>
            <w:tcW w:type="dxa" w:w="4939"/>
            <w:vAlign w:val="center"/>
          </w:tcPr>
          <w:p>
            <w:pPr>
              <w:spacing w:after="0" w:line="240" w:lineRule="auto"/>
            </w:pPr>
            <w:r>
              <w:rPr>
                <w:sz w:val="15"/>
              </w:rPr>
            </w:r>
            <w:r>
              <w:rPr>
                <w:sz w:val="15"/>
              </w:rPr>
              <w:t>2,500</w:t>
            </w:r>
          </w:p>
        </w:tc>
      </w:tr>
      <w:tr>
        <w:trPr>
          <w:cantSplit/>
        </w:trPr>
        <w:tc>
          <w:tcPr>
            <w:tcW w:type="dxa" w:w="4939"/>
            <w:vAlign w:val="center"/>
          </w:tcPr>
          <w:p>
            <w:pPr>
              <w:spacing w:after="0" w:line="240" w:lineRule="auto"/>
            </w:pPr>
            <w:r>
              <w:rPr>
                <w:sz w:val="15"/>
              </w:rPr>
            </w:r>
            <w:r>
              <w:rPr>
                <w:sz w:val="15"/>
              </w:rPr>
              <w:t>Source replica values</w:t>
            </w:r>
          </w:p>
        </w:tc>
        <w:tc>
          <w:tcPr>
            <w:tcW w:type="dxa" w:w="4939"/>
            <w:vAlign w:val="center"/>
          </w:tcPr>
          <w:p>
            <w:pPr>
              <w:spacing w:after="0" w:line="240" w:lineRule="auto"/>
            </w:pPr>
            <w:r>
              <w:rPr>
                <w:sz w:val="15"/>
              </w:rPr>
            </w:r>
            <w:r>
              <w:rPr>
                <w:sz w:val="15"/>
              </w:rPr>
              <w:t>one declared replica</w:t>
            </w:r>
          </w:p>
        </w:tc>
      </w:tr>
      <w:tr>
        <w:trPr>
          <w:cantSplit/>
        </w:trPr>
        <w:tc>
          <w:tcPr>
            <w:tcW w:type="dxa" w:w="4939"/>
            <w:vAlign w:val="center"/>
          </w:tcPr>
          <w:p>
            <w:pPr>
              <w:spacing w:after="0" w:line="240" w:lineRule="auto"/>
            </w:pPr>
            <w:r>
              <w:rPr>
                <w:sz w:val="15"/>
              </w:rPr>
            </w:r>
            <w:r>
              <w:rPr>
                <w:sz w:val="15"/>
              </w:rPr>
              <w:t>Manifest absolute paths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PDB/XTC atom-count mismatches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Non-finite coordinate frames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Non-monotonic time records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Invalid periodic boxes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Catastrophic chain-break systems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Coordinate-scatter systems</w:t>
            </w:r>
          </w:p>
        </w:tc>
        <w:tc>
          <w:tcPr>
            <w:tcW w:type="dxa" w:w="4939"/>
            <w:vAlign w:val="center"/>
          </w:tcPr>
          <w:p>
            <w:pPr>
              <w:spacing w:after="0" w:line="240" w:lineRule="auto"/>
            </w:pPr>
            <w:r>
              <w:rPr>
                <w:sz w:val="15"/>
              </w:rPr>
            </w:r>
            <w:r>
              <w:rPr>
                <w:sz w:val="15"/>
              </w:rPr>
              <w:t>0</w:t>
            </w:r>
          </w:p>
        </w:tc>
      </w:tr>
      <w:tr>
        <w:trPr>
          <w:cantSplit/>
        </w:trPr>
        <w:tc>
          <w:tcPr>
            <w:tcW w:type="dxa" w:w="4939"/>
            <w:vAlign w:val="center"/>
          </w:tcPr>
          <w:p>
            <w:pPr>
              <w:spacing w:after="0" w:line="240" w:lineRule="auto"/>
            </w:pPr>
            <w:r>
              <w:rPr>
                <w:sz w:val="15"/>
              </w:rPr>
            </w:r>
            <w:r>
              <w:rPr>
                <w:sz w:val="15"/>
              </w:rPr>
              <w:t>Complex-separation systems</w:t>
            </w:r>
          </w:p>
        </w:tc>
        <w:tc>
          <w:tcPr>
            <w:tcW w:type="dxa" w:w="4939"/>
            <w:vAlign w:val="center"/>
          </w:tcPr>
          <w:p>
            <w:pPr>
              <w:spacing w:after="0" w:line="240" w:lineRule="auto"/>
            </w:pPr>
            <w:r>
              <w:rPr>
                <w:sz w:val="15"/>
              </w:rPr>
            </w:r>
            <w:r>
              <w:rPr>
                <w:sz w:val="15"/>
              </w:rPr>
              <w:t>0</w:t>
            </w:r>
          </w:p>
        </w:tc>
      </w:tr>
    </w:tbl>
    <w:p>
      <w:pPr>
        <w:spacing w:after="0"/>
      </w:pPr>
    </w:p>
    <w:p>
      <w:pPr/>
      <w:r>
        <w:t>At the v12 build time, replicas 1 and 3 satisfy the local manifest and full-frame-QC requirements. Replica 2 remains under parallel generation and is represented as pending, not as a failed or zero-sized record. The three remote records remain private drafts. The v12 release gate must be rerun after replica 2 completes.</w:t>
      </w:r>
    </w:p>
    <w:p>
      <w:pPr>
        <w:pStyle w:val="Heading1"/>
      </w:pPr>
      <w:r>
        <w:t>Supplementary Note 6. Independent portal-oriented reduced-record audit</w:t>
      </w:r>
    </w:p>
    <w:p>
      <w:pPr/>
      <w:r>
        <w:t>The portal-oriented reduced records predate the uniform replica-specific release builder and have a nonuniform frame-count distribution. The exact final-207 audit samples 40 frames per system and checks:</w:t>
      </w:r>
    </w:p>
    <w:p>
      <w:pPr>
        <w:pStyle w:val="ListBullet"/>
      </w:pPr>
      <w:r>
        <w:t>PDB/XTC atom-count agreement;</w:t>
      </w:r>
    </w:p>
    <w:p>
      <w:pPr>
        <w:pStyle w:val="ListBullet"/>
      </w:pPr>
      <w:r>
        <w:t>PDB element-field completeness;</w:t>
      </w:r>
    </w:p>
    <w:p>
      <w:pPr>
        <w:pStyle w:val="ListBullet"/>
      </w:pPr>
      <w:r>
        <w:t>presence and consistency of unit-cell dimensions;</w:t>
      </w:r>
    </w:p>
    <w:p>
      <w:pPr>
        <w:pStyle w:val="ListBullet"/>
      </w:pPr>
      <w:r>
        <w:t>intra-chain backbone breaks;</w:t>
      </w:r>
    </w:p>
    <w:p>
      <w:pPr>
        <w:pStyle w:val="ListBullet"/>
      </w:pPr>
      <w:r>
        <w:t>coordinate scatter; and</w:t>
      </w:r>
    </w:p>
    <w:p>
      <w:pPr>
        <w:pStyle w:val="ListBullet"/>
      </w:pPr>
      <w:r>
        <w:t>inter-chain splitting.</w:t>
      </w:r>
    </w:p>
    <w:p>
      <w:pPr/>
      <w:r>
        <w:t xml:space="preserve">All 207 systems are classified </w:t>
      </w:r>
      <w:r>
        <w:rPr>
          <w:rFonts w:ascii="Liberation Mono" w:hAnsi="Liberation Mono"/>
          <w:color w:val="225E68"/>
          <w:sz w:val="17"/>
        </w:rPr>
        <w:t>OK</w:t>
      </w:r>
      <w:r>
        <w:t>. The frame-count distribution is 203 × 2,500, 2 × 2,501, 1 × 681 (</w:t>
      </w:r>
      <w:r>
        <w:rPr>
          <w:rFonts w:ascii="Liberation Mono" w:hAnsi="Liberation Mono"/>
          <w:color w:val="225E68"/>
          <w:sz w:val="17"/>
        </w:rPr>
        <w:t>Gq_7RAN</w:t>
      </w:r>
      <w:r>
        <w:t>) and 1 × 200 (</w:t>
      </w:r>
      <w:r>
        <w:rPr>
          <w:rFonts w:ascii="Liberation Mono" w:hAnsi="Liberation Mono"/>
          <w:color w:val="225E68"/>
          <w:sz w:val="17"/>
        </w:rPr>
        <w:t>Gs_3SN6</w:t>
      </w:r>
      <w:r>
        <w:t>). These counts describe the older portal-oriented records. They do not describe the three replica-specific reduced releases, for which the target is uniformly 2,500 frames.</w:t>
      </w:r>
    </w:p>
    <w:p>
      <w:pPr>
        <w:pStyle w:val="Heading1"/>
      </w:pPr>
      <w:r>
        <w:t>Supplementary Note 7. Pocket and gateway records</w:t>
      </w:r>
    </w:p>
    <w:p>
      <w:pPr>
        <w:pStyle w:val="Heading2"/>
      </w:pPr>
      <w:r>
        <w:t>Pocket records</w:t>
      </w:r>
    </w:p>
    <w:p>
      <w:pPr/>
      <w:r>
        <w:t xml:space="preserve">Supplementary Data S5 has 2,149 detected-pocket rows from 205 systems. Two additional rows explicitly record valid completed analyses with no persistent pocket: </w:t>
      </w:r>
      <w:r>
        <w:rPr>
          <w:rFonts w:ascii="Liberation Mono" w:hAnsi="Liberation Mono"/>
          <w:color w:val="225E68"/>
          <w:sz w:val="17"/>
        </w:rPr>
        <w:t>Gi_7YK6</w:t>
      </w:r>
      <w:r>
        <w:t xml:space="preserve"> and </w:t>
      </w:r>
      <w:r>
        <w:rPr>
          <w:rFonts w:ascii="Liberation Mono" w:hAnsi="Liberation Mono"/>
          <w:color w:val="225E68"/>
          <w:sz w:val="17"/>
        </w:rPr>
        <w:t>Gi_8YIC</w:t>
      </w:r>
      <w:r>
        <w:t>. The system denominator is therefore:</w:t>
      </w:r>
    </w:p>
    <w:p>
      <w:pPr>
        <w:pStyle w:val="CodeBlock"/>
      </w:pPr>
      <w:r>
        <w:t>205 systems with detected pockets</w:t>
        <w:br/>
        <w:t>+ 2 systems with valid zero-pocket results</w:t>
        <w:br/>
        <w:t>= 207 system records</w:t>
      </w:r>
    </w:p>
    <w:p>
      <w:pPr/>
      <w:r>
        <w:t>The 58-system orthosteric positive-control denominator is defined by the presence of a peptide-based reference and an evaluable pocket analysis. Forty-nine systems recover an orthosteric cluster at the specified 0.85 frequency threshold. Ligand-free systems are not counted as failures. The analysis is a technical check on annotation recovery; pocket recurrence, ranking, biological interpretation and druggability are outside the database paper.</w:t>
      </w:r>
    </w:p>
    <w:p>
      <w:pPr>
        <w:pStyle w:val="Heading2"/>
      </w:pPr>
      <w:r>
        <w:t>Gateway records and reproducibility boundary</w:t>
      </w:r>
    </w:p>
    <w:p>
      <w:pPr/>
      <w:r>
        <w:t>Supplementary Data S6 contains 5,796 rows:</w:t>
      </w:r>
    </w:p>
    <w:p>
      <w:pPr>
        <w:pStyle w:val="CodeBlock"/>
      </w:pPr>
      <w:r>
        <w:t>207 systems × 7 adjacent TM interfaces × 4 metrics</w:t>
      </w:r>
    </w:p>
    <w:p>
      <w:pPr/>
      <w:r>
        <w:t>The values were calculated from full-system trajectories containing membrane lipids. The reduced release contains no membrane lipids. S6 therefore serves as the processed intermediate needed to reproduce database-paper summaries, but the molecular calculation cannot be rerun from the reduced XTC files. The active API consensus cache has been regenerated from the final-207 intermediate:</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shd w:fill="DCE8EA"/>
          </w:tcPr>
          <w:p>
            <w:pPr>
              <w:spacing w:after="0" w:line="240" w:lineRule="auto"/>
            </w:pPr>
            <w:r>
              <w:rPr>
                <w:b/>
                <w:sz w:val="15"/>
              </w:rPr>
            </w:r>
            <w:r>
              <w:rPr>
                <w:b/>
                <w:sz w:val="15"/>
              </w:rPr>
              <w:t>Group</w:t>
            </w:r>
          </w:p>
        </w:tc>
        <w:tc>
          <w:tcPr>
            <w:tcW w:type="dxa" w:w="4939"/>
            <w:vAlign w:val="center"/>
            <w:shd w:fill="DCE8EA"/>
          </w:tcPr>
          <w:p>
            <w:pPr>
              <w:spacing w:after="0" w:line="240" w:lineRule="auto"/>
            </w:pPr>
            <w:r>
              <w:rPr>
                <w:b/>
                <w:sz w:val="15"/>
              </w:rPr>
            </w:r>
            <w:r>
              <w:rPr>
                <w:rFonts w:ascii="Liberation Mono" w:hAnsi="Liberation Mono"/>
                <w:b/>
                <w:color w:val="225E68"/>
                <w:sz w:val="15"/>
              </w:rPr>
              <w:t>n_systems</w:t>
            </w:r>
          </w:p>
        </w:tc>
      </w:tr>
      <w:tr>
        <w:trPr>
          <w:cantSplit/>
        </w:trPr>
        <w:tc>
          <w:tcPr>
            <w:tcW w:type="dxa" w:w="4939"/>
            <w:vAlign w:val="center"/>
          </w:tcPr>
          <w:p>
            <w:pPr>
              <w:spacing w:after="0" w:line="240" w:lineRule="auto"/>
            </w:pPr>
            <w:r>
              <w:rPr>
                <w:sz w:val="15"/>
              </w:rPr>
            </w:r>
            <w:r>
              <w:rPr>
                <w:sz w:val="15"/>
              </w:rPr>
              <w:t>ALL</w:t>
            </w:r>
          </w:p>
        </w:tc>
        <w:tc>
          <w:tcPr>
            <w:tcW w:type="dxa" w:w="4939"/>
            <w:vAlign w:val="center"/>
          </w:tcPr>
          <w:p>
            <w:pPr>
              <w:spacing w:after="0" w:line="240" w:lineRule="auto"/>
            </w:pPr>
            <w:r>
              <w:rPr>
                <w:sz w:val="15"/>
              </w:rPr>
            </w:r>
            <w:r>
              <w:rPr>
                <w:sz w:val="15"/>
              </w:rPr>
              <w:t>207</w:t>
            </w:r>
          </w:p>
        </w:tc>
      </w:tr>
      <w:tr>
        <w:trPr>
          <w:cantSplit/>
        </w:trPr>
        <w:tc>
          <w:tcPr>
            <w:tcW w:type="dxa" w:w="4939"/>
            <w:vAlign w:val="center"/>
          </w:tcPr>
          <w:p>
            <w:pPr>
              <w:spacing w:after="0" w:line="240" w:lineRule="auto"/>
            </w:pPr>
            <w:r>
              <w:rPr>
                <w:sz w:val="15"/>
              </w:rPr>
            </w:r>
            <w:r>
              <w:rPr>
                <w:sz w:val="15"/>
              </w:rPr>
              <w:t>Class A</w:t>
            </w:r>
          </w:p>
        </w:tc>
        <w:tc>
          <w:tcPr>
            <w:tcW w:type="dxa" w:w="4939"/>
            <w:vAlign w:val="center"/>
          </w:tcPr>
          <w:p>
            <w:pPr>
              <w:spacing w:after="0" w:line="240" w:lineRule="auto"/>
            </w:pPr>
            <w:r>
              <w:rPr>
                <w:sz w:val="15"/>
              </w:rPr>
            </w:r>
            <w:r>
              <w:rPr>
                <w:sz w:val="15"/>
              </w:rPr>
              <w:t>181</w:t>
            </w:r>
          </w:p>
        </w:tc>
      </w:tr>
      <w:tr>
        <w:trPr>
          <w:cantSplit/>
        </w:trPr>
        <w:tc>
          <w:tcPr>
            <w:tcW w:type="dxa" w:w="4939"/>
            <w:vAlign w:val="center"/>
          </w:tcPr>
          <w:p>
            <w:pPr>
              <w:spacing w:after="0" w:line="240" w:lineRule="auto"/>
            </w:pPr>
            <w:r>
              <w:rPr>
                <w:sz w:val="15"/>
              </w:rPr>
            </w:r>
            <w:r>
              <w:rPr>
                <w:sz w:val="15"/>
              </w:rPr>
              <w:t>Class B</w:t>
            </w:r>
          </w:p>
        </w:tc>
        <w:tc>
          <w:tcPr>
            <w:tcW w:type="dxa" w:w="4939"/>
            <w:vAlign w:val="center"/>
          </w:tcPr>
          <w:p>
            <w:pPr>
              <w:spacing w:after="0" w:line="240" w:lineRule="auto"/>
            </w:pPr>
            <w:r>
              <w:rPr>
                <w:sz w:val="15"/>
              </w:rPr>
            </w:r>
            <w:r>
              <w:rPr>
                <w:sz w:val="15"/>
              </w:rPr>
              <w:t>26</w:t>
            </w:r>
          </w:p>
        </w:tc>
      </w:tr>
      <w:tr>
        <w:trPr>
          <w:cantSplit/>
        </w:trPr>
        <w:tc>
          <w:tcPr>
            <w:tcW w:type="dxa" w:w="4939"/>
            <w:vAlign w:val="center"/>
          </w:tcPr>
          <w:p>
            <w:pPr>
              <w:spacing w:after="0" w:line="240" w:lineRule="auto"/>
            </w:pPr>
            <w:r>
              <w:rPr>
                <w:sz w:val="15"/>
              </w:rPr>
            </w:r>
            <w:r>
              <w:rPr>
                <w:sz w:val="15"/>
              </w:rPr>
              <w:t>Gi/o</w:t>
            </w:r>
          </w:p>
        </w:tc>
        <w:tc>
          <w:tcPr>
            <w:tcW w:type="dxa" w:w="4939"/>
            <w:vAlign w:val="center"/>
          </w:tcPr>
          <w:p>
            <w:pPr>
              <w:spacing w:after="0" w:line="240" w:lineRule="auto"/>
            </w:pPr>
            <w:r>
              <w:rPr>
                <w:sz w:val="15"/>
              </w:rPr>
            </w:r>
            <w:r>
              <w:rPr>
                <w:sz w:val="15"/>
              </w:rPr>
              <w:t>95</w:t>
            </w:r>
          </w:p>
        </w:tc>
      </w:tr>
      <w:tr>
        <w:trPr>
          <w:cantSplit/>
        </w:trPr>
        <w:tc>
          <w:tcPr>
            <w:tcW w:type="dxa" w:w="4939"/>
            <w:vAlign w:val="center"/>
          </w:tcPr>
          <w:p>
            <w:pPr>
              <w:spacing w:after="0" w:line="240" w:lineRule="auto"/>
            </w:pPr>
            <w:r>
              <w:rPr>
                <w:sz w:val="15"/>
              </w:rPr>
            </w:r>
            <w:r>
              <w:rPr>
                <w:sz w:val="15"/>
              </w:rPr>
              <w:t>Gs</w:t>
            </w:r>
          </w:p>
        </w:tc>
        <w:tc>
          <w:tcPr>
            <w:tcW w:type="dxa" w:w="4939"/>
            <w:vAlign w:val="center"/>
          </w:tcPr>
          <w:p>
            <w:pPr>
              <w:spacing w:after="0" w:line="240" w:lineRule="auto"/>
            </w:pPr>
            <w:r>
              <w:rPr>
                <w:sz w:val="15"/>
              </w:rPr>
            </w:r>
            <w:r>
              <w:rPr>
                <w:sz w:val="15"/>
              </w:rPr>
              <w:t>65</w:t>
            </w:r>
          </w:p>
        </w:tc>
      </w:tr>
      <w:tr>
        <w:trPr>
          <w:cantSplit/>
        </w:trPr>
        <w:tc>
          <w:tcPr>
            <w:tcW w:type="dxa" w:w="4939"/>
            <w:vAlign w:val="center"/>
          </w:tcPr>
          <w:p>
            <w:pPr>
              <w:spacing w:after="0" w:line="240" w:lineRule="auto"/>
            </w:pPr>
            <w:r>
              <w:rPr>
                <w:sz w:val="15"/>
              </w:rPr>
            </w:r>
            <w:r>
              <w:rPr>
                <w:sz w:val="15"/>
              </w:rPr>
              <w:t>Gq/11</w:t>
            </w:r>
          </w:p>
        </w:tc>
        <w:tc>
          <w:tcPr>
            <w:tcW w:type="dxa" w:w="4939"/>
            <w:vAlign w:val="center"/>
          </w:tcPr>
          <w:p>
            <w:pPr>
              <w:spacing w:after="0" w:line="240" w:lineRule="auto"/>
            </w:pPr>
            <w:r>
              <w:rPr>
                <w:sz w:val="15"/>
              </w:rPr>
            </w:r>
            <w:r>
              <w:rPr>
                <w:sz w:val="15"/>
              </w:rPr>
              <w:t>41</w:t>
            </w:r>
          </w:p>
        </w:tc>
      </w:tr>
      <w:tr>
        <w:trPr>
          <w:cantSplit/>
        </w:trPr>
        <w:tc>
          <w:tcPr>
            <w:tcW w:type="dxa" w:w="4939"/>
            <w:vAlign w:val="center"/>
          </w:tcPr>
          <w:p>
            <w:pPr>
              <w:spacing w:after="0" w:line="240" w:lineRule="auto"/>
            </w:pPr>
            <w:r>
              <w:rPr>
                <w:sz w:val="15"/>
              </w:rPr>
            </w:r>
            <w:r>
              <w:rPr>
                <w:sz w:val="15"/>
              </w:rPr>
              <w:t>G12/13</w:t>
            </w:r>
          </w:p>
        </w:tc>
        <w:tc>
          <w:tcPr>
            <w:tcW w:type="dxa" w:w="4939"/>
            <w:vAlign w:val="center"/>
          </w:tcPr>
          <w:p>
            <w:pPr>
              <w:spacing w:after="0" w:line="240" w:lineRule="auto"/>
            </w:pPr>
            <w:r>
              <w:rPr>
                <w:sz w:val="15"/>
              </w:rPr>
            </w:r>
            <w:r>
              <w:rPr>
                <w:sz w:val="15"/>
              </w:rPr>
              <w:t>6</w:t>
            </w:r>
          </w:p>
        </w:tc>
      </w:tr>
    </w:tbl>
    <w:p>
      <w:pPr>
        <w:spacing w:after="0"/>
      </w:pPr>
    </w:p>
    <w:p>
      <w:pPr/>
      <w:r>
        <w:t>The v12 main figures do not display the family-organized gateway distribution.</w:t>
      </w:r>
    </w:p>
    <w:p>
      <w:pPr>
        <w:keepNext/>
        <w:spacing w:before="100" w:after="20"/>
        <w:jc w:val="center"/>
      </w:pPr>
      <w:r>
        <w:drawing>
          <wp:inline xmlns:a="http://schemas.openxmlformats.org/drawingml/2006/main" xmlns:pic="http://schemas.openxmlformats.org/drawingml/2006/picture">
            <wp:extent cx="6172200" cy="2793733"/>
            <wp:docPr id="2" name="Picture 2"/>
            <wp:cNvGraphicFramePr>
              <a:graphicFrameLocks noChangeAspect="1"/>
            </wp:cNvGraphicFramePr>
            <a:graphic>
              <a:graphicData uri="http://schemas.openxmlformats.org/drawingml/2006/picture">
                <pic:pic>
                  <pic:nvPicPr>
                    <pic:cNvPr id="0" name="supplementary_figure_s1_gateway_provenance.png"/>
                    <pic:cNvPicPr/>
                  </pic:nvPicPr>
                  <pic:blipFill>
                    <a:blip r:embed="rId11"/>
                    <a:stretch>
                      <a:fillRect/>
                    </a:stretch>
                  </pic:blipFill>
                  <pic:spPr>
                    <a:xfrm>
                      <a:off x="0" y="0"/>
                      <a:ext cx="6172200" cy="2793733"/>
                    </a:xfrm>
                    <a:prstGeom prst="rect"/>
                  </pic:spPr>
                </pic:pic>
              </a:graphicData>
            </a:graphic>
          </wp:inline>
        </w:drawing>
      </w:r>
    </w:p>
    <w:p>
      <w:pPr>
        <w:pStyle w:val="Caption"/>
      </w:pPr>
      <w:r>
        <w:rPr>
          <w:b/>
        </w:rPr>
        <w:t>Supplementary Figure S1 | Gateway-summary provenance and reduced-record boundary.</w:t>
      </w:r>
      <w:r>
        <w:t xml:space="preserve"> Full-system trajectories are required to calculate lipid-gateway records. The calculation code produces per-system processed summaries distributed in Supplementary Data S6 and the API. Reduced PDB/XTC records support protein-complex reuse but cannot regenerate lipid-gateway measurements.</w:t>
      </w:r>
    </w:p>
    <w:p>
      <w:pPr>
        <w:pStyle w:val="Heading1"/>
      </w:pPr>
      <w:r>
        <w:t>Supplementary Note 8. Worked checksum and loading example</w:t>
      </w:r>
    </w:p>
    <w:p>
      <w:pPr/>
      <w:r>
        <w:t xml:space="preserve">The following complete example reads the replica-1 manifest, locates </w:t>
      </w:r>
      <w:r>
        <w:rPr>
          <w:rFonts w:ascii="Liberation Mono" w:hAnsi="Liberation Mono"/>
          <w:color w:val="225E68"/>
          <w:sz w:val="17"/>
        </w:rPr>
        <w:t>G12_7SF7</w:t>
      </w:r>
      <w:r>
        <w:t>, verifies both SHA-256 digests and loads the PDB/XTC pair. The user must first extract the relevant family archive without changing member names.</w:t>
      </w:r>
    </w:p>
    <w:p>
      <w:pPr>
        <w:pStyle w:val="CodeBlock"/>
      </w:pPr>
      <w:r>
        <w:t>from pathlib import Path</w:t>
        <w:br/>
        <w:t>import hashlib</w:t>
        <w:br/>
        <w:t>import pandas as pd</w:t>
        <w:br/>
        <w:t>import MDAnalysis as mda</w:t>
        <w:br/>
        <w:br/>
        <w:t>release = Path(".")</w:t>
        <w:br/>
        <w:t>manifest = pd.read_csv(</w:t>
        <w:br/>
        <w:t xml:space="preserve">    release / "CoupledMD_reduced_trajectory_manifest.csv"</w:t>
        <w:br/>
        <w:t>)</w:t>
        <w:br/>
        <w:t>row = manifest.loc[</w:t>
        <w:br/>
        <w:t xml:space="preserve">    manifest["system_id"].eq("G12_7SF7")</w:t>
        <w:br/>
        <w:t xml:space="preserve">    &amp; manifest["source_replica"].eq(1)</w:t>
        <w:br/>
        <w:t>].iloc[0]</w:t>
        <w:br/>
        <w:br/>
        <w:t>pdb_path = release / row["pdb_relative_path"]</w:t>
        <w:br/>
        <w:t>xtc_path = release / row["xtc_relative_path"]</w:t>
        <w:br/>
        <w:br/>
        <w:t>def sha256(path):</w:t>
        <w:br/>
        <w:t xml:space="preserve">    digest = hashlib.sha256()</w:t>
        <w:br/>
        <w:t xml:space="preserve">    with path.open("rb") as handle:</w:t>
        <w:br/>
        <w:t xml:space="preserve">        for block in iter(lambda: handle.read(8 * 1024 * 1024), b""):</w:t>
        <w:br/>
        <w:t xml:space="preserve">            digest.update(block)</w:t>
        <w:br/>
        <w:t xml:space="preserve">    return digest.hexdigest()</w:t>
        <w:br/>
        <w:br/>
        <w:t>assert pdb_path.is_file()</w:t>
        <w:br/>
        <w:t>assert xtc_path.is_file()</w:t>
        <w:br/>
        <w:t>assert sha256(pdb_path) == row["pdb_sha256"]</w:t>
        <w:br/>
        <w:t>assert sha256(xtc_path) == row["xtc_sha256"]</w:t>
        <w:br/>
        <w:br/>
        <w:t>universe = mda.Universe(pdb_path, xtc_path)</w:t>
        <w:br/>
        <w:t>assert universe.atoms.n_atoms == int(row["n_atoms"])</w:t>
        <w:br/>
        <w:t>assert len(universe.trajectory) == int(row["n_frames"]) == 2500</w:t>
        <w:br/>
        <w:t>assert float(row["frame_interval_ps"]) == 200.0</w:t>
        <w:br/>
        <w:t>assert float(row["represented_span_ns"]) == 499.8</w:t>
        <w:br/>
        <w:br/>
        <w:t>print(</w:t>
        <w:br/>
        <w:t xml:space="preserve">    row["system_id"],</w:t>
        <w:br/>
        <w:t xml:space="preserve">    universe.atoms.n_atoms,</w:t>
        <w:br/>
        <w:t xml:space="preserve">    len(universe.trajectory),</w:t>
        <w:br/>
        <w:t>)</w:t>
      </w:r>
    </w:p>
    <w:p>
      <w:pPr/>
      <w:r>
        <w:t>The same verification can be performed without Python:</w:t>
      </w:r>
    </w:p>
    <w:p>
      <w:pPr>
        <w:pStyle w:val="CodeBlock"/>
      </w:pPr>
      <w:r>
        <w:t>sha256sum path/from/manifest/structure.pdb</w:t>
        <w:br/>
        <w:t>sha256sum path/from/manifest/traj.xtc</w:t>
      </w:r>
    </w:p>
    <w:p>
      <w:pPr/>
      <w:r>
        <w:t>Both output strings must match the manifest exactly before analysis.</w:t>
      </w:r>
    </w:p>
    <w:p>
      <w:pPr>
        <w:pStyle w:val="Heading1"/>
      </w:pPr>
      <w:r>
        <w:t>Supplementary Note 9. Reproducible v12 commands</w:t>
      </w:r>
    </w:p>
    <w:p>
      <w:pPr/>
      <w:r>
        <w:t>The v12 build is regenerated from the manuscript workspace with:</w:t>
      </w:r>
    </w:p>
    <w:p>
      <w:pPr>
        <w:pStyle w:val="CodeBlock"/>
      </w:pPr>
      <w:r>
        <w:t>python audit_v12_release_status.py</w:t>
        <w:br/>
        <w:t>python update_v12_gateway_consensus.py</w:t>
        <w:br/>
        <w:t>python run_final207_viz_audit.py</w:t>
        <w:br/>
        <w:t>python build_v12_data.py</w:t>
        <w:br/>
        <w:t>MPLCONFIGDIR=/tmp/mpl-v12 python plot_v12_figures.py</w:t>
        <w:br/>
        <w:t>python build_v12_documents.py</w:t>
        <w:br/>
        <w:t>python validate_v12_submission.py</w:t>
      </w:r>
    </w:p>
    <w:p>
      <w:pPr/>
      <w:r>
        <w:rPr>
          <w:rFonts w:ascii="Liberation Mono" w:hAnsi="Liberation Mono"/>
          <w:color w:val="225E68"/>
          <w:sz w:val="17"/>
        </w:rPr>
        <w:t>run_final207_viz_audit.py</w:t>
      </w:r>
      <w:r>
        <w:t xml:space="preserve"> is the active wrapper around a historical implementation that predates the 207-system freeze. Its output is </w:t>
      </w:r>
      <w:r>
        <w:rPr>
          <w:rFonts w:ascii="Liberation Mono" w:hAnsi="Liberation Mono"/>
          <w:color w:val="225E68"/>
          <w:sz w:val="17"/>
        </w:rPr>
        <w:t>final207_reduced_visualization_audit_40frames.csv</w:t>
      </w:r>
      <w:r>
        <w:t>. The historical implementation filename is not distributed as an active v12 artifact. All generated source-data tables and reports use v12 or final-207 naming.</w:t>
      </w:r>
    </w:p>
    <w:p>
      <w:pPr/>
      <w:r>
        <w:t xml:space="preserve">The frozen environment and file hashes are in Supplementary Data S10 and </w:t>
      </w:r>
      <w:r>
        <w:rPr>
          <w:rFonts w:ascii="Liberation Mono" w:hAnsi="Liberation Mono"/>
          <w:color w:val="225E68"/>
          <w:sz w:val="17"/>
        </w:rPr>
        <w:t>reports/v12_environment_freeze.json</w:t>
      </w:r>
      <w:r>
        <w:t>. The build must be rerun after any release-status change because remote-state fields, release manifests, QC tables, Figure 5 and Data Availability are coupled.</w:t>
      </w:r>
    </w:p>
    <w:p>
      <w:pPr>
        <w:pStyle w:val="Heading1"/>
      </w:pPr>
      <w:r>
        <w:t>Supplementary Table S1. Molecular record specification</w:t>
      </w:r>
    </w:p>
    <w:tbl>
      <w:tblPr>
        <w:tblStyle w:val="TableGrid"/>
        <w:tblW w:type="auto" w:w="0"/>
        <w:tblLayout w:type="autofit"/>
        <w:tblLook w:firstColumn="1" w:firstRow="1" w:lastColumn="0" w:lastRow="0" w:noHBand="0" w:noVBand="1" w:val="04A0"/>
      </w:tblPr>
      <w:tblGrid>
        <w:gridCol w:w="1646"/>
        <w:gridCol w:w="1646"/>
        <w:gridCol w:w="1646"/>
        <w:gridCol w:w="1646"/>
        <w:gridCol w:w="1646"/>
        <w:gridCol w:w="1646"/>
      </w:tblGrid>
      <w:tr>
        <w:trPr>
          <w:cantSplit/>
          <w:tblHeader w:val="true"/>
        </w:trPr>
        <w:tc>
          <w:tcPr>
            <w:tcW w:type="dxa" w:w="1646"/>
            <w:vAlign w:val="center"/>
            <w:shd w:fill="DCE8EA"/>
          </w:tcPr>
          <w:p>
            <w:pPr>
              <w:spacing w:after="0" w:line="240" w:lineRule="auto"/>
            </w:pPr>
            <w:r>
              <w:rPr>
                <w:b/>
                <w:sz w:val="15"/>
              </w:rPr>
            </w:r>
            <w:r>
              <w:rPr>
                <w:b/>
                <w:sz w:val="15"/>
              </w:rPr>
              <w:t>Record</w:t>
            </w:r>
          </w:p>
        </w:tc>
        <w:tc>
          <w:tcPr>
            <w:tcW w:type="dxa" w:w="1646"/>
            <w:vAlign w:val="center"/>
            <w:shd w:fill="DCE8EA"/>
          </w:tcPr>
          <w:p>
            <w:pPr>
              <w:spacing w:after="0" w:line="240" w:lineRule="auto"/>
            </w:pPr>
            <w:r>
              <w:rPr>
                <w:b/>
                <w:sz w:val="15"/>
              </w:rPr>
            </w:r>
            <w:r>
              <w:rPr>
                <w:b/>
                <w:sz w:val="15"/>
              </w:rPr>
              <w:t>Format</w:t>
            </w:r>
          </w:p>
        </w:tc>
        <w:tc>
          <w:tcPr>
            <w:tcW w:type="dxa" w:w="1646"/>
            <w:vAlign w:val="center"/>
            <w:shd w:fill="DCE8EA"/>
          </w:tcPr>
          <w:p>
            <w:pPr>
              <w:spacing w:after="0" w:line="240" w:lineRule="auto"/>
            </w:pPr>
            <w:r>
              <w:rPr>
                <w:b/>
                <w:sz w:val="15"/>
              </w:rPr>
            </w:r>
            <w:r>
              <w:rPr>
                <w:b/>
                <w:sz w:val="15"/>
              </w:rPr>
              <w:t>Pairing</w:t>
            </w:r>
          </w:p>
        </w:tc>
        <w:tc>
          <w:tcPr>
            <w:tcW w:type="dxa" w:w="1646"/>
            <w:vAlign w:val="center"/>
            <w:shd w:fill="DCE8EA"/>
          </w:tcPr>
          <w:p>
            <w:pPr>
              <w:spacing w:after="0" w:line="240" w:lineRule="auto"/>
            </w:pPr>
            <w:r>
              <w:rPr>
                <w:b/>
                <w:sz w:val="15"/>
              </w:rPr>
            </w:r>
            <w:r>
              <w:rPr>
                <w:b/>
                <w:sz w:val="15"/>
              </w:rPr>
              <w:t>Molecular scope</w:t>
            </w:r>
          </w:p>
        </w:tc>
        <w:tc>
          <w:tcPr>
            <w:tcW w:type="dxa" w:w="1646"/>
            <w:vAlign w:val="center"/>
            <w:shd w:fill="DCE8EA"/>
          </w:tcPr>
          <w:p>
            <w:pPr>
              <w:spacing w:after="0" w:line="240" w:lineRule="auto"/>
            </w:pPr>
            <w:r>
              <w:rPr>
                <w:b/>
                <w:sz w:val="15"/>
              </w:rPr>
            </w:r>
            <w:r>
              <w:rPr>
                <w:b/>
                <w:sz w:val="15"/>
              </w:rPr>
              <w:t>Supported use</w:t>
            </w:r>
          </w:p>
        </w:tc>
        <w:tc>
          <w:tcPr>
            <w:tcW w:type="dxa" w:w="1646"/>
            <w:vAlign w:val="center"/>
            <w:shd w:fill="DCE8EA"/>
          </w:tcPr>
          <w:p>
            <w:pPr>
              <w:spacing w:after="0" w:line="240" w:lineRule="auto"/>
            </w:pPr>
            <w:r>
              <w:rPr>
                <w:b/>
                <w:sz w:val="15"/>
              </w:rPr>
            </w:r>
            <w:r>
              <w:rPr>
                <w:b/>
                <w:sz w:val="15"/>
              </w:rPr>
              <w:t>Explicit limitation</w:t>
            </w:r>
          </w:p>
        </w:tc>
      </w:tr>
      <w:tr>
        <w:trPr>
          <w:cantSplit/>
        </w:trPr>
        <w:tc>
          <w:tcPr>
            <w:tcW w:type="dxa" w:w="1646"/>
            <w:vAlign w:val="center"/>
          </w:tcPr>
          <w:p>
            <w:pPr>
              <w:spacing w:after="0" w:line="240" w:lineRule="auto"/>
            </w:pPr>
            <w:r>
              <w:rPr>
                <w:sz w:val="15"/>
              </w:rPr>
            </w:r>
            <w:r>
              <w:rPr>
                <w:sz w:val="15"/>
              </w:rPr>
              <w:t>Reduced structure</w:t>
            </w:r>
          </w:p>
        </w:tc>
        <w:tc>
          <w:tcPr>
            <w:tcW w:type="dxa" w:w="1646"/>
            <w:vAlign w:val="center"/>
          </w:tcPr>
          <w:p>
            <w:pPr>
              <w:spacing w:after="0" w:line="240" w:lineRule="auto"/>
            </w:pPr>
            <w:r>
              <w:rPr>
                <w:sz w:val="15"/>
              </w:rPr>
            </w:r>
            <w:r>
              <w:rPr>
                <w:sz w:val="15"/>
              </w:rPr>
              <w:t>PDB</w:t>
            </w:r>
          </w:p>
        </w:tc>
        <w:tc>
          <w:tcPr>
            <w:tcW w:type="dxa" w:w="1646"/>
            <w:vAlign w:val="center"/>
          </w:tcPr>
          <w:p>
            <w:pPr>
              <w:spacing w:after="0" w:line="240" w:lineRule="auto"/>
            </w:pPr>
            <w:r>
              <w:rPr>
                <w:sz w:val="15"/>
              </w:rPr>
            </w:r>
            <w:r>
              <w:rPr>
                <w:sz w:val="15"/>
              </w:rPr>
              <w:t>reduced XTC</w:t>
            </w:r>
          </w:p>
        </w:tc>
        <w:tc>
          <w:tcPr>
            <w:tcW w:type="dxa" w:w="1646"/>
            <w:vAlign w:val="center"/>
          </w:tcPr>
          <w:p>
            <w:pPr>
              <w:spacing w:after="0" w:line="240" w:lineRule="auto"/>
            </w:pPr>
            <w:r>
              <w:rPr>
                <w:sz w:val="15"/>
              </w:rPr>
            </w:r>
            <w:r>
              <w:rPr>
                <w:sz w:val="15"/>
              </w:rPr>
              <w:t>atoms defined by PDB</w:t>
            </w:r>
          </w:p>
        </w:tc>
        <w:tc>
          <w:tcPr>
            <w:tcW w:type="dxa" w:w="1646"/>
            <w:vAlign w:val="center"/>
          </w:tcPr>
          <w:p>
            <w:pPr>
              <w:spacing w:after="0" w:line="240" w:lineRule="auto"/>
            </w:pPr>
            <w:r>
              <w:rPr>
                <w:sz w:val="15"/>
              </w:rPr>
            </w:r>
            <w:r>
              <w:rPr>
                <w:sz w:val="15"/>
              </w:rPr>
              <w:t>topology and atom-order reference</w:t>
            </w:r>
          </w:p>
        </w:tc>
        <w:tc>
          <w:tcPr>
            <w:tcW w:type="dxa" w:w="1646"/>
            <w:vAlign w:val="center"/>
          </w:tcPr>
          <w:p>
            <w:pPr>
              <w:spacing w:after="0" w:line="240" w:lineRule="auto"/>
            </w:pPr>
            <w:r>
              <w:rPr>
                <w:sz w:val="15"/>
              </w:rPr>
            </w:r>
            <w:r>
              <w:rPr>
                <w:sz w:val="15"/>
              </w:rPr>
              <w:t>not a full-system topology</w:t>
            </w:r>
          </w:p>
        </w:tc>
      </w:tr>
      <w:tr>
        <w:trPr>
          <w:cantSplit/>
        </w:trPr>
        <w:tc>
          <w:tcPr>
            <w:tcW w:type="dxa" w:w="1646"/>
            <w:vAlign w:val="center"/>
          </w:tcPr>
          <w:p>
            <w:pPr>
              <w:spacing w:after="0" w:line="240" w:lineRule="auto"/>
            </w:pPr>
            <w:r>
              <w:rPr>
                <w:sz w:val="15"/>
              </w:rPr>
            </w:r>
            <w:r>
              <w:rPr>
                <w:sz w:val="15"/>
              </w:rPr>
              <w:t>Reduced trajectory</w:t>
            </w:r>
          </w:p>
        </w:tc>
        <w:tc>
          <w:tcPr>
            <w:tcW w:type="dxa" w:w="1646"/>
            <w:vAlign w:val="center"/>
          </w:tcPr>
          <w:p>
            <w:pPr>
              <w:spacing w:after="0" w:line="240" w:lineRule="auto"/>
            </w:pPr>
            <w:r>
              <w:rPr>
                <w:sz w:val="15"/>
              </w:rPr>
            </w:r>
            <w:r>
              <w:rPr>
                <w:sz w:val="15"/>
              </w:rPr>
              <w:t>XTC</w:t>
            </w:r>
          </w:p>
        </w:tc>
        <w:tc>
          <w:tcPr>
            <w:tcW w:type="dxa" w:w="1646"/>
            <w:vAlign w:val="center"/>
          </w:tcPr>
          <w:p>
            <w:pPr>
              <w:spacing w:after="0" w:line="240" w:lineRule="auto"/>
            </w:pPr>
            <w:r>
              <w:rPr>
                <w:sz w:val="15"/>
              </w:rPr>
            </w:r>
            <w:r>
              <w:rPr>
                <w:sz w:val="15"/>
              </w:rPr>
              <w:t>reduced PDB</w:t>
            </w:r>
          </w:p>
        </w:tc>
        <w:tc>
          <w:tcPr>
            <w:tcW w:type="dxa" w:w="1646"/>
            <w:vAlign w:val="center"/>
          </w:tcPr>
          <w:p>
            <w:pPr>
              <w:spacing w:after="0" w:line="240" w:lineRule="auto"/>
            </w:pPr>
            <w:r>
              <w:rPr>
                <w:sz w:val="15"/>
              </w:rPr>
            </w:r>
            <w:r>
              <w:rPr>
                <w:sz w:val="15"/>
              </w:rPr>
              <w:t>selected protein-complex representation</w:t>
            </w:r>
          </w:p>
        </w:tc>
        <w:tc>
          <w:tcPr>
            <w:tcW w:type="dxa" w:w="1646"/>
            <w:vAlign w:val="center"/>
          </w:tcPr>
          <w:p>
            <w:pPr>
              <w:spacing w:after="0" w:line="240" w:lineRule="auto"/>
            </w:pPr>
            <w:r>
              <w:rPr>
                <w:sz w:val="15"/>
              </w:rPr>
            </w:r>
            <w:r>
              <w:rPr>
                <w:sz w:val="15"/>
              </w:rPr>
              <w:t>protein-complex structural reuse</w:t>
            </w:r>
          </w:p>
        </w:tc>
        <w:tc>
          <w:tcPr>
            <w:tcW w:type="dxa" w:w="1646"/>
            <w:vAlign w:val="center"/>
          </w:tcPr>
          <w:p>
            <w:pPr>
              <w:spacing w:after="0" w:line="240" w:lineRule="auto"/>
            </w:pPr>
            <w:r>
              <w:rPr>
                <w:sz w:val="15"/>
              </w:rPr>
            </w:r>
            <w:r>
              <w:rPr>
                <w:sz w:val="15"/>
              </w:rPr>
              <w:t>no membrane, solvent, mobile ions or fast kinetics</w:t>
            </w:r>
          </w:p>
        </w:tc>
      </w:tr>
      <w:tr>
        <w:trPr>
          <w:cantSplit/>
        </w:trPr>
        <w:tc>
          <w:tcPr>
            <w:tcW w:type="dxa" w:w="1646"/>
            <w:vAlign w:val="center"/>
          </w:tcPr>
          <w:p>
            <w:pPr>
              <w:spacing w:after="0" w:line="240" w:lineRule="auto"/>
            </w:pPr>
            <w:r>
              <w:rPr>
                <w:sz w:val="15"/>
              </w:rPr>
            </w:r>
            <w:r>
              <w:rPr>
                <w:sz w:val="15"/>
              </w:rPr>
              <w:t>System metadata</w:t>
            </w:r>
          </w:p>
        </w:tc>
        <w:tc>
          <w:tcPr>
            <w:tcW w:type="dxa" w:w="1646"/>
            <w:vAlign w:val="center"/>
          </w:tcPr>
          <w:p>
            <w:pPr>
              <w:spacing w:after="0" w:line="240" w:lineRule="auto"/>
            </w:pPr>
            <w:r>
              <w:rPr>
                <w:sz w:val="15"/>
              </w:rPr>
            </w:r>
            <w:r>
              <w:rPr>
                <w:sz w:val="15"/>
              </w:rPr>
              <w:t>CSV/JSON</w:t>
            </w:r>
          </w:p>
        </w:tc>
        <w:tc>
          <w:tcPr>
            <w:tcW w:type="dxa" w:w="1646"/>
            <w:vAlign w:val="center"/>
          </w:tcPr>
          <w:p>
            <w:pPr>
              <w:spacing w:after="0" w:line="240" w:lineRule="auto"/>
            </w:pPr>
            <w:r>
              <w:rPr>
                <w:sz w:val="15"/>
              </w:rPr>
            </w:r>
            <w:r>
              <w:rPr>
                <w:rFonts w:ascii="Liberation Mono" w:hAnsi="Liberation Mono"/>
                <w:color w:val="225E68"/>
                <w:sz w:val="15"/>
              </w:rPr>
              <w:t>system_id</w:t>
            </w:r>
          </w:p>
        </w:tc>
        <w:tc>
          <w:tcPr>
            <w:tcW w:type="dxa" w:w="1646"/>
            <w:vAlign w:val="center"/>
          </w:tcPr>
          <w:p>
            <w:pPr>
              <w:spacing w:after="0" w:line="240" w:lineRule="auto"/>
            </w:pPr>
            <w:r>
              <w:rPr>
                <w:sz w:val="15"/>
              </w:rPr>
            </w:r>
            <w:r>
              <w:rPr>
                <w:sz w:val="15"/>
              </w:rPr>
              <w:t>207 systems</w:t>
            </w:r>
          </w:p>
        </w:tc>
        <w:tc>
          <w:tcPr>
            <w:tcW w:type="dxa" w:w="1646"/>
            <w:vAlign w:val="center"/>
          </w:tcPr>
          <w:p>
            <w:pPr>
              <w:spacing w:after="0" w:line="240" w:lineRule="auto"/>
            </w:pPr>
            <w:r>
              <w:rPr>
                <w:sz w:val="15"/>
              </w:rPr>
            </w:r>
            <w:r>
              <w:rPr>
                <w:sz w:val="15"/>
              </w:rPr>
              <w:t>discovery and joins</w:t>
            </w:r>
          </w:p>
        </w:tc>
        <w:tc>
          <w:tcPr>
            <w:tcW w:type="dxa" w:w="1646"/>
            <w:vAlign w:val="center"/>
          </w:tcPr>
          <w:p>
            <w:pPr>
              <w:spacing w:after="0" w:line="240" w:lineRule="auto"/>
            </w:pPr>
            <w:r>
              <w:rPr>
                <w:sz w:val="15"/>
              </w:rPr>
            </w:r>
            <w:r>
              <w:rPr>
                <w:sz w:val="15"/>
              </w:rPr>
              <w:t>no coordinates</w:t>
            </w:r>
          </w:p>
        </w:tc>
      </w:tr>
      <w:tr>
        <w:trPr>
          <w:cantSplit/>
        </w:trPr>
        <w:tc>
          <w:tcPr>
            <w:tcW w:type="dxa" w:w="1646"/>
            <w:vAlign w:val="center"/>
          </w:tcPr>
          <w:p>
            <w:pPr>
              <w:spacing w:after="0" w:line="240" w:lineRule="auto"/>
            </w:pPr>
            <w:r>
              <w:rPr>
                <w:sz w:val="15"/>
              </w:rPr>
            </w:r>
            <w:r>
              <w:rPr>
                <w:sz w:val="15"/>
              </w:rPr>
              <w:t>Replica provenance</w:t>
            </w:r>
          </w:p>
        </w:tc>
        <w:tc>
          <w:tcPr>
            <w:tcW w:type="dxa" w:w="1646"/>
            <w:vAlign w:val="center"/>
          </w:tcPr>
          <w:p>
            <w:pPr>
              <w:spacing w:after="0" w:line="240" w:lineRule="auto"/>
            </w:pPr>
            <w:r>
              <w:rPr>
                <w:sz w:val="15"/>
              </w:rPr>
            </w:r>
            <w:r>
              <w:rPr>
                <w:sz w:val="15"/>
              </w:rPr>
              <w:t>CSV</w:t>
            </w:r>
          </w:p>
        </w:tc>
        <w:tc>
          <w:tcPr>
            <w:tcW w:type="dxa" w:w="1646"/>
            <w:vAlign w:val="center"/>
          </w:tcPr>
          <w:p>
            <w:pPr>
              <w:spacing w:after="0" w:line="240" w:lineRule="auto"/>
            </w:pPr>
            <w:r>
              <w:rPr>
                <w:sz w:val="15"/>
              </w:rPr>
            </w:r>
            <w:r>
              <w:rPr>
                <w:rFonts w:ascii="Liberation Mono" w:hAnsi="Liberation Mono"/>
                <w:color w:val="225E68"/>
                <w:sz w:val="15"/>
              </w:rPr>
              <w:t>system_id</w:t>
            </w:r>
            <w:r>
              <w:rPr>
                <w:sz w:val="15"/>
              </w:rPr>
              <w:t xml:space="preserve">, </w:t>
            </w:r>
            <w:r>
              <w:rPr>
                <w:rFonts w:ascii="Liberation Mono" w:hAnsi="Liberation Mono"/>
                <w:color w:val="225E68"/>
                <w:sz w:val="15"/>
              </w:rPr>
              <w:t>replica_id</w:t>
            </w:r>
          </w:p>
        </w:tc>
        <w:tc>
          <w:tcPr>
            <w:tcW w:type="dxa" w:w="1646"/>
            <w:vAlign w:val="center"/>
          </w:tcPr>
          <w:p>
            <w:pPr>
              <w:spacing w:after="0" w:line="240" w:lineRule="auto"/>
            </w:pPr>
            <w:r>
              <w:rPr>
                <w:sz w:val="15"/>
              </w:rPr>
            </w:r>
            <w:r>
              <w:rPr>
                <w:sz w:val="15"/>
              </w:rPr>
              <w:t>621 expected repeats</w:t>
            </w:r>
          </w:p>
        </w:tc>
        <w:tc>
          <w:tcPr>
            <w:tcW w:type="dxa" w:w="1646"/>
            <w:vAlign w:val="center"/>
          </w:tcPr>
          <w:p>
            <w:pPr>
              <w:spacing w:after="0" w:line="240" w:lineRule="auto"/>
            </w:pPr>
            <w:r>
              <w:rPr>
                <w:sz w:val="15"/>
              </w:rPr>
            </w:r>
            <w:r>
              <w:rPr>
                <w:sz w:val="15"/>
              </w:rPr>
              <w:t>protocol and sampling audit</w:t>
            </w:r>
          </w:p>
        </w:tc>
        <w:tc>
          <w:tcPr>
            <w:tcW w:type="dxa" w:w="1646"/>
            <w:vAlign w:val="center"/>
          </w:tcPr>
          <w:p>
            <w:pPr>
              <w:spacing w:after="0" w:line="240" w:lineRule="auto"/>
            </w:pPr>
            <w:r>
              <w:rPr>
                <w:sz w:val="15"/>
              </w:rPr>
            </w:r>
            <w:r>
              <w:rPr>
                <w:sz w:val="15"/>
              </w:rPr>
              <w:t>source molecular files not included</w:t>
            </w:r>
          </w:p>
        </w:tc>
      </w:tr>
      <w:tr>
        <w:trPr>
          <w:cantSplit/>
        </w:trPr>
        <w:tc>
          <w:tcPr>
            <w:tcW w:type="dxa" w:w="1646"/>
            <w:vAlign w:val="center"/>
          </w:tcPr>
          <w:p>
            <w:pPr>
              <w:spacing w:after="0" w:line="240" w:lineRule="auto"/>
            </w:pPr>
            <w:r>
              <w:rPr>
                <w:sz w:val="15"/>
              </w:rPr>
            </w:r>
            <w:r>
              <w:rPr>
                <w:sz w:val="15"/>
              </w:rPr>
              <w:t>Pocket summary</w:t>
            </w:r>
          </w:p>
        </w:tc>
        <w:tc>
          <w:tcPr>
            <w:tcW w:type="dxa" w:w="1646"/>
            <w:vAlign w:val="center"/>
          </w:tcPr>
          <w:p>
            <w:pPr>
              <w:spacing w:after="0" w:line="240" w:lineRule="auto"/>
            </w:pPr>
            <w:r>
              <w:rPr>
                <w:sz w:val="15"/>
              </w:rPr>
            </w:r>
            <w:r>
              <w:rPr>
                <w:sz w:val="15"/>
              </w:rPr>
              <w:t>CSV/JSON</w:t>
            </w:r>
          </w:p>
        </w:tc>
        <w:tc>
          <w:tcPr>
            <w:tcW w:type="dxa" w:w="1646"/>
            <w:vAlign w:val="center"/>
          </w:tcPr>
          <w:p>
            <w:pPr>
              <w:spacing w:after="0" w:line="240" w:lineRule="auto"/>
            </w:pPr>
            <w:r>
              <w:rPr>
                <w:sz w:val="15"/>
              </w:rPr>
            </w:r>
            <w:r>
              <w:rPr>
                <w:rFonts w:ascii="Liberation Mono" w:hAnsi="Liberation Mono"/>
                <w:color w:val="225E68"/>
                <w:sz w:val="15"/>
              </w:rPr>
              <w:t>system_id</w:t>
            </w:r>
          </w:p>
        </w:tc>
        <w:tc>
          <w:tcPr>
            <w:tcW w:type="dxa" w:w="1646"/>
            <w:vAlign w:val="center"/>
          </w:tcPr>
          <w:p>
            <w:pPr>
              <w:spacing w:after="0" w:line="240" w:lineRule="auto"/>
            </w:pPr>
            <w:r>
              <w:rPr>
                <w:sz w:val="15"/>
              </w:rPr>
            </w:r>
            <w:r>
              <w:rPr>
                <w:sz w:val="15"/>
              </w:rPr>
              <w:t>207 completed system records</w:t>
            </w:r>
          </w:p>
        </w:tc>
        <w:tc>
          <w:tcPr>
            <w:tcW w:type="dxa" w:w="1646"/>
            <w:vAlign w:val="center"/>
          </w:tcPr>
          <w:p>
            <w:pPr>
              <w:spacing w:after="0" w:line="240" w:lineRule="auto"/>
            </w:pPr>
            <w:r>
              <w:rPr>
                <w:sz w:val="15"/>
              </w:rPr>
            </w:r>
            <w:r>
              <w:rPr>
                <w:sz w:val="15"/>
              </w:rPr>
              <w:t>technical annotation reuse</w:t>
            </w:r>
          </w:p>
        </w:tc>
        <w:tc>
          <w:tcPr>
            <w:tcW w:type="dxa" w:w="1646"/>
            <w:vAlign w:val="center"/>
          </w:tcPr>
          <w:p>
            <w:pPr>
              <w:spacing w:after="0" w:line="240" w:lineRule="auto"/>
            </w:pPr>
            <w:r>
              <w:rPr>
                <w:sz w:val="15"/>
              </w:rPr>
            </w:r>
            <w:r>
              <w:rPr>
                <w:sz w:val="15"/>
              </w:rPr>
              <w:t>no experimental druggability claim</w:t>
            </w:r>
          </w:p>
        </w:tc>
      </w:tr>
      <w:tr>
        <w:trPr>
          <w:cantSplit/>
        </w:trPr>
        <w:tc>
          <w:tcPr>
            <w:tcW w:type="dxa" w:w="1646"/>
            <w:vAlign w:val="center"/>
          </w:tcPr>
          <w:p>
            <w:pPr>
              <w:spacing w:after="0" w:line="240" w:lineRule="auto"/>
            </w:pPr>
            <w:r>
              <w:rPr>
                <w:sz w:val="15"/>
              </w:rPr>
            </w:r>
            <w:r>
              <w:rPr>
                <w:sz w:val="15"/>
              </w:rPr>
              <w:t>Gateway summary</w:t>
            </w:r>
          </w:p>
        </w:tc>
        <w:tc>
          <w:tcPr>
            <w:tcW w:type="dxa" w:w="1646"/>
            <w:vAlign w:val="center"/>
          </w:tcPr>
          <w:p>
            <w:pPr>
              <w:spacing w:after="0" w:line="240" w:lineRule="auto"/>
            </w:pPr>
            <w:r>
              <w:rPr>
                <w:sz w:val="15"/>
              </w:rPr>
            </w:r>
            <w:r>
              <w:rPr>
                <w:sz w:val="15"/>
              </w:rPr>
              <w:t>CSV/JSON</w:t>
            </w:r>
          </w:p>
        </w:tc>
        <w:tc>
          <w:tcPr>
            <w:tcW w:type="dxa" w:w="1646"/>
            <w:vAlign w:val="center"/>
          </w:tcPr>
          <w:p>
            <w:pPr>
              <w:spacing w:after="0" w:line="240" w:lineRule="auto"/>
            </w:pPr>
            <w:r>
              <w:rPr>
                <w:sz w:val="15"/>
              </w:rPr>
            </w:r>
            <w:r>
              <w:rPr>
                <w:rFonts w:ascii="Liberation Mono" w:hAnsi="Liberation Mono"/>
                <w:color w:val="225E68"/>
                <w:sz w:val="15"/>
              </w:rPr>
              <w:t>system_id</w:t>
            </w:r>
            <w:r>
              <w:rPr>
                <w:sz w:val="15"/>
              </w:rPr>
              <w:t>, interface, metric</w:t>
            </w:r>
          </w:p>
        </w:tc>
        <w:tc>
          <w:tcPr>
            <w:tcW w:type="dxa" w:w="1646"/>
            <w:vAlign w:val="center"/>
          </w:tcPr>
          <w:p>
            <w:pPr>
              <w:spacing w:after="0" w:line="240" w:lineRule="auto"/>
            </w:pPr>
            <w:r>
              <w:rPr>
                <w:sz w:val="15"/>
              </w:rPr>
            </w:r>
            <w:r>
              <w:rPr>
                <w:sz w:val="15"/>
              </w:rPr>
              <w:t>processed full-system result</w:t>
            </w:r>
          </w:p>
        </w:tc>
        <w:tc>
          <w:tcPr>
            <w:tcW w:type="dxa" w:w="1646"/>
            <w:vAlign w:val="center"/>
          </w:tcPr>
          <w:p>
            <w:pPr>
              <w:spacing w:after="0" w:line="240" w:lineRule="auto"/>
            </w:pPr>
            <w:r>
              <w:rPr>
                <w:sz w:val="15"/>
              </w:rPr>
            </w:r>
            <w:r>
              <w:rPr>
                <w:sz w:val="15"/>
              </w:rPr>
              <w:t>reproduction of reported summaries</w:t>
            </w:r>
          </w:p>
        </w:tc>
        <w:tc>
          <w:tcPr>
            <w:tcW w:type="dxa" w:w="1646"/>
            <w:vAlign w:val="center"/>
          </w:tcPr>
          <w:p>
            <w:pPr>
              <w:spacing w:after="0" w:line="240" w:lineRule="auto"/>
            </w:pPr>
            <w:r>
              <w:rPr>
                <w:sz w:val="15"/>
              </w:rPr>
            </w:r>
            <w:r>
              <w:rPr>
                <w:sz w:val="15"/>
              </w:rPr>
              <w:t>cannot be recalculated from reduced XTC</w:t>
            </w:r>
          </w:p>
        </w:tc>
      </w:tr>
      <w:tr>
        <w:trPr>
          <w:cantSplit/>
        </w:trPr>
        <w:tc>
          <w:tcPr>
            <w:tcW w:type="dxa" w:w="1646"/>
            <w:vAlign w:val="center"/>
          </w:tcPr>
          <w:p>
            <w:pPr>
              <w:spacing w:after="0" w:line="240" w:lineRule="auto"/>
            </w:pPr>
            <w:r>
              <w:rPr>
                <w:sz w:val="15"/>
              </w:rPr>
            </w:r>
            <w:r>
              <w:rPr>
                <w:sz w:val="15"/>
              </w:rPr>
              <w:t>Release QC</w:t>
            </w:r>
          </w:p>
        </w:tc>
        <w:tc>
          <w:tcPr>
            <w:tcW w:type="dxa" w:w="1646"/>
            <w:vAlign w:val="center"/>
          </w:tcPr>
          <w:p>
            <w:pPr>
              <w:spacing w:after="0" w:line="240" w:lineRule="auto"/>
            </w:pPr>
            <w:r>
              <w:rPr>
                <w:sz w:val="15"/>
              </w:rPr>
            </w:r>
            <w:r>
              <w:rPr>
                <w:sz w:val="15"/>
              </w:rPr>
              <w:t>CSV/JSON</w:t>
            </w:r>
          </w:p>
        </w:tc>
        <w:tc>
          <w:tcPr>
            <w:tcW w:type="dxa" w:w="1646"/>
            <w:vAlign w:val="center"/>
          </w:tcPr>
          <w:p>
            <w:pPr>
              <w:spacing w:after="0" w:line="240" w:lineRule="auto"/>
            </w:pPr>
            <w:r>
              <w:rPr>
                <w:sz w:val="15"/>
              </w:rPr>
            </w:r>
            <w:r>
              <w:rPr>
                <w:sz w:val="15"/>
              </w:rPr>
              <w:t>system and release replica</w:t>
            </w:r>
          </w:p>
        </w:tc>
        <w:tc>
          <w:tcPr>
            <w:tcW w:type="dxa" w:w="1646"/>
            <w:vAlign w:val="center"/>
          </w:tcPr>
          <w:p>
            <w:pPr>
              <w:spacing w:after="0" w:line="240" w:lineRule="auto"/>
            </w:pPr>
            <w:r>
              <w:rPr>
                <w:sz w:val="15"/>
              </w:rPr>
            </w:r>
            <w:r>
              <w:rPr>
                <w:sz w:val="15"/>
              </w:rPr>
              <w:t>reduced files</w:t>
            </w:r>
          </w:p>
        </w:tc>
        <w:tc>
          <w:tcPr>
            <w:tcW w:type="dxa" w:w="1646"/>
            <w:vAlign w:val="center"/>
          </w:tcPr>
          <w:p>
            <w:pPr>
              <w:spacing w:after="0" w:line="240" w:lineRule="auto"/>
            </w:pPr>
            <w:r>
              <w:rPr>
                <w:sz w:val="15"/>
              </w:rPr>
            </w:r>
            <w:r>
              <w:rPr>
                <w:sz w:val="15"/>
              </w:rPr>
              <w:t>integrity screening</w:t>
            </w:r>
          </w:p>
        </w:tc>
        <w:tc>
          <w:tcPr>
            <w:tcW w:type="dxa" w:w="1646"/>
            <w:vAlign w:val="center"/>
          </w:tcPr>
          <w:p>
            <w:pPr>
              <w:spacing w:after="0" w:line="240" w:lineRule="auto"/>
            </w:pPr>
            <w:r>
              <w:rPr>
                <w:sz w:val="15"/>
              </w:rPr>
            </w:r>
            <w:r>
              <w:rPr>
                <w:sz w:val="15"/>
              </w:rPr>
              <w:t>does not validate unavailable full-system files</w:t>
            </w:r>
          </w:p>
        </w:tc>
      </w:tr>
    </w:tbl>
    <w:p>
      <w:pPr>
        <w:spacing w:after="0"/>
      </w:pPr>
    </w:p>
    <w:p>
      <w:pPr>
        <w:pStyle w:val="Heading1"/>
      </w:pPr>
      <w:r>
        <w:t>Supplementary Table S2. Database-versus-resource claim and data overlap</w:t>
      </w:r>
    </w:p>
    <w:tbl>
      <w:tblPr>
        <w:tblStyle w:val="TableGrid"/>
        <w:tblW w:type="auto" w:w="0"/>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center"/>
            <w:shd w:fill="DCE8EA"/>
          </w:tcPr>
          <w:p>
            <w:pPr>
              <w:spacing w:after="0" w:line="240" w:lineRule="auto"/>
            </w:pPr>
            <w:r>
              <w:rPr>
                <w:b/>
                <w:sz w:val="15"/>
              </w:rPr>
            </w:r>
            <w:r>
              <w:rPr>
                <w:b/>
                <w:sz w:val="15"/>
              </w:rPr>
              <w:t>Topic or artifact</w:t>
            </w:r>
          </w:p>
        </w:tc>
        <w:tc>
          <w:tcPr>
            <w:tcW w:type="dxa" w:w="2469"/>
            <w:vAlign w:val="center"/>
            <w:shd w:fill="DCE8EA"/>
          </w:tcPr>
          <w:p>
            <w:pPr>
              <w:spacing w:after="0" w:line="240" w:lineRule="auto"/>
            </w:pPr>
            <w:r>
              <w:rPr>
                <w:b/>
                <w:sz w:val="15"/>
              </w:rPr>
            </w:r>
            <w:r>
              <w:rPr>
                <w:b/>
                <w:sz w:val="15"/>
              </w:rPr>
              <w:t>Database Data Descriptor</w:t>
            </w:r>
          </w:p>
        </w:tc>
        <w:tc>
          <w:tcPr>
            <w:tcW w:type="dxa" w:w="2469"/>
            <w:vAlign w:val="center"/>
            <w:shd w:fill="DCE8EA"/>
          </w:tcPr>
          <w:p>
            <w:pPr>
              <w:spacing w:after="0" w:line="240" w:lineRule="auto"/>
            </w:pPr>
            <w:r>
              <w:rPr>
                <w:b/>
                <w:sz w:val="15"/>
              </w:rPr>
            </w:r>
            <w:r>
              <w:rPr>
                <w:b/>
                <w:sz w:val="15"/>
              </w:rPr>
              <w:t>Resource-atlas manuscript</w:t>
            </w:r>
          </w:p>
        </w:tc>
        <w:tc>
          <w:tcPr>
            <w:tcW w:type="dxa" w:w="2469"/>
            <w:vAlign w:val="center"/>
            <w:shd w:fill="DCE8EA"/>
          </w:tcPr>
          <w:p>
            <w:pPr>
              <w:spacing w:after="0" w:line="240" w:lineRule="auto"/>
            </w:pPr>
            <w:r>
              <w:rPr>
                <w:b/>
                <w:sz w:val="15"/>
              </w:rPr>
            </w:r>
            <w:r>
              <w:rPr>
                <w:b/>
                <w:sz w:val="15"/>
              </w:rPr>
              <w:t>Permitted overlap and disclosure</w:t>
            </w:r>
          </w:p>
        </w:tc>
      </w:tr>
      <w:tr>
        <w:trPr>
          <w:cantSplit/>
        </w:trPr>
        <w:tc>
          <w:tcPr>
            <w:tcW w:type="dxa" w:w="2469"/>
            <w:vAlign w:val="center"/>
          </w:tcPr>
          <w:p>
            <w:pPr>
              <w:spacing w:after="0" w:line="240" w:lineRule="auto"/>
            </w:pPr>
            <w:r>
              <w:rPr>
                <w:sz w:val="15"/>
              </w:rPr>
            </w:r>
            <w:r>
              <w:rPr>
                <w:sz w:val="15"/>
              </w:rPr>
              <w:t>207-system cohort and 222-record boundary</w:t>
            </w:r>
          </w:p>
        </w:tc>
        <w:tc>
          <w:tcPr>
            <w:tcW w:type="dxa" w:w="2469"/>
            <w:vAlign w:val="center"/>
          </w:tcPr>
          <w:p>
            <w:pPr>
              <w:spacing w:after="0" w:line="240" w:lineRule="auto"/>
            </w:pPr>
            <w:r>
              <w:rPr>
                <w:sz w:val="15"/>
              </w:rPr>
            </w:r>
            <w:r>
              <w:rPr>
                <w:sz w:val="15"/>
              </w:rPr>
              <w:t>owns definition, exclusions and identifiers</w:t>
            </w:r>
          </w:p>
        </w:tc>
        <w:tc>
          <w:tcPr>
            <w:tcW w:type="dxa" w:w="2469"/>
            <w:vAlign w:val="center"/>
          </w:tcPr>
          <w:p>
            <w:pPr>
              <w:spacing w:after="0" w:line="240" w:lineRule="auto"/>
            </w:pPr>
            <w:r>
              <w:rPr>
                <w:sz w:val="15"/>
              </w:rPr>
            </w:r>
            <w:r>
              <w:rPr>
                <w:sz w:val="15"/>
              </w:rPr>
              <w:t>may cite as analysis cohort</w:t>
            </w:r>
          </w:p>
        </w:tc>
        <w:tc>
          <w:tcPr>
            <w:tcW w:type="dxa" w:w="2469"/>
            <w:vAlign w:val="center"/>
          </w:tcPr>
          <w:p>
            <w:pPr>
              <w:spacing w:after="0" w:line="240" w:lineRule="auto"/>
            </w:pPr>
            <w:r>
              <w:rPr>
                <w:sz w:val="15"/>
              </w:rPr>
            </w:r>
            <w:r>
              <w:rPr>
                <w:sz w:val="15"/>
              </w:rPr>
              <w:t>exact metadata may be reused with citation</w:t>
            </w:r>
          </w:p>
        </w:tc>
      </w:tr>
      <w:tr>
        <w:trPr>
          <w:cantSplit/>
        </w:trPr>
        <w:tc>
          <w:tcPr>
            <w:tcW w:type="dxa" w:w="2469"/>
            <w:vAlign w:val="center"/>
          </w:tcPr>
          <w:p>
            <w:pPr>
              <w:spacing w:after="0" w:line="240" w:lineRule="auto"/>
            </w:pPr>
            <w:r>
              <w:rPr>
                <w:sz w:val="15"/>
              </w:rPr>
            </w:r>
            <w:r>
              <w:rPr>
                <w:sz w:val="15"/>
              </w:rPr>
              <w:t>Simulation construction and protocols</w:t>
            </w:r>
          </w:p>
        </w:tc>
        <w:tc>
          <w:tcPr>
            <w:tcW w:type="dxa" w:w="2469"/>
            <w:vAlign w:val="center"/>
          </w:tcPr>
          <w:p>
            <w:pPr>
              <w:spacing w:after="0" w:line="240" w:lineRule="auto"/>
            </w:pPr>
            <w:r>
              <w:rPr>
                <w:sz w:val="15"/>
              </w:rPr>
            </w:r>
            <w:r>
              <w:rPr>
                <w:sz w:val="15"/>
              </w:rPr>
              <w:t>owns provenance and limitations</w:t>
            </w:r>
          </w:p>
        </w:tc>
        <w:tc>
          <w:tcPr>
            <w:tcW w:type="dxa" w:w="2469"/>
            <w:vAlign w:val="center"/>
          </w:tcPr>
          <w:p>
            <w:pPr>
              <w:spacing w:after="0" w:line="240" w:lineRule="auto"/>
            </w:pPr>
            <w:r>
              <w:rPr>
                <w:sz w:val="15"/>
              </w:rPr>
            </w:r>
            <w:r>
              <w:rPr>
                <w:sz w:val="15"/>
              </w:rPr>
              <w:t>may summarize only as input provenance</w:t>
            </w:r>
          </w:p>
        </w:tc>
        <w:tc>
          <w:tcPr>
            <w:tcW w:type="dxa" w:w="2469"/>
            <w:vAlign w:val="center"/>
          </w:tcPr>
          <w:p>
            <w:pPr>
              <w:spacing w:after="0" w:line="240" w:lineRule="auto"/>
            </w:pPr>
            <w:r>
              <w:rPr>
                <w:sz w:val="15"/>
              </w:rPr>
            </w:r>
            <w:r>
              <w:rPr>
                <w:sz w:val="15"/>
              </w:rPr>
              <w:t>methods overlap must be disclosed</w:t>
            </w:r>
          </w:p>
        </w:tc>
      </w:tr>
      <w:tr>
        <w:trPr>
          <w:cantSplit/>
        </w:trPr>
        <w:tc>
          <w:tcPr>
            <w:tcW w:type="dxa" w:w="2469"/>
            <w:vAlign w:val="center"/>
          </w:tcPr>
          <w:p>
            <w:pPr>
              <w:spacing w:after="0" w:line="240" w:lineRule="auto"/>
            </w:pPr>
            <w:r>
              <w:rPr>
                <w:sz w:val="15"/>
              </w:rPr>
            </w:r>
            <w:r>
              <w:rPr>
                <w:sz w:val="15"/>
              </w:rPr>
              <w:t>Three computational repeats</w:t>
            </w:r>
          </w:p>
        </w:tc>
        <w:tc>
          <w:tcPr>
            <w:tcW w:type="dxa" w:w="2469"/>
            <w:vAlign w:val="center"/>
          </w:tcPr>
          <w:p>
            <w:pPr>
              <w:spacing w:after="0" w:line="240" w:lineRule="auto"/>
            </w:pPr>
            <w:r>
              <w:rPr>
                <w:sz w:val="15"/>
              </w:rPr>
            </w:r>
            <w:r>
              <w:rPr>
                <w:sz w:val="15"/>
              </w:rPr>
              <w:t>owns record definition, sampling truth and QC</w:t>
            </w:r>
          </w:p>
        </w:tc>
        <w:tc>
          <w:tcPr>
            <w:tcW w:type="dxa" w:w="2469"/>
            <w:vAlign w:val="center"/>
          </w:tcPr>
          <w:p>
            <w:pPr>
              <w:spacing w:after="0" w:line="240" w:lineRule="auto"/>
            </w:pPr>
            <w:r>
              <w:rPr>
                <w:sz w:val="15"/>
              </w:rPr>
            </w:r>
            <w:r>
              <w:rPr>
                <w:sz w:val="15"/>
              </w:rPr>
              <w:t>may use as analysis inputs</w:t>
            </w:r>
          </w:p>
        </w:tc>
        <w:tc>
          <w:tcPr>
            <w:tcW w:type="dxa" w:w="2469"/>
            <w:vAlign w:val="center"/>
          </w:tcPr>
          <w:p>
            <w:pPr>
              <w:spacing w:after="0" w:line="240" w:lineRule="auto"/>
            </w:pPr>
            <w:r>
              <w:rPr>
                <w:sz w:val="15"/>
              </w:rPr>
            </w:r>
            <w:r>
              <w:rPr>
                <w:sz w:val="15"/>
              </w:rPr>
              <w:t>must not call biological replicates</w:t>
            </w:r>
          </w:p>
        </w:tc>
      </w:tr>
      <w:tr>
        <w:trPr>
          <w:cantSplit/>
        </w:trPr>
        <w:tc>
          <w:tcPr>
            <w:tcW w:type="dxa" w:w="2469"/>
            <w:vAlign w:val="center"/>
          </w:tcPr>
          <w:p>
            <w:pPr>
              <w:spacing w:after="0" w:line="240" w:lineRule="auto"/>
            </w:pPr>
            <w:r>
              <w:rPr>
                <w:sz w:val="15"/>
              </w:rPr>
            </w:r>
            <w:r>
              <w:rPr>
                <w:sz w:val="15"/>
              </w:rPr>
              <w:t>Reduced PDB/XTC release</w:t>
            </w:r>
          </w:p>
        </w:tc>
        <w:tc>
          <w:tcPr>
            <w:tcW w:type="dxa" w:w="2469"/>
            <w:vAlign w:val="center"/>
          </w:tcPr>
          <w:p>
            <w:pPr>
              <w:spacing w:after="0" w:line="240" w:lineRule="auto"/>
            </w:pPr>
            <w:r>
              <w:rPr>
                <w:sz w:val="15"/>
              </w:rPr>
            </w:r>
            <w:r>
              <w:rPr>
                <w:sz w:val="15"/>
              </w:rPr>
              <w:t>owns archive, checksums and reuse</w:t>
            </w:r>
          </w:p>
        </w:tc>
        <w:tc>
          <w:tcPr>
            <w:tcW w:type="dxa" w:w="2469"/>
            <w:vAlign w:val="center"/>
          </w:tcPr>
          <w:p>
            <w:pPr>
              <w:spacing w:after="0" w:line="240" w:lineRule="auto"/>
            </w:pPr>
            <w:r>
              <w:rPr>
                <w:sz w:val="15"/>
              </w:rPr>
            </w:r>
            <w:r>
              <w:rPr>
                <w:sz w:val="15"/>
              </w:rPr>
              <w:t>may link to data</w:t>
            </w:r>
          </w:p>
        </w:tc>
        <w:tc>
          <w:tcPr>
            <w:tcW w:type="dxa" w:w="2469"/>
            <w:vAlign w:val="center"/>
          </w:tcPr>
          <w:p>
            <w:pPr>
              <w:spacing w:after="0" w:line="240" w:lineRule="auto"/>
            </w:pPr>
            <w:r>
              <w:rPr>
                <w:sz w:val="15"/>
              </w:rPr>
            </w:r>
            <w:r>
              <w:rPr>
                <w:sz w:val="15"/>
              </w:rPr>
              <w:t>no full-system claim</w:t>
            </w:r>
          </w:p>
        </w:tc>
      </w:tr>
      <w:tr>
        <w:trPr>
          <w:cantSplit/>
        </w:trPr>
        <w:tc>
          <w:tcPr>
            <w:tcW w:type="dxa" w:w="2469"/>
            <w:vAlign w:val="center"/>
          </w:tcPr>
          <w:p>
            <w:pPr>
              <w:spacing w:after="0" w:line="240" w:lineRule="auto"/>
            </w:pPr>
            <w:r>
              <w:rPr>
                <w:sz w:val="15"/>
              </w:rPr>
            </w:r>
            <w:r>
              <w:rPr>
                <w:sz w:val="15"/>
              </w:rPr>
              <w:t>Pocket calculation method</w:t>
            </w:r>
          </w:p>
        </w:tc>
        <w:tc>
          <w:tcPr>
            <w:tcW w:type="dxa" w:w="2469"/>
            <w:vAlign w:val="center"/>
          </w:tcPr>
          <w:p>
            <w:pPr>
              <w:spacing w:after="0" w:line="240" w:lineRule="auto"/>
            </w:pPr>
            <w:r>
              <w:rPr>
                <w:sz w:val="15"/>
              </w:rPr>
            </w:r>
            <w:r>
              <w:rPr>
                <w:sz w:val="15"/>
              </w:rPr>
              <w:t>owns limited method and positive control</w:t>
            </w:r>
          </w:p>
        </w:tc>
        <w:tc>
          <w:tcPr>
            <w:tcW w:type="dxa" w:w="2469"/>
            <w:vAlign w:val="center"/>
          </w:tcPr>
          <w:p>
            <w:pPr>
              <w:spacing w:after="0" w:line="240" w:lineRule="auto"/>
            </w:pPr>
            <w:r>
              <w:rPr>
                <w:sz w:val="15"/>
              </w:rPr>
            </w:r>
            <w:r>
              <w:rPr>
                <w:sz w:val="15"/>
              </w:rPr>
              <w:t>may reuse method</w:t>
            </w:r>
          </w:p>
        </w:tc>
        <w:tc>
          <w:tcPr>
            <w:tcW w:type="dxa" w:w="2469"/>
            <w:vAlign w:val="center"/>
          </w:tcPr>
          <w:p>
            <w:pPr>
              <w:spacing w:after="0" w:line="240" w:lineRule="auto"/>
            </w:pPr>
            <w:r>
              <w:rPr>
                <w:sz w:val="15"/>
              </w:rPr>
            </w:r>
            <w:r>
              <w:rPr>
                <w:sz w:val="15"/>
              </w:rPr>
              <w:t>shared processed inputs disclosed</w:t>
            </w:r>
          </w:p>
        </w:tc>
      </w:tr>
      <w:tr>
        <w:trPr>
          <w:cantSplit/>
        </w:trPr>
        <w:tc>
          <w:tcPr>
            <w:tcW w:type="dxa" w:w="2469"/>
            <w:vAlign w:val="center"/>
          </w:tcPr>
          <w:p>
            <w:pPr>
              <w:spacing w:after="0" w:line="240" w:lineRule="auto"/>
            </w:pPr>
            <w:r>
              <w:rPr>
                <w:sz w:val="15"/>
              </w:rPr>
            </w:r>
            <w:r>
              <w:rPr>
                <w:sz w:val="15"/>
              </w:rPr>
              <w:t>2,149 pockets; 205 detected + 2 zero</w:t>
            </w:r>
          </w:p>
        </w:tc>
        <w:tc>
          <w:tcPr>
            <w:tcW w:type="dxa" w:w="2469"/>
            <w:vAlign w:val="center"/>
          </w:tcPr>
          <w:p>
            <w:pPr>
              <w:spacing w:after="0" w:line="240" w:lineRule="auto"/>
            </w:pPr>
            <w:r>
              <w:rPr>
                <w:sz w:val="15"/>
              </w:rPr>
            </w:r>
            <w:r>
              <w:rPr>
                <w:sz w:val="15"/>
              </w:rPr>
              <w:t>owns completeness accounting</w:t>
            </w:r>
          </w:p>
        </w:tc>
        <w:tc>
          <w:tcPr>
            <w:tcW w:type="dxa" w:w="2469"/>
            <w:vAlign w:val="center"/>
          </w:tcPr>
          <w:p>
            <w:pPr>
              <w:spacing w:after="0" w:line="240" w:lineRule="auto"/>
            </w:pPr>
            <w:r>
              <w:rPr>
                <w:sz w:val="15"/>
              </w:rPr>
            </w:r>
            <w:r>
              <w:rPr>
                <w:sz w:val="15"/>
              </w:rPr>
              <w:t>may use as atlas input</w:t>
            </w:r>
          </w:p>
        </w:tc>
        <w:tc>
          <w:tcPr>
            <w:tcW w:type="dxa" w:w="2469"/>
            <w:vAlign w:val="center"/>
          </w:tcPr>
          <w:p>
            <w:pPr>
              <w:spacing w:after="0" w:line="240" w:lineRule="auto"/>
            </w:pPr>
            <w:r>
              <w:rPr>
                <w:sz w:val="15"/>
              </w:rPr>
            </w:r>
            <w:r>
              <w:rPr>
                <w:sz w:val="15"/>
              </w:rPr>
              <w:t>database paper does not rank or interpret</w:t>
            </w:r>
          </w:p>
        </w:tc>
      </w:tr>
      <w:tr>
        <w:trPr>
          <w:cantSplit/>
        </w:trPr>
        <w:tc>
          <w:tcPr>
            <w:tcW w:type="dxa" w:w="2469"/>
            <w:vAlign w:val="center"/>
          </w:tcPr>
          <w:p>
            <w:pPr>
              <w:spacing w:after="0" w:line="240" w:lineRule="auto"/>
            </w:pPr>
            <w:r>
              <w:rPr>
                <w:sz w:val="15"/>
              </w:rPr>
            </w:r>
            <w:r>
              <w:rPr>
                <w:sz w:val="15"/>
              </w:rPr>
              <w:t>Orthosteric recovery 49/58</w:t>
            </w:r>
          </w:p>
        </w:tc>
        <w:tc>
          <w:tcPr>
            <w:tcW w:type="dxa" w:w="2469"/>
            <w:vAlign w:val="center"/>
          </w:tcPr>
          <w:p>
            <w:pPr>
              <w:spacing w:after="0" w:line="240" w:lineRule="auto"/>
            </w:pPr>
            <w:r>
              <w:rPr>
                <w:sz w:val="15"/>
              </w:rPr>
            </w:r>
            <w:r>
              <w:rPr>
                <w:sz w:val="15"/>
              </w:rPr>
              <w:t>owns technical positive control</w:t>
            </w:r>
          </w:p>
        </w:tc>
        <w:tc>
          <w:tcPr>
            <w:tcW w:type="dxa" w:w="2469"/>
            <w:vAlign w:val="center"/>
          </w:tcPr>
          <w:p>
            <w:pPr>
              <w:spacing w:after="0" w:line="240" w:lineRule="auto"/>
            </w:pPr>
            <w:r>
              <w:rPr>
                <w:sz w:val="15"/>
              </w:rPr>
            </w:r>
            <w:r>
              <w:rPr>
                <w:sz w:val="15"/>
              </w:rPr>
              <w:t>may cite validation</w:t>
            </w:r>
          </w:p>
        </w:tc>
        <w:tc>
          <w:tcPr>
            <w:tcW w:type="dxa" w:w="2469"/>
            <w:vAlign w:val="center"/>
          </w:tcPr>
          <w:p>
            <w:pPr>
              <w:spacing w:after="0" w:line="240" w:lineRule="auto"/>
            </w:pPr>
            <w:r>
              <w:rPr>
                <w:sz w:val="15"/>
              </w:rPr>
            </w:r>
            <w:r>
              <w:rPr>
                <w:sz w:val="15"/>
              </w:rPr>
              <w:t>no druggability conclusion</w:t>
            </w:r>
          </w:p>
        </w:tc>
      </w:tr>
      <w:tr>
        <w:trPr>
          <w:cantSplit/>
        </w:trPr>
        <w:tc>
          <w:tcPr>
            <w:tcW w:type="dxa" w:w="2469"/>
            <w:vAlign w:val="center"/>
          </w:tcPr>
          <w:p>
            <w:pPr>
              <w:spacing w:after="0" w:line="240" w:lineRule="auto"/>
            </w:pPr>
            <w:r>
              <w:rPr>
                <w:sz w:val="15"/>
              </w:rPr>
            </w:r>
            <w:r>
              <w:rPr>
                <w:sz w:val="15"/>
              </w:rPr>
              <w:t>Recurrent pocket clusters and rankings</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owns</w:t>
            </w:r>
          </w:p>
        </w:tc>
        <w:tc>
          <w:tcPr>
            <w:tcW w:type="dxa" w:w="2469"/>
            <w:vAlign w:val="center"/>
          </w:tcPr>
          <w:p>
            <w:pPr>
              <w:spacing w:after="0" w:line="240" w:lineRule="auto"/>
            </w:pPr>
            <w:r>
              <w:rPr>
                <w:sz w:val="15"/>
              </w:rPr>
            </w:r>
            <w:r>
              <w:rPr>
                <w:sz w:val="15"/>
              </w:rPr>
              <w:t>no main-text or figure overlap</w:t>
            </w:r>
          </w:p>
        </w:tc>
      </w:tr>
      <w:tr>
        <w:trPr>
          <w:cantSplit/>
        </w:trPr>
        <w:tc>
          <w:tcPr>
            <w:tcW w:type="dxa" w:w="2469"/>
            <w:vAlign w:val="center"/>
          </w:tcPr>
          <w:p>
            <w:pPr>
              <w:spacing w:after="0" w:line="240" w:lineRule="auto"/>
            </w:pPr>
            <w:r>
              <w:rPr>
                <w:sz w:val="15"/>
              </w:rPr>
            </w:r>
            <w:r>
              <w:rPr>
                <w:sz w:val="15"/>
              </w:rPr>
              <w:t>Sixty-five pocket clusters</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owns</w:t>
            </w:r>
          </w:p>
        </w:tc>
        <w:tc>
          <w:tcPr>
            <w:tcW w:type="dxa" w:w="2469"/>
            <w:vAlign w:val="center"/>
          </w:tcPr>
          <w:p>
            <w:pPr>
              <w:spacing w:after="0" w:line="240" w:lineRule="auto"/>
            </w:pPr>
            <w:r>
              <w:rPr>
                <w:sz w:val="15"/>
              </w:rPr>
            </w:r>
            <w:r>
              <w:rPr>
                <w:sz w:val="15"/>
              </w:rPr>
              <w:t>absent from database figures and headlines</w:t>
            </w:r>
          </w:p>
        </w:tc>
      </w:tr>
      <w:tr>
        <w:trPr>
          <w:cantSplit/>
        </w:trPr>
        <w:tc>
          <w:tcPr>
            <w:tcW w:type="dxa" w:w="2469"/>
            <w:vAlign w:val="center"/>
          </w:tcPr>
          <w:p>
            <w:pPr>
              <w:spacing w:after="0" w:line="240" w:lineRule="auto"/>
            </w:pPr>
            <w:r>
              <w:rPr>
                <w:sz w:val="15"/>
              </w:rPr>
            </w:r>
            <w:r>
              <w:rPr>
                <w:sz w:val="15"/>
              </w:rPr>
              <w:t>C7–Gq enrichment</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owns</w:t>
            </w:r>
          </w:p>
        </w:tc>
        <w:tc>
          <w:tcPr>
            <w:tcW w:type="dxa" w:w="2469"/>
            <w:vAlign w:val="center"/>
          </w:tcPr>
          <w:p>
            <w:pPr>
              <w:spacing w:after="0" w:line="240" w:lineRule="auto"/>
            </w:pPr>
            <w:r>
              <w:rPr>
                <w:sz w:val="15"/>
              </w:rPr>
            </w:r>
            <w:r>
              <w:rPr>
                <w:sz w:val="15"/>
              </w:rPr>
              <w:t>absent</w:t>
            </w:r>
          </w:p>
        </w:tc>
      </w:tr>
      <w:tr>
        <w:trPr>
          <w:cantSplit/>
        </w:trPr>
        <w:tc>
          <w:tcPr>
            <w:tcW w:type="dxa" w:w="2469"/>
            <w:vAlign w:val="center"/>
          </w:tcPr>
          <w:p>
            <w:pPr>
              <w:spacing w:after="0" w:line="240" w:lineRule="auto"/>
            </w:pPr>
            <w:r>
              <w:rPr>
                <w:sz w:val="15"/>
              </w:rPr>
            </w:r>
            <w:r>
              <w:rPr>
                <w:sz w:val="15"/>
              </w:rPr>
              <w:t>Partner-associated pocket changes</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owns</w:t>
            </w:r>
          </w:p>
        </w:tc>
        <w:tc>
          <w:tcPr>
            <w:tcW w:type="dxa" w:w="2469"/>
            <w:vAlign w:val="center"/>
          </w:tcPr>
          <w:p>
            <w:pPr>
              <w:spacing w:after="0" w:line="240" w:lineRule="auto"/>
            </w:pPr>
            <w:r>
              <w:rPr>
                <w:sz w:val="15"/>
              </w:rPr>
            </w:r>
            <w:r>
              <w:rPr>
                <w:sz w:val="15"/>
              </w:rPr>
              <w:t>absent</w:t>
            </w:r>
          </w:p>
        </w:tc>
      </w:tr>
      <w:tr>
        <w:trPr>
          <w:cantSplit/>
        </w:trPr>
        <w:tc>
          <w:tcPr>
            <w:tcW w:type="dxa" w:w="2469"/>
            <w:vAlign w:val="center"/>
          </w:tcPr>
          <w:p>
            <w:pPr>
              <w:spacing w:after="0" w:line="240" w:lineRule="auto"/>
            </w:pPr>
            <w:r>
              <w:rPr>
                <w:sz w:val="15"/>
              </w:rPr>
            </w:r>
            <w:r>
              <w:rPr>
                <w:sz w:val="15"/>
              </w:rPr>
              <w:t>Gateway biological distributions</w:t>
            </w:r>
          </w:p>
        </w:tc>
        <w:tc>
          <w:tcPr>
            <w:tcW w:type="dxa" w:w="2469"/>
            <w:vAlign w:val="center"/>
          </w:tcPr>
          <w:p>
            <w:pPr>
              <w:spacing w:after="0" w:line="240" w:lineRule="auto"/>
            </w:pPr>
            <w:r>
              <w:rPr>
                <w:sz w:val="15"/>
              </w:rPr>
            </w:r>
            <w:r>
              <w:rPr>
                <w:sz w:val="15"/>
              </w:rPr>
              <w:t>method/intermediate only; no main figure</w:t>
            </w:r>
          </w:p>
        </w:tc>
        <w:tc>
          <w:tcPr>
            <w:tcW w:type="dxa" w:w="2469"/>
            <w:vAlign w:val="center"/>
          </w:tcPr>
          <w:p>
            <w:pPr>
              <w:spacing w:after="0" w:line="240" w:lineRule="auto"/>
            </w:pPr>
            <w:r>
              <w:rPr>
                <w:sz w:val="15"/>
              </w:rPr>
            </w:r>
            <w:r>
              <w:rPr>
                <w:sz w:val="15"/>
              </w:rPr>
              <w:t>owns biological comparison</w:t>
            </w:r>
          </w:p>
        </w:tc>
        <w:tc>
          <w:tcPr>
            <w:tcW w:type="dxa" w:w="2469"/>
            <w:vAlign w:val="center"/>
          </w:tcPr>
          <w:p>
            <w:pPr>
              <w:spacing w:after="0" w:line="240" w:lineRule="auto"/>
            </w:pPr>
            <w:r>
              <w:rPr>
                <w:sz w:val="15"/>
              </w:rPr>
            </w:r>
            <w:r>
              <w:rPr>
                <w:sz w:val="15"/>
              </w:rPr>
              <w:t>S6 shared as disclosed input</w:t>
            </w:r>
          </w:p>
        </w:tc>
      </w:tr>
      <w:tr>
        <w:trPr>
          <w:cantSplit/>
        </w:trPr>
        <w:tc>
          <w:tcPr>
            <w:tcW w:type="dxa" w:w="2469"/>
            <w:vAlign w:val="center"/>
          </w:tcPr>
          <w:p>
            <w:pPr>
              <w:spacing w:after="0" w:line="240" w:lineRule="auto"/>
            </w:pPr>
            <w:r>
              <w:rPr>
                <w:sz w:val="15"/>
              </w:rPr>
            </w:r>
            <w:r>
              <w:rPr>
                <w:sz w:val="15"/>
              </w:rPr>
              <w:t>Gateway biological interpretation</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owns</w:t>
            </w:r>
          </w:p>
        </w:tc>
        <w:tc>
          <w:tcPr>
            <w:tcW w:type="dxa" w:w="2469"/>
            <w:vAlign w:val="center"/>
          </w:tcPr>
          <w:p>
            <w:pPr>
              <w:spacing w:after="0" w:line="240" w:lineRule="auto"/>
            </w:pPr>
            <w:r>
              <w:rPr>
                <w:sz w:val="15"/>
              </w:rPr>
            </w:r>
            <w:r>
              <w:rPr>
                <w:sz w:val="15"/>
              </w:rPr>
              <w:t>absent</w:t>
            </w:r>
          </w:p>
        </w:tc>
      </w:tr>
      <w:tr>
        <w:trPr>
          <w:cantSplit/>
        </w:trPr>
        <w:tc>
          <w:tcPr>
            <w:tcW w:type="dxa" w:w="2469"/>
            <w:vAlign w:val="center"/>
          </w:tcPr>
          <w:p>
            <w:pPr>
              <w:spacing w:after="0" w:line="240" w:lineRule="auto"/>
            </w:pPr>
            <w:r>
              <w:rPr>
                <w:sz w:val="15"/>
              </w:rPr>
            </w:r>
            <w:r>
              <w:rPr>
                <w:sz w:val="15"/>
              </w:rPr>
              <w:t>α5 or family-selectivity analyses</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owns</w:t>
            </w:r>
          </w:p>
        </w:tc>
        <w:tc>
          <w:tcPr>
            <w:tcW w:type="dxa" w:w="2469"/>
            <w:vAlign w:val="center"/>
          </w:tcPr>
          <w:p>
            <w:pPr>
              <w:spacing w:after="0" w:line="240" w:lineRule="auto"/>
            </w:pPr>
            <w:r>
              <w:rPr>
                <w:sz w:val="15"/>
              </w:rPr>
            </w:r>
            <w:r>
              <w:rPr>
                <w:sz w:val="15"/>
              </w:rPr>
              <w:t>absent</w:t>
            </w:r>
          </w:p>
        </w:tc>
      </w:tr>
      <w:tr>
        <w:trPr>
          <w:cantSplit/>
        </w:trPr>
        <w:tc>
          <w:tcPr>
            <w:tcW w:type="dxa" w:w="2469"/>
            <w:vAlign w:val="center"/>
          </w:tcPr>
          <w:p>
            <w:pPr>
              <w:spacing w:after="0" w:line="240" w:lineRule="auto"/>
            </w:pPr>
            <w:r>
              <w:rPr>
                <w:sz w:val="15"/>
              </w:rPr>
            </w:r>
            <w:r>
              <w:rPr>
                <w:sz w:val="15"/>
              </w:rPr>
              <w:t>Mechanistic or druggability conclusions</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owns</w:t>
            </w:r>
          </w:p>
        </w:tc>
        <w:tc>
          <w:tcPr>
            <w:tcW w:type="dxa" w:w="2469"/>
            <w:vAlign w:val="center"/>
          </w:tcPr>
          <w:p>
            <w:pPr>
              <w:spacing w:after="0" w:line="240" w:lineRule="auto"/>
            </w:pPr>
            <w:r>
              <w:rPr>
                <w:sz w:val="15"/>
              </w:rPr>
            </w:r>
            <w:r>
              <w:rPr>
                <w:sz w:val="15"/>
              </w:rPr>
              <w:t>absent</w:t>
            </w:r>
          </w:p>
        </w:tc>
      </w:tr>
      <w:tr>
        <w:trPr>
          <w:cantSplit/>
        </w:trPr>
        <w:tc>
          <w:tcPr>
            <w:tcW w:type="dxa" w:w="2469"/>
            <w:vAlign w:val="center"/>
          </w:tcPr>
          <w:p>
            <w:pPr>
              <w:spacing w:after="0" w:line="240" w:lineRule="auto"/>
            </w:pPr>
            <w:r>
              <w:rPr>
                <w:sz w:val="15"/>
              </w:rPr>
            </w:r>
            <w:r>
              <w:rPr>
                <w:sz w:val="15"/>
              </w:rPr>
              <w:t>Learned models, predictions and BRET</w:t>
            </w:r>
          </w:p>
        </w:tc>
        <w:tc>
          <w:tcPr>
            <w:tcW w:type="dxa" w:w="2469"/>
            <w:vAlign w:val="center"/>
          </w:tcPr>
          <w:p>
            <w:pPr>
              <w:spacing w:after="0" w:line="240" w:lineRule="auto"/>
            </w:pPr>
            <w:r>
              <w:rPr>
                <w:sz w:val="15"/>
              </w:rPr>
            </w:r>
            <w:r>
              <w:rPr>
                <w:sz w:val="15"/>
              </w:rPr>
              <w:t>excluded</w:t>
            </w:r>
          </w:p>
        </w:tc>
        <w:tc>
          <w:tcPr>
            <w:tcW w:type="dxa" w:w="2469"/>
            <w:vAlign w:val="center"/>
          </w:tcPr>
          <w:p>
            <w:pPr>
              <w:spacing w:after="0" w:line="240" w:lineRule="auto"/>
            </w:pPr>
            <w:r>
              <w:rPr>
                <w:sz w:val="15"/>
              </w:rPr>
            </w:r>
            <w:r>
              <w:rPr>
                <w:sz w:val="15"/>
              </w:rPr>
              <w:t>excluded from resource paper if reserved for AI study</w:t>
            </w:r>
          </w:p>
        </w:tc>
        <w:tc>
          <w:tcPr>
            <w:tcW w:type="dxa" w:w="2469"/>
            <w:vAlign w:val="center"/>
          </w:tcPr>
          <w:p>
            <w:pPr>
              <w:spacing w:after="0" w:line="240" w:lineRule="auto"/>
            </w:pPr>
            <w:r>
              <w:rPr>
                <w:sz w:val="15"/>
              </w:rPr>
            </w:r>
            <w:r>
              <w:rPr>
                <w:sz w:val="15"/>
              </w:rPr>
              <w:t>no overlap in this descriptor</w:t>
            </w:r>
          </w:p>
        </w:tc>
      </w:tr>
    </w:tbl>
    <w:p>
      <w:pPr>
        <w:spacing w:after="0"/>
      </w:pPr>
    </w:p>
    <w:p>
      <w:pPr>
        <w:pStyle w:val="Heading1"/>
      </w:pPr>
      <w:r>
        <w:t>Supplementary Table S3. Current release and submission gate</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shd w:fill="DCE8EA"/>
          </w:tcPr>
          <w:p>
            <w:pPr>
              <w:spacing w:after="0" w:line="240" w:lineRule="auto"/>
            </w:pPr>
            <w:r>
              <w:rPr>
                <w:b/>
                <w:sz w:val="15"/>
              </w:rPr>
            </w:r>
            <w:r>
              <w:rPr>
                <w:b/>
                <w:sz w:val="15"/>
              </w:rPr>
              <w:t>Requirement</w:t>
            </w:r>
          </w:p>
        </w:tc>
        <w:tc>
          <w:tcPr>
            <w:tcW w:type="dxa" w:w="3293"/>
            <w:vAlign w:val="center"/>
            <w:shd w:fill="DCE8EA"/>
          </w:tcPr>
          <w:p>
            <w:pPr>
              <w:spacing w:after="0" w:line="240" w:lineRule="auto"/>
            </w:pPr>
            <w:r>
              <w:rPr>
                <w:b/>
                <w:sz w:val="15"/>
              </w:rPr>
            </w:r>
            <w:r>
              <w:rPr>
                <w:b/>
                <w:sz w:val="15"/>
              </w:rPr>
              <w:t>Current v12 state</w:t>
            </w:r>
          </w:p>
        </w:tc>
        <w:tc>
          <w:tcPr>
            <w:tcW w:type="dxa" w:w="3293"/>
            <w:vAlign w:val="center"/>
            <w:shd w:fill="DCE8EA"/>
          </w:tcPr>
          <w:p>
            <w:pPr>
              <w:spacing w:after="0" w:line="240" w:lineRule="auto"/>
            </w:pPr>
            <w:r>
              <w:rPr>
                <w:b/>
                <w:sz w:val="15"/>
              </w:rPr>
            </w:r>
            <w:r>
              <w:rPr>
                <w:b/>
                <w:sz w:val="15"/>
              </w:rPr>
              <w:t>Status</w:t>
            </w:r>
          </w:p>
        </w:tc>
      </w:tr>
      <w:tr>
        <w:trPr>
          <w:cantSplit/>
        </w:trPr>
        <w:tc>
          <w:tcPr>
            <w:tcW w:type="dxa" w:w="3293"/>
            <w:vAlign w:val="center"/>
          </w:tcPr>
          <w:p>
            <w:pPr>
              <w:spacing w:after="0" w:line="240" w:lineRule="auto"/>
            </w:pPr>
            <w:r>
              <w:rPr>
                <w:sz w:val="15"/>
              </w:rPr>
            </w:r>
            <w:r>
              <w:rPr>
                <w:sz w:val="15"/>
              </w:rPr>
              <w:t>Final cohort is exactly 207 systems</w:t>
            </w:r>
          </w:p>
        </w:tc>
        <w:tc>
          <w:tcPr>
            <w:tcW w:type="dxa" w:w="3293"/>
            <w:vAlign w:val="center"/>
          </w:tcPr>
          <w:p>
            <w:pPr>
              <w:spacing w:after="0" w:line="240" w:lineRule="auto"/>
            </w:pPr>
            <w:r>
              <w:rPr>
                <w:sz w:val="15"/>
              </w:rPr>
            </w:r>
            <w:r>
              <w:rPr>
                <w:sz w:val="15"/>
              </w:rPr>
              <w:t>machine verified</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Three expected repeats per system</w:t>
            </w:r>
          </w:p>
        </w:tc>
        <w:tc>
          <w:tcPr>
            <w:tcW w:type="dxa" w:w="3293"/>
            <w:vAlign w:val="center"/>
          </w:tcPr>
          <w:p>
            <w:pPr>
              <w:spacing w:after="0" w:line="240" w:lineRule="auto"/>
            </w:pPr>
            <w:r>
              <w:rPr>
                <w:sz w:val="15"/>
              </w:rPr>
            </w:r>
            <w:r>
              <w:rPr>
                <w:sz w:val="15"/>
              </w:rPr>
              <w:t>621-row design ledger</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Exact final-207 portal-reduced audit</w:t>
            </w:r>
          </w:p>
        </w:tc>
        <w:tc>
          <w:tcPr>
            <w:tcW w:type="dxa" w:w="3293"/>
            <w:vAlign w:val="center"/>
          </w:tcPr>
          <w:p>
            <w:pPr>
              <w:spacing w:after="0" w:line="240" w:lineRule="auto"/>
            </w:pPr>
            <w:r>
              <w:rPr>
                <w:sz w:val="15"/>
              </w:rPr>
            </w:r>
            <w:r>
              <w:rPr>
                <w:sz w:val="15"/>
              </w:rPr>
              <w:t xml:space="preserve">207/207 </w:t>
            </w:r>
            <w:r>
              <w:rPr>
                <w:rFonts w:ascii="Liberation Mono" w:hAnsi="Liberation Mono"/>
                <w:color w:val="225E68"/>
                <w:sz w:val="15"/>
              </w:rPr>
              <w:t>OK</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Replica 1 local manifest and full-frame QC</w:t>
            </w:r>
          </w:p>
        </w:tc>
        <w:tc>
          <w:tcPr>
            <w:tcW w:type="dxa" w:w="3293"/>
            <w:vAlign w:val="center"/>
          </w:tcPr>
          <w:p>
            <w:pPr>
              <w:spacing w:after="0" w:line="240" w:lineRule="auto"/>
            </w:pPr>
            <w:r>
              <w:rPr>
                <w:sz w:val="15"/>
              </w:rPr>
            </w:r>
            <w:r>
              <w:rPr>
                <w:sz w:val="15"/>
              </w:rPr>
              <w:t>207/207, passed</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Replica 2 local manifest and full-frame QC</w:t>
            </w:r>
          </w:p>
        </w:tc>
        <w:tc>
          <w:tcPr>
            <w:tcW w:type="dxa" w:w="3293"/>
            <w:vAlign w:val="center"/>
          </w:tcPr>
          <w:p>
            <w:pPr>
              <w:spacing w:after="0" w:line="240" w:lineRule="auto"/>
            </w:pPr>
            <w:r>
              <w:rPr>
                <w:sz w:val="15"/>
              </w:rPr>
            </w:r>
            <w:r>
              <w:rPr>
                <w:sz w:val="15"/>
              </w:rPr>
              <w:t>processing in parallel</w:t>
            </w:r>
          </w:p>
        </w:tc>
        <w:tc>
          <w:tcPr>
            <w:tcW w:type="dxa" w:w="3293"/>
            <w:vAlign w:val="center"/>
          </w:tcPr>
          <w:p>
            <w:pPr>
              <w:spacing w:after="0" w:line="240" w:lineRule="auto"/>
            </w:pPr>
            <w:r>
              <w:rPr>
                <w:sz w:val="15"/>
              </w:rPr>
            </w:r>
            <w:r>
              <w:rPr>
                <w:sz w:val="15"/>
              </w:rPr>
              <w:t>HOLD</w:t>
            </w:r>
          </w:p>
        </w:tc>
      </w:tr>
      <w:tr>
        <w:trPr>
          <w:cantSplit/>
        </w:trPr>
        <w:tc>
          <w:tcPr>
            <w:tcW w:type="dxa" w:w="3293"/>
            <w:vAlign w:val="center"/>
          </w:tcPr>
          <w:p>
            <w:pPr>
              <w:spacing w:after="0" w:line="240" w:lineRule="auto"/>
            </w:pPr>
            <w:r>
              <w:rPr>
                <w:sz w:val="15"/>
              </w:rPr>
            </w:r>
            <w:r>
              <w:rPr>
                <w:sz w:val="15"/>
              </w:rPr>
              <w:t>Replica 3 local manifest and full-frame QC</w:t>
            </w:r>
          </w:p>
        </w:tc>
        <w:tc>
          <w:tcPr>
            <w:tcW w:type="dxa" w:w="3293"/>
            <w:vAlign w:val="center"/>
          </w:tcPr>
          <w:p>
            <w:pPr>
              <w:spacing w:after="0" w:line="240" w:lineRule="auto"/>
            </w:pPr>
            <w:r>
              <w:rPr>
                <w:sz w:val="15"/>
              </w:rPr>
            </w:r>
            <w:r>
              <w:rPr>
                <w:sz w:val="15"/>
              </w:rPr>
              <w:t>207/207, passed</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Three authenticated remote records</w:t>
            </w:r>
          </w:p>
        </w:tc>
        <w:tc>
          <w:tcPr>
            <w:tcW w:type="dxa" w:w="3293"/>
            <w:vAlign w:val="center"/>
          </w:tcPr>
          <w:p>
            <w:pPr>
              <w:spacing w:after="0" w:line="240" w:lineRule="auto"/>
            </w:pPr>
            <w:r>
              <w:rPr>
                <w:sz w:val="15"/>
              </w:rPr>
            </w:r>
            <w:r>
              <w:rPr>
                <w:sz w:val="15"/>
              </w:rPr>
              <w:t>private, restricted, unsubmitted drafts</w:t>
            </w:r>
          </w:p>
        </w:tc>
        <w:tc>
          <w:tcPr>
            <w:tcW w:type="dxa" w:w="3293"/>
            <w:vAlign w:val="center"/>
          </w:tcPr>
          <w:p>
            <w:pPr>
              <w:spacing w:after="0" w:line="240" w:lineRule="auto"/>
            </w:pPr>
            <w:r>
              <w:rPr>
                <w:sz w:val="15"/>
              </w:rPr>
            </w:r>
            <w:r>
              <w:rPr>
                <w:sz w:val="15"/>
              </w:rPr>
              <w:t>HOLD</w:t>
            </w:r>
          </w:p>
        </w:tc>
      </w:tr>
      <w:tr>
        <w:trPr>
          <w:cantSplit/>
        </w:trPr>
        <w:tc>
          <w:tcPr>
            <w:tcW w:type="dxa" w:w="3293"/>
            <w:vAlign w:val="center"/>
          </w:tcPr>
          <w:p>
            <w:pPr>
              <w:spacing w:after="0" w:line="240" w:lineRule="auto"/>
            </w:pPr>
            <w:r>
              <w:rPr>
                <w:sz w:val="15"/>
              </w:rPr>
            </w:r>
            <w:r>
              <w:rPr>
                <w:sz w:val="15"/>
              </w:rPr>
              <w:t>Three unauthenticated DOI resolutions</w:t>
            </w:r>
          </w:p>
        </w:tc>
        <w:tc>
          <w:tcPr>
            <w:tcW w:type="dxa" w:w="3293"/>
            <w:vAlign w:val="center"/>
          </w:tcPr>
          <w:p>
            <w:pPr>
              <w:spacing w:after="0" w:line="240" w:lineRule="auto"/>
            </w:pPr>
            <w:r>
              <w:rPr>
                <w:sz w:val="15"/>
              </w:rPr>
            </w:r>
            <w:r>
              <w:rPr>
                <w:sz w:val="15"/>
              </w:rPr>
              <w:t>not publicly resolvable at audit time</w:t>
            </w:r>
          </w:p>
        </w:tc>
        <w:tc>
          <w:tcPr>
            <w:tcW w:type="dxa" w:w="3293"/>
            <w:vAlign w:val="center"/>
          </w:tcPr>
          <w:p>
            <w:pPr>
              <w:spacing w:after="0" w:line="240" w:lineRule="auto"/>
            </w:pPr>
            <w:r>
              <w:rPr>
                <w:sz w:val="15"/>
              </w:rPr>
            </w:r>
            <w:r>
              <w:rPr>
                <w:sz w:val="15"/>
              </w:rPr>
              <w:t>HOLD</w:t>
            </w:r>
          </w:p>
        </w:tc>
      </w:tr>
      <w:tr>
        <w:trPr>
          <w:cantSplit/>
        </w:trPr>
        <w:tc>
          <w:tcPr>
            <w:tcW w:type="dxa" w:w="3293"/>
            <w:vAlign w:val="center"/>
          </w:tcPr>
          <w:p>
            <w:pPr>
              <w:spacing w:after="0" w:line="240" w:lineRule="auto"/>
            </w:pPr>
            <w:r>
              <w:rPr>
                <w:sz w:val="15"/>
              </w:rPr>
            </w:r>
            <w:r>
              <w:rPr>
                <w:sz w:val="15"/>
              </w:rPr>
              <w:t>Anonymous reviewer access</w:t>
            </w:r>
          </w:p>
        </w:tc>
        <w:tc>
          <w:tcPr>
            <w:tcW w:type="dxa" w:w="3293"/>
            <w:vAlign w:val="center"/>
          </w:tcPr>
          <w:p>
            <w:pPr>
              <w:spacing w:after="0" w:line="240" w:lineRule="auto"/>
            </w:pPr>
            <w:r>
              <w:rPr>
                <w:sz w:val="15"/>
              </w:rPr>
            </w:r>
            <w:r>
              <w:rPr>
                <w:sz w:val="15"/>
              </w:rPr>
              <w:t>not machine verified</w:t>
            </w:r>
          </w:p>
        </w:tc>
        <w:tc>
          <w:tcPr>
            <w:tcW w:type="dxa" w:w="3293"/>
            <w:vAlign w:val="center"/>
          </w:tcPr>
          <w:p>
            <w:pPr>
              <w:spacing w:after="0" w:line="240" w:lineRule="auto"/>
            </w:pPr>
            <w:r>
              <w:rPr>
                <w:sz w:val="15"/>
              </w:rPr>
            </w:r>
            <w:r>
              <w:rPr>
                <w:sz w:val="15"/>
              </w:rPr>
              <w:t>HOLD</w:t>
            </w:r>
          </w:p>
        </w:tc>
      </w:tr>
      <w:tr>
        <w:trPr>
          <w:cantSplit/>
        </w:trPr>
        <w:tc>
          <w:tcPr>
            <w:tcW w:type="dxa" w:w="3293"/>
            <w:vAlign w:val="center"/>
          </w:tcPr>
          <w:p>
            <w:pPr>
              <w:spacing w:after="0" w:line="240" w:lineRule="auto"/>
            </w:pPr>
            <w:r>
              <w:rPr>
                <w:sz w:val="15"/>
              </w:rPr>
            </w:r>
            <w:r>
              <w:rPr>
                <w:sz w:val="15"/>
              </w:rPr>
              <w:t>Reduced-release component scope</w:t>
            </w:r>
          </w:p>
        </w:tc>
        <w:tc>
          <w:tcPr>
            <w:tcW w:type="dxa" w:w="3293"/>
            <w:vAlign w:val="center"/>
          </w:tcPr>
          <w:p>
            <w:pPr>
              <w:spacing w:after="0" w:line="240" w:lineRule="auto"/>
            </w:pPr>
            <w:r>
              <w:rPr>
                <w:sz w:val="15"/>
              </w:rPr>
            </w:r>
            <w:r>
              <w:rPr>
                <w:sz w:val="15"/>
              </w:rPr>
              <w:t>explicitly documented</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Stable full-system molecular access</w:t>
            </w:r>
          </w:p>
        </w:tc>
        <w:tc>
          <w:tcPr>
            <w:tcW w:type="dxa" w:w="3293"/>
            <w:vAlign w:val="center"/>
          </w:tcPr>
          <w:p>
            <w:pPr>
              <w:spacing w:after="0" w:line="240" w:lineRule="auto"/>
            </w:pPr>
            <w:r>
              <w:rPr>
                <w:sz w:val="15"/>
              </w:rPr>
            </w:r>
            <w:r>
              <w:rPr>
                <w:sz w:val="15"/>
              </w:rPr>
              <w:t>absent</w:t>
            </w:r>
          </w:p>
        </w:tc>
        <w:tc>
          <w:tcPr>
            <w:tcW w:type="dxa" w:w="3293"/>
            <w:vAlign w:val="center"/>
          </w:tcPr>
          <w:p>
            <w:pPr>
              <w:spacing w:after="0" w:line="240" w:lineRule="auto"/>
            </w:pPr>
            <w:r>
              <w:rPr>
                <w:sz w:val="15"/>
              </w:rPr>
            </w:r>
            <w:r>
              <w:rPr>
                <w:sz w:val="15"/>
              </w:rPr>
              <w:t>BLOCKED for full-system-only claims</w:t>
            </w:r>
          </w:p>
        </w:tc>
      </w:tr>
      <w:tr>
        <w:trPr>
          <w:cantSplit/>
        </w:trPr>
        <w:tc>
          <w:tcPr>
            <w:tcW w:type="dxa" w:w="3293"/>
            <w:vAlign w:val="center"/>
          </w:tcPr>
          <w:p>
            <w:pPr>
              <w:spacing w:after="0" w:line="240" w:lineRule="auto"/>
            </w:pPr>
            <w:r>
              <w:rPr>
                <w:sz w:val="15"/>
              </w:rPr>
            </w:r>
            <w:r>
              <w:rPr>
                <w:sz w:val="15"/>
              </w:rPr>
              <w:t>Figure source data</w:t>
            </w:r>
          </w:p>
        </w:tc>
        <w:tc>
          <w:tcPr>
            <w:tcW w:type="dxa" w:w="3293"/>
            <w:vAlign w:val="center"/>
          </w:tcPr>
          <w:p>
            <w:pPr>
              <w:spacing w:after="0" w:line="240" w:lineRule="auto"/>
            </w:pPr>
            <w:r>
              <w:rPr>
                <w:sz w:val="15"/>
              </w:rPr>
            </w:r>
            <w:r>
              <w:rPr>
                <w:sz w:val="15"/>
              </w:rPr>
              <w:t>generated for all panels</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Gateway processed intermediates</w:t>
            </w:r>
          </w:p>
        </w:tc>
        <w:tc>
          <w:tcPr>
            <w:tcW w:type="dxa" w:w="3293"/>
            <w:vAlign w:val="center"/>
          </w:tcPr>
          <w:p>
            <w:pPr>
              <w:spacing w:after="0" w:line="240" w:lineRule="auto"/>
            </w:pPr>
            <w:r>
              <w:rPr>
                <w:sz w:val="15"/>
              </w:rPr>
            </w:r>
            <w:r>
              <w:rPr>
                <w:sz w:val="15"/>
              </w:rPr>
              <w:t>S6 generated</w:t>
            </w:r>
          </w:p>
        </w:tc>
        <w:tc>
          <w:tcPr>
            <w:tcW w:type="dxa" w:w="3293"/>
            <w:vAlign w:val="center"/>
          </w:tcPr>
          <w:p>
            <w:pPr>
              <w:spacing w:after="0" w:line="240" w:lineRule="auto"/>
            </w:pPr>
            <w:r>
              <w:rPr>
                <w:sz w:val="15"/>
              </w:rPr>
            </w:r>
            <w:r>
              <w:rPr>
                <w:sz w:val="15"/>
              </w:rPr>
              <w:t>PASS</w:t>
            </w:r>
          </w:p>
        </w:tc>
      </w:tr>
      <w:tr>
        <w:trPr>
          <w:cantSplit/>
        </w:trPr>
        <w:tc>
          <w:tcPr>
            <w:tcW w:type="dxa" w:w="3293"/>
            <w:vAlign w:val="center"/>
          </w:tcPr>
          <w:p>
            <w:pPr>
              <w:spacing w:after="0" w:line="240" w:lineRule="auto"/>
            </w:pPr>
            <w:r>
              <w:rPr>
                <w:sz w:val="15"/>
              </w:rPr>
            </w:r>
            <w:r>
              <w:rPr>
                <w:sz w:val="15"/>
              </w:rPr>
              <w:t>Gateway recalculation from reduced XTC</w:t>
            </w:r>
          </w:p>
        </w:tc>
        <w:tc>
          <w:tcPr>
            <w:tcW w:type="dxa" w:w="3293"/>
            <w:vAlign w:val="center"/>
          </w:tcPr>
          <w:p>
            <w:pPr>
              <w:spacing w:after="0" w:line="240" w:lineRule="auto"/>
            </w:pPr>
            <w:r>
              <w:rPr>
                <w:sz w:val="15"/>
              </w:rPr>
            </w:r>
            <w:r>
              <w:rPr>
                <w:sz w:val="15"/>
              </w:rPr>
              <w:t>impossible by design</w:t>
            </w:r>
          </w:p>
        </w:tc>
        <w:tc>
          <w:tcPr>
            <w:tcW w:type="dxa" w:w="3293"/>
            <w:vAlign w:val="center"/>
          </w:tcPr>
          <w:p>
            <w:pPr>
              <w:spacing w:after="0" w:line="240" w:lineRule="auto"/>
            </w:pPr>
            <w:r>
              <w:rPr>
                <w:sz w:val="15"/>
              </w:rPr>
            </w:r>
            <w:r>
              <w:rPr>
                <w:sz w:val="15"/>
              </w:rPr>
              <w:t>BLOCKED if claimed</w:t>
            </w:r>
          </w:p>
        </w:tc>
      </w:tr>
      <w:tr>
        <w:trPr>
          <w:cantSplit/>
        </w:trPr>
        <w:tc>
          <w:tcPr>
            <w:tcW w:type="dxa" w:w="3293"/>
            <w:vAlign w:val="center"/>
          </w:tcPr>
          <w:p>
            <w:pPr>
              <w:spacing w:after="0" w:line="240" w:lineRule="auto"/>
            </w:pPr>
            <w:r>
              <w:rPr>
                <w:sz w:val="15"/>
              </w:rPr>
            </w:r>
            <w:r>
              <w:rPr>
                <w:sz w:val="15"/>
              </w:rPr>
              <w:t>Paper repository v12 commit/tag</w:t>
            </w:r>
          </w:p>
        </w:tc>
        <w:tc>
          <w:tcPr>
            <w:tcW w:type="dxa" w:w="3293"/>
            <w:vAlign w:val="center"/>
          </w:tcPr>
          <w:p>
            <w:pPr>
              <w:spacing w:after="0" w:line="240" w:lineRule="auto"/>
            </w:pPr>
            <w:r>
              <w:rPr>
                <w:sz w:val="15"/>
              </w:rPr>
            </w:r>
            <w:r>
              <w:rPr>
                <w:sz w:val="15"/>
              </w:rPr>
              <w:t>not yet pushed</w:t>
            </w:r>
          </w:p>
        </w:tc>
        <w:tc>
          <w:tcPr>
            <w:tcW w:type="dxa" w:w="3293"/>
            <w:vAlign w:val="center"/>
          </w:tcPr>
          <w:p>
            <w:pPr>
              <w:spacing w:after="0" w:line="240" w:lineRule="auto"/>
            </w:pPr>
            <w:r>
              <w:rPr>
                <w:sz w:val="15"/>
              </w:rPr>
            </w:r>
            <w:r>
              <w:rPr>
                <w:sz w:val="15"/>
              </w:rPr>
              <w:t>HOLD</w:t>
            </w:r>
          </w:p>
        </w:tc>
      </w:tr>
    </w:tbl>
    <w:p>
      <w:pPr>
        <w:spacing w:after="0"/>
      </w:pPr>
    </w:p>
    <w:p>
      <w:pPr>
        <w:pStyle w:val="Heading1"/>
      </w:pPr>
      <w:r>
        <w:t>Supplementary Data files</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shd w:fill="DCE8EA"/>
          </w:tcPr>
          <w:p>
            <w:pPr>
              <w:spacing w:after="0" w:line="240" w:lineRule="auto"/>
            </w:pPr>
            <w:r>
              <w:rPr>
                <w:b/>
                <w:sz w:val="15"/>
              </w:rPr>
            </w:r>
            <w:r>
              <w:rPr>
                <w:b/>
                <w:sz w:val="15"/>
              </w:rPr>
              <w:t>File</w:t>
            </w:r>
          </w:p>
        </w:tc>
        <w:tc>
          <w:tcPr>
            <w:tcW w:type="dxa" w:w="3293"/>
            <w:vAlign w:val="center"/>
            <w:shd w:fill="DCE8EA"/>
          </w:tcPr>
          <w:p>
            <w:pPr>
              <w:spacing w:after="0" w:line="240" w:lineRule="auto"/>
            </w:pPr>
            <w:r>
              <w:rPr>
                <w:b/>
                <w:sz w:val="15"/>
              </w:rPr>
            </w:r>
            <w:r>
              <w:rPr>
                <w:b/>
                <w:sz w:val="15"/>
              </w:rPr>
              <w:t>Rows expected at v12 build</w:t>
            </w:r>
          </w:p>
        </w:tc>
        <w:tc>
          <w:tcPr>
            <w:tcW w:type="dxa" w:w="3293"/>
            <w:vAlign w:val="center"/>
            <w:shd w:fill="DCE8EA"/>
          </w:tcPr>
          <w:p>
            <w:pPr>
              <w:spacing w:after="0" w:line="240" w:lineRule="auto"/>
            </w:pPr>
            <w:r>
              <w:rPr>
                <w:b/>
                <w:sz w:val="15"/>
              </w:rPr>
            </w:r>
            <w:r>
              <w:rPr>
                <w:b/>
                <w:sz w:val="15"/>
              </w:rPr>
              <w:t>Description</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Supplementary_Data_S1_included_system_inventory.csv</w:t>
            </w:r>
          </w:p>
        </w:tc>
        <w:tc>
          <w:tcPr>
            <w:tcW w:type="dxa" w:w="3293"/>
            <w:vAlign w:val="center"/>
          </w:tcPr>
          <w:p>
            <w:pPr>
              <w:spacing w:after="0" w:line="240" w:lineRule="auto"/>
            </w:pPr>
            <w:r>
              <w:rPr>
                <w:sz w:val="15"/>
              </w:rPr>
            </w:r>
            <w:r>
              <w:rPr>
                <w:sz w:val="15"/>
              </w:rPr>
              <w:t>207</w:t>
            </w:r>
          </w:p>
        </w:tc>
        <w:tc>
          <w:tcPr>
            <w:tcW w:type="dxa" w:w="3293"/>
            <w:vAlign w:val="center"/>
          </w:tcPr>
          <w:p>
            <w:pPr>
              <w:spacing w:after="0" w:line="240" w:lineRule="auto"/>
            </w:pPr>
            <w:r>
              <w:rPr>
                <w:sz w:val="15"/>
              </w:rPr>
            </w:r>
            <w:r>
              <w:rPr>
                <w:sz w:val="15"/>
              </w:rPr>
              <w:t>Frozen included cohort</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Supplementary_Data_S2_release_boundary_exceptions.csv</w:t>
            </w:r>
          </w:p>
        </w:tc>
        <w:tc>
          <w:tcPr>
            <w:tcW w:type="dxa" w:w="3293"/>
            <w:vAlign w:val="center"/>
          </w:tcPr>
          <w:p>
            <w:pPr>
              <w:spacing w:after="0" w:line="240" w:lineRule="auto"/>
            </w:pPr>
            <w:r>
              <w:rPr>
                <w:sz w:val="15"/>
              </w:rPr>
            </w:r>
            <w:r>
              <w:rPr>
                <w:sz w:val="15"/>
              </w:rPr>
              <w:t>15</w:t>
            </w:r>
          </w:p>
        </w:tc>
        <w:tc>
          <w:tcPr>
            <w:tcW w:type="dxa" w:w="3293"/>
            <w:vAlign w:val="center"/>
          </w:tcPr>
          <w:p>
            <w:pPr>
              <w:spacing w:after="0" w:line="240" w:lineRule="auto"/>
            </w:pPr>
            <w:r>
              <w:rPr>
                <w:sz w:val="15"/>
              </w:rPr>
            </w:r>
            <w:r>
              <w:rPr>
                <w:sz w:val="15"/>
              </w:rPr>
              <w:t>Thirteen unresolved and two excluded records</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Supplementary_Data_S3_metadata_dictionary.csv</w:t>
            </w:r>
          </w:p>
        </w:tc>
        <w:tc>
          <w:tcPr>
            <w:tcW w:type="dxa" w:w="3293"/>
            <w:vAlign w:val="center"/>
          </w:tcPr>
          <w:p>
            <w:pPr>
              <w:spacing w:after="0" w:line="240" w:lineRule="auto"/>
            </w:pPr>
            <w:r>
              <w:rPr>
                <w:sz w:val="15"/>
              </w:rPr>
            </w:r>
            <w:r>
              <w:rPr>
                <w:sz w:val="15"/>
              </w:rPr>
              <w:t>variable</w:t>
            </w:r>
          </w:p>
        </w:tc>
        <w:tc>
          <w:tcPr>
            <w:tcW w:type="dxa" w:w="3293"/>
            <w:vAlign w:val="center"/>
          </w:tcPr>
          <w:p>
            <w:pPr>
              <w:spacing w:after="0" w:line="240" w:lineRule="auto"/>
            </w:pPr>
            <w:r>
              <w:rPr>
                <w:sz w:val="15"/>
              </w:rPr>
            </w:r>
            <w:r>
              <w:rPr>
                <w:sz w:val="15"/>
              </w:rPr>
              <w:t>Field-level schema</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Supplementary_Data_S4_reduced_release_manifest.csv</w:t>
            </w:r>
          </w:p>
        </w:tc>
        <w:tc>
          <w:tcPr>
            <w:tcW w:type="dxa" w:w="3293"/>
            <w:vAlign w:val="center"/>
          </w:tcPr>
          <w:p>
            <w:pPr>
              <w:spacing w:after="0" w:line="240" w:lineRule="auto"/>
            </w:pPr>
            <w:r>
              <w:rPr>
                <w:sz w:val="15"/>
              </w:rPr>
            </w:r>
            <w:r>
              <w:rPr>
                <w:sz w:val="15"/>
              </w:rPr>
              <w:t>1,242</w:t>
            </w:r>
          </w:p>
        </w:tc>
        <w:tc>
          <w:tcPr>
            <w:tcW w:type="dxa" w:w="3293"/>
            <w:vAlign w:val="center"/>
          </w:tcPr>
          <w:p>
            <w:pPr>
              <w:spacing w:after="0" w:line="240" w:lineRule="auto"/>
            </w:pPr>
            <w:r>
              <w:rPr>
                <w:sz w:val="15"/>
              </w:rPr>
            </w:r>
            <w:r>
              <w:rPr>
                <w:sz w:val="15"/>
              </w:rPr>
              <w:t>207 × 3 × two molecular file roles; pending entries retained</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Supplementary_Data_S5_pocket_summaries_gpcrdb.csv</w:t>
            </w:r>
          </w:p>
        </w:tc>
        <w:tc>
          <w:tcPr>
            <w:tcW w:type="dxa" w:w="3293"/>
            <w:vAlign w:val="center"/>
          </w:tcPr>
          <w:p>
            <w:pPr>
              <w:spacing w:after="0" w:line="240" w:lineRule="auto"/>
            </w:pPr>
            <w:r>
              <w:rPr>
                <w:sz w:val="15"/>
              </w:rPr>
            </w:r>
            <w:r>
              <w:rPr>
                <w:sz w:val="15"/>
              </w:rPr>
              <w:t>2,151</w:t>
            </w:r>
          </w:p>
        </w:tc>
        <w:tc>
          <w:tcPr>
            <w:tcW w:type="dxa" w:w="3293"/>
            <w:vAlign w:val="center"/>
          </w:tcPr>
          <w:p>
            <w:pPr>
              <w:spacing w:after="0" w:line="240" w:lineRule="auto"/>
            </w:pPr>
            <w:r>
              <w:rPr>
                <w:sz w:val="15"/>
              </w:rPr>
            </w:r>
            <w:r>
              <w:rPr>
                <w:sz w:val="15"/>
              </w:rPr>
              <w:t>Detected and explicit zero-pocket records</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Supplementary_Data_S6_gateway_per_system.csv</w:t>
            </w:r>
          </w:p>
        </w:tc>
        <w:tc>
          <w:tcPr>
            <w:tcW w:type="dxa" w:w="3293"/>
            <w:vAlign w:val="center"/>
          </w:tcPr>
          <w:p>
            <w:pPr>
              <w:spacing w:after="0" w:line="240" w:lineRule="auto"/>
            </w:pPr>
            <w:r>
              <w:rPr>
                <w:sz w:val="15"/>
              </w:rPr>
            </w:r>
            <w:r>
              <w:rPr>
                <w:sz w:val="15"/>
              </w:rPr>
              <w:t>5,796</w:t>
            </w:r>
          </w:p>
        </w:tc>
        <w:tc>
          <w:tcPr>
            <w:tcW w:type="dxa" w:w="3293"/>
            <w:vAlign w:val="center"/>
          </w:tcPr>
          <w:p>
            <w:pPr>
              <w:spacing w:after="0" w:line="240" w:lineRule="auto"/>
            </w:pPr>
            <w:r>
              <w:rPr>
                <w:sz w:val="15"/>
              </w:rPr>
            </w:r>
            <w:r>
              <w:rPr>
                <w:sz w:val="15"/>
              </w:rPr>
              <w:t>Processed gateway intermediates</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Supplementary_Data_S7_source_simulation_replica_provenance.csv</w:t>
            </w:r>
          </w:p>
        </w:tc>
        <w:tc>
          <w:tcPr>
            <w:tcW w:type="dxa" w:w="3293"/>
            <w:vAlign w:val="center"/>
          </w:tcPr>
          <w:p>
            <w:pPr>
              <w:spacing w:after="0" w:line="240" w:lineRule="auto"/>
            </w:pPr>
            <w:r>
              <w:rPr>
                <w:sz w:val="15"/>
              </w:rPr>
            </w:r>
            <w:r>
              <w:rPr>
                <w:sz w:val="15"/>
              </w:rPr>
              <w:t>621</w:t>
            </w:r>
          </w:p>
        </w:tc>
        <w:tc>
          <w:tcPr>
            <w:tcW w:type="dxa" w:w="3293"/>
            <w:vAlign w:val="center"/>
          </w:tcPr>
          <w:p>
            <w:pPr>
              <w:spacing w:after="0" w:line="240" w:lineRule="auto"/>
            </w:pPr>
            <w:r>
              <w:rPr>
                <w:sz w:val="15"/>
              </w:rPr>
            </w:r>
            <w:r>
              <w:rPr>
                <w:sz w:val="15"/>
              </w:rPr>
              <w:t>Nominal, observed and repair provenance</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Supplementary_Data_S8_reduced_release_qc.csv</w:t>
            </w:r>
          </w:p>
        </w:tc>
        <w:tc>
          <w:tcPr>
            <w:tcW w:type="dxa" w:w="3293"/>
            <w:vAlign w:val="center"/>
          </w:tcPr>
          <w:p>
            <w:pPr>
              <w:spacing w:after="0" w:line="240" w:lineRule="auto"/>
            </w:pPr>
            <w:r>
              <w:rPr>
                <w:sz w:val="15"/>
              </w:rPr>
            </w:r>
            <w:r>
              <w:rPr>
                <w:sz w:val="15"/>
              </w:rPr>
              <w:t>621</w:t>
            </w:r>
          </w:p>
        </w:tc>
        <w:tc>
          <w:tcPr>
            <w:tcW w:type="dxa" w:w="3293"/>
            <w:vAlign w:val="center"/>
          </w:tcPr>
          <w:p>
            <w:pPr>
              <w:spacing w:after="0" w:line="240" w:lineRule="auto"/>
            </w:pPr>
            <w:r>
              <w:rPr>
                <w:sz w:val="15"/>
              </w:rPr>
            </w:r>
            <w:r>
              <w:rPr>
                <w:sz w:val="15"/>
              </w:rPr>
              <w:t>Expected release QC grid</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Supplementary_Data_S9_api_access_audit.csv</w:t>
            </w:r>
          </w:p>
        </w:tc>
        <w:tc>
          <w:tcPr>
            <w:tcW w:type="dxa" w:w="3293"/>
            <w:vAlign w:val="center"/>
          </w:tcPr>
          <w:p>
            <w:pPr>
              <w:spacing w:after="0" w:line="240" w:lineRule="auto"/>
            </w:pPr>
            <w:r>
              <w:rPr>
                <w:sz w:val="15"/>
              </w:rPr>
            </w:r>
            <w:r>
              <w:rPr>
                <w:sz w:val="15"/>
              </w:rPr>
              <w:t>variable</w:t>
            </w:r>
          </w:p>
        </w:tc>
        <w:tc>
          <w:tcPr>
            <w:tcW w:type="dxa" w:w="3293"/>
            <w:vAlign w:val="center"/>
          </w:tcPr>
          <w:p>
            <w:pPr>
              <w:spacing w:after="0" w:line="240" w:lineRule="auto"/>
            </w:pPr>
            <w:r>
              <w:rPr>
                <w:sz w:val="15"/>
              </w:rPr>
            </w:r>
            <w:r>
              <w:rPr>
                <w:sz w:val="15"/>
              </w:rPr>
              <w:t>API coverage and consensus-cache audit</w:t>
            </w:r>
          </w:p>
        </w:tc>
      </w:tr>
      <w:tr>
        <w:trPr>
          <w:cantSplit/>
        </w:trPr>
        <w:tc>
          <w:tcPr>
            <w:tcW w:type="dxa" w:w="3293"/>
            <w:vAlign w:val="center"/>
          </w:tcPr>
          <w:p>
            <w:pPr>
              <w:spacing w:after="0" w:line="240" w:lineRule="auto"/>
            </w:pPr>
            <w:r>
              <w:rPr>
                <w:sz w:val="15"/>
              </w:rPr>
            </w:r>
            <w:r>
              <w:rPr>
                <w:rFonts w:ascii="Liberation Mono" w:hAnsi="Liberation Mono"/>
                <w:color w:val="225E68"/>
                <w:sz w:val="15"/>
              </w:rPr>
              <w:t>Supplementary_Data_S10_code_environment_inventory.csv</w:t>
            </w:r>
          </w:p>
        </w:tc>
        <w:tc>
          <w:tcPr>
            <w:tcW w:type="dxa" w:w="3293"/>
            <w:vAlign w:val="center"/>
          </w:tcPr>
          <w:p>
            <w:pPr>
              <w:spacing w:after="0" w:line="240" w:lineRule="auto"/>
            </w:pPr>
            <w:r>
              <w:rPr>
                <w:sz w:val="15"/>
              </w:rPr>
            </w:r>
            <w:r>
              <w:rPr>
                <w:sz w:val="15"/>
              </w:rPr>
              <w:t>variable</w:t>
            </w:r>
          </w:p>
        </w:tc>
        <w:tc>
          <w:tcPr>
            <w:tcW w:type="dxa" w:w="3293"/>
            <w:vAlign w:val="center"/>
          </w:tcPr>
          <w:p>
            <w:pPr>
              <w:spacing w:after="0" w:line="240" w:lineRule="auto"/>
            </w:pPr>
            <w:r>
              <w:rPr>
                <w:sz w:val="15"/>
              </w:rPr>
            </w:r>
            <w:r>
              <w:rPr>
                <w:sz w:val="15"/>
              </w:rPr>
              <w:t>Build files and software versions</w:t>
            </w:r>
          </w:p>
        </w:tc>
      </w:tr>
    </w:tbl>
    <w:p>
      <w:pPr>
        <w:spacing w:after="0"/>
      </w:pPr>
    </w:p>
    <w:p>
      <w:pPr>
        <w:pStyle w:val="Heading1"/>
      </w:pPr>
      <w:r>
        <w:t>Supplementary Data Availability</w:t>
      </w:r>
    </w:p>
    <w:p>
      <w:pPr/>
      <w:r>
        <w:t>The three Zenodo identifiers are reserved for replica-specific reduced releases:</w:t>
      </w:r>
    </w:p>
    <w:p>
      <w:pPr>
        <w:pStyle w:val="ListBullet"/>
      </w:pPr>
      <w:r>
        <w:t xml:space="preserve">Replica 1: </w:t>
      </w:r>
      <w:r>
        <w:rPr>
          <w:rFonts w:ascii="Liberation Mono" w:hAnsi="Liberation Mono"/>
          <w:color w:val="225E68"/>
          <w:sz w:val="17"/>
        </w:rPr>
        <w:t>10.5281/zenodo.21395292</w:t>
      </w:r>
    </w:p>
    <w:p>
      <w:pPr>
        <w:pStyle w:val="ListBullet"/>
      </w:pPr>
      <w:r>
        <w:t xml:space="preserve">Replica 2: </w:t>
      </w:r>
      <w:r>
        <w:rPr>
          <w:rFonts w:ascii="Liberation Mono" w:hAnsi="Liberation Mono"/>
          <w:color w:val="225E68"/>
          <w:sz w:val="17"/>
        </w:rPr>
        <w:t>10.5281/zenodo.21447748</w:t>
      </w:r>
    </w:p>
    <w:p>
      <w:pPr>
        <w:pStyle w:val="ListBullet"/>
      </w:pPr>
      <w:r>
        <w:t xml:space="preserve">Replica 3: </w:t>
      </w:r>
      <w:r>
        <w:rPr>
          <w:rFonts w:ascii="Liberation Mono" w:hAnsi="Liberation Mono"/>
          <w:color w:val="225E68"/>
          <w:sz w:val="17"/>
        </w:rPr>
        <w:t>10.5281/zenodo.21448037</w:t>
      </w:r>
    </w:p>
    <w:p>
      <w:pPr/>
      <w:r>
        <w:t>At the v12 audit time, all are restricted, unsubmitted private drafts and none resolves publicly without authentication. Replica 2 remains under processing. No DOI, public-release or archive-completeness claim should be copied from this supplement until the remote audit is rerun and all records pass.</w:t>
      </w:r>
    </w:p>
    <w:p>
      <w:pPr/>
      <w:r>
        <w:t xml:space="preserve">The code/web repository is </w:t>
      </w:r>
      <w:r>
        <w:rPr>
          <w:rFonts w:ascii="Liberation Mono" w:hAnsi="Liberation Mono"/>
          <w:color w:val="225E68"/>
          <w:sz w:val="17"/>
        </w:rPr>
        <w:t>https://github.com/HuangJianxiang-SJTU/coupledmd</w:t>
      </w:r>
      <w:r>
        <w:t xml:space="preserve">. The paper and source-data repository is </w:t>
      </w:r>
      <w:r>
        <w:rPr>
          <w:rFonts w:ascii="Liberation Mono" w:hAnsi="Liberation Mono"/>
          <w:color w:val="225E68"/>
          <w:sz w:val="17"/>
        </w:rPr>
        <w:t>https://github.com/HuangJianxiang-SJTU/coupledmd_database</w:t>
      </w:r>
      <w:r>
        <w:t>. A v12 commit and release tag remain to be created. The underlying full-system trajectories are not included in the reduced Zenodo records.</w:t>
      </w:r>
    </w:p>
    <w:sectPr w:rsidR="00FC693F" w:rsidRPr="0006063C" w:rsidSect="00034616">
      <w:footerReference w:type="default" r:id="rId9"/>
      <w:pgSz w:w="12240" w:h="15840"/>
      <w:pgMar w:top="1123" w:right="1181" w:bottom="1080"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0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E252B"/>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E252B"/>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87C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E252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2" w:lineRule="auto" w:before="60" w:after="140"/>
    </w:pPr>
    <w:rPr>
      <w:rFonts w:ascii="Arial" w:hAnsi="Arial" w:eastAsia="Arial"/>
      <w:b/>
      <w:bCs/>
      <w:color w:val="30363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59" w:right="173"/>
      <w:shd w:fill="F3F5F6"/>
    </w:pPr>
    <w:rPr>
      <w:rFonts w:ascii="Liberation Mono" w:hAnsi="Liberation Mono" w:eastAsia="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Scientific Data Data Descriptor</dc:subject>
  <dc:creator>Jianxiang Huang; Xin Qiao; Shaoyong Lu</dc:creator>
  <cp:keywords>GPCR; G protein; molecular dynamics; reduced trajectories; data descriptor</cp:keywords>
  <dc:description>v12 generated from auditable Markdown; release-dependent statements remain gated.</dc:description>
  <cp:lastModifiedBy/>
  <cp:revision>1</cp:revision>
  <dcterms:created xsi:type="dcterms:W3CDTF">2013-12-23T23:15:00Z</dcterms:created>
  <dcterms:modified xsi:type="dcterms:W3CDTF">2026-07-20T06:49:08Z</dcterms:modified>
  <cp:category/>
</cp:coreProperties>
</file>