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D69A1" w:rsidRDefault="00713571" w:rsidP="00BD69A1">
      <w:pPr>
        <w:widowControl/>
        <w:shd w:val="clear" w:color="auto" w:fill="FEFEFE"/>
        <w:spacing w:line="360" w:lineRule="auto"/>
        <w:jc w:val="center"/>
        <w:rPr>
          <w:b/>
          <w:bCs/>
          <w:sz w:val="32"/>
          <w:szCs w:val="32"/>
        </w:rPr>
      </w:pPr>
      <w:r>
        <w:rPr>
          <w:rFonts w:hint="eastAsia"/>
          <w:b/>
          <w:bCs/>
          <w:sz w:val="32"/>
          <w:szCs w:val="32"/>
        </w:rPr>
        <w:t>西南交通大学</w:t>
      </w:r>
      <w:r w:rsidR="0026459E">
        <w:rPr>
          <w:rFonts w:hint="eastAsia"/>
          <w:b/>
          <w:bCs/>
          <w:sz w:val="32"/>
          <w:szCs w:val="32"/>
        </w:rPr>
        <w:t>-</w:t>
      </w:r>
      <w:r w:rsidR="00BB2182">
        <w:rPr>
          <w:rFonts w:hint="eastAsia"/>
          <w:b/>
          <w:bCs/>
          <w:sz w:val="32"/>
          <w:szCs w:val="32"/>
        </w:rPr>
        <w:t>利兹</w:t>
      </w:r>
      <w:r>
        <w:rPr>
          <w:rFonts w:hint="eastAsia"/>
          <w:b/>
          <w:bCs/>
          <w:sz w:val="32"/>
          <w:szCs w:val="32"/>
        </w:rPr>
        <w:t>学院</w:t>
      </w:r>
      <w:r w:rsidR="00BD69A1">
        <w:rPr>
          <w:rFonts w:hint="eastAsia"/>
          <w:b/>
          <w:bCs/>
          <w:sz w:val="32"/>
          <w:szCs w:val="32"/>
        </w:rPr>
        <w:t>本科毕业设计</w:t>
      </w:r>
      <w:r w:rsidR="00BD69A1">
        <w:rPr>
          <w:b/>
          <w:bCs/>
          <w:sz w:val="32"/>
          <w:szCs w:val="32"/>
        </w:rPr>
        <w:t>(</w:t>
      </w:r>
      <w:r w:rsidR="00BD69A1">
        <w:rPr>
          <w:rFonts w:hint="eastAsia"/>
          <w:b/>
          <w:bCs/>
          <w:sz w:val="32"/>
          <w:szCs w:val="32"/>
        </w:rPr>
        <w:t>论文</w:t>
      </w:r>
      <w:r w:rsidR="00BD69A1">
        <w:rPr>
          <w:b/>
          <w:bCs/>
          <w:sz w:val="32"/>
          <w:szCs w:val="32"/>
        </w:rPr>
        <w:t>)</w:t>
      </w:r>
      <w:r w:rsidR="00BD69A1">
        <w:rPr>
          <w:rFonts w:hint="eastAsia"/>
          <w:b/>
          <w:bCs/>
          <w:sz w:val="32"/>
          <w:szCs w:val="32"/>
        </w:rPr>
        <w:t>开题报告</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743"/>
        <w:gridCol w:w="621"/>
        <w:gridCol w:w="1670"/>
        <w:gridCol w:w="1061"/>
        <w:gridCol w:w="787"/>
        <w:gridCol w:w="578"/>
        <w:gridCol w:w="693"/>
        <w:gridCol w:w="2247"/>
      </w:tblGrid>
      <w:tr w:rsidR="00713571" w:rsidRPr="00BD69A1" w:rsidTr="0026459E">
        <w:trPr>
          <w:trHeight w:val="1062"/>
          <w:cantSplit/>
        </w:trPr>
        <w:tc>
          <w:tcPr>
            <w:tcW w:w="1364" w:type="dxa"/>
            <w:gridSpan w:val="2"/>
            <w:vAlign w:val="center"/>
          </w:tcPr>
          <w:p w:rsidR="00666305" w:rsidRPr="005D68E1" w:rsidRDefault="00666305" w:rsidP="00666305">
            <w:pPr>
              <w:keepNext w:val="0"/>
              <w:widowControl/>
              <w:spacing w:before="0" w:after="20" w:line="250" w:lineRule="exact"/>
              <w:ind w:firstLine="0"/>
              <w:jc w:val="left"/>
              <w:rPr>
                <w:rFonts w:ascii="宋体" w:hAnsi="宋体" w:cs="宋体"/>
                <w:color w:val="000000"/>
                <w:kern w:val="0"/>
                <w:sz w:val="24"/>
                <w:szCs w:val="24"/>
              </w:rPr>
              <w:snapToGrid w:val="0"/>
            </w:pPr>
            <w:r w:rsidRPr="005D68E1">
              <w:rPr>
                <w:rFonts w:ascii="Times New Roman" w:hAnsi="Times New Roman" w:cs="宋体" w:hint="eastAsia" w:eastAsia="宋体"/>
                <w:b w:val="0"/>
                <w:color w:val="000000"/>
                <w:kern w:val="0"/>
                <w:sz w:val="21"/>
                <w:szCs w:val="24"/>
              </w:rPr>
              <w:t>毕业设计</w:t>
            </w:r>
          </w:p>
          <w:p w:rsidR="00713571" w:rsidRPr="005D68E1" w:rsidRDefault="00666305" w:rsidP="00666305">
            <w:pPr>
              <w:keepNext w:val="0"/>
              <w:widowControl/>
              <w:spacing w:line="250" w:lineRule="exact" w:before="0" w:after="20"/>
              <w:ind w:firstLine="0"/>
              <w:jc w:val="left"/>
              <w:rPr>
                <w:rFonts w:ascii="宋体" w:hAnsi="宋体" w:cs="宋体"/>
                <w:color w:val="000000"/>
                <w:kern w:val="0"/>
                <w:sz w:val="24"/>
                <w:szCs w:val="24"/>
              </w:rPr>
              <w:snapToGrid w:val="0"/>
            </w:pPr>
            <w:r w:rsidRPr="005D68E1">
              <w:rPr>
                <w:rFonts w:ascii="Times New Roman" w:hAnsi="Times New Roman" w:cs="宋体" w:hint="eastAsia" w:eastAsia="宋体"/>
                <w:b w:val="0"/>
                <w:color w:val="000000"/>
                <w:kern w:val="0"/>
                <w:sz w:val="21"/>
                <w:szCs w:val="24"/>
              </w:rPr>
              <w:t>论文题目</w:t>
            </w:r>
          </w:p>
        </w:tc>
        <w:tc>
          <w:tcPr>
            <w:tcW w:w="7036" w:type="dxa"/>
            <w:gridSpan w:val="6"/>
            <w:vAlign w:val="center"/>
          </w:tcPr>
          <w:p>
            <w:pPr>
              <w:keepNext w:val="0"/>
              <w:widowControl/>
              <w:spacing w:before="0" w:after="20" w:line="250" w:lineRule="exact"/>
              <w:ind w:firstLine="0"/>
              <w:jc w:val="left"/>
              <w:snapToGrid w:val="0"/>
            </w:pPr>
            <w:r>
              <w:rPr>
                <w:rFonts w:ascii="Times New Roman" w:hAnsi="Times New Roman" w:eastAsia="宋体"/>
                <w:b w:val="0"/>
                <w:sz w:val="21"/>
              </w:rPr>
              <w:t>A Study on a Large-Model-Based Intelligent Question-Answering System for the Overhead Contact System Field</w:t>
            </w:r>
          </w:p>
        </w:tc>
      </w:tr>
      <w:tr w:rsidR="00713571" w:rsidRPr="00BD69A1" w:rsidTr="00EF19CF">
        <w:trPr>
          <w:trHeight w:val="659"/>
          <w:cantSplit/>
        </w:trPr>
        <w:tc>
          <w:tcPr>
            <w:tcW w:w="1364" w:type="dxa"/>
            <w:gridSpan w:val="2"/>
            <w:vAlign w:val="center"/>
          </w:tcPr>
          <w:p w:rsidR="00713571" w:rsidRPr="005D68E1" w:rsidRDefault="00713571" w:rsidP="00BD69A1">
            <w:pPr>
              <w:keepNext w:val="0"/>
              <w:widowControl/>
              <w:spacing w:line="250" w:lineRule="exact" w:before="0" w:after="20"/>
              <w:ind w:firstLine="0"/>
              <w:jc w:val="left"/>
              <w:rPr>
                <w:rFonts w:ascii="宋体" w:hAnsi="宋体" w:cs="宋体"/>
                <w:color w:val="000000"/>
                <w:kern w:val="0"/>
                <w:sz w:val="24"/>
                <w:szCs w:val="24"/>
              </w:rPr>
              <w:snapToGrid w:val="0"/>
            </w:pPr>
            <w:r w:rsidRPr="005D68E1">
              <w:rPr>
                <w:rFonts w:ascii="Times New Roman" w:hAnsi="Times New Roman" w:cs="宋体" w:hint="eastAsia" w:eastAsia="宋体"/>
                <w:b w:val="0"/>
                <w:color w:val="000000"/>
                <w:kern w:val="0"/>
                <w:sz w:val="21"/>
                <w:szCs w:val="24"/>
              </w:rPr>
              <w:t>学生姓名</w:t>
            </w:r>
          </w:p>
        </w:tc>
        <w:tc>
          <w:tcPr>
            <w:tcW w:w="2731" w:type="dxa"/>
            <w:gridSpan w:val="2"/>
            <w:vAlign w:val="center"/>
          </w:tcPr>
          <w:p>
            <w:pPr>
              <w:keepNext w:val="0"/>
              <w:widowControl/>
              <w:spacing w:before="0" w:after="20" w:line="250" w:lineRule="exact"/>
              <w:ind w:firstLine="0"/>
              <w:jc w:val="left"/>
              <w:snapToGrid w:val="0"/>
            </w:pPr>
            <w:r>
              <w:rPr>
                <w:rFonts w:ascii="Times New Roman" w:hAnsi="Times New Roman" w:eastAsia="宋体"/>
                <w:b w:val="0"/>
                <w:sz w:val="21"/>
              </w:rPr>
              <w:t>黄俊凯</w:t>
            </w:r>
          </w:p>
        </w:tc>
        <w:tc>
          <w:tcPr>
            <w:tcW w:w="1365" w:type="dxa"/>
            <w:gridSpan w:val="2"/>
            <w:vAlign w:val="center"/>
          </w:tcPr>
          <w:p w:rsidR="00713571" w:rsidRPr="005D68E1" w:rsidRDefault="00713571" w:rsidP="00BD69A1">
            <w:pPr>
              <w:keepNext w:val="0"/>
              <w:widowControl/>
              <w:spacing w:line="250" w:lineRule="exact" w:before="0" w:after="20"/>
              <w:ind w:firstLine="0"/>
              <w:jc w:val="left"/>
              <w:rPr>
                <w:rFonts w:ascii="宋体" w:hAnsi="宋体" w:cs="宋体"/>
                <w:color w:val="000000"/>
                <w:kern w:val="0"/>
                <w:sz w:val="24"/>
                <w:szCs w:val="24"/>
              </w:rPr>
              <w:snapToGrid w:val="0"/>
            </w:pPr>
            <w:r w:rsidRPr="005D68E1">
              <w:rPr>
                <w:rFonts w:ascii="Times New Roman" w:hAnsi="Times New Roman" w:cs="宋体" w:hint="eastAsia" w:eastAsia="宋体"/>
                <w:b w:val="0"/>
                <w:color w:val="000000"/>
                <w:kern w:val="0"/>
                <w:sz w:val="21"/>
                <w:szCs w:val="24"/>
              </w:rPr>
              <w:t>学生学号</w:t>
            </w:r>
          </w:p>
        </w:tc>
        <w:tc>
          <w:tcPr>
            <w:tcW w:w="2940" w:type="dxa"/>
            <w:gridSpan w:val="2"/>
            <w:vAlign w:val="center"/>
          </w:tcPr>
          <w:p>
            <w:pPr>
              <w:keepNext w:val="0"/>
              <w:widowControl/>
              <w:spacing w:before="0" w:after="20" w:line="250" w:lineRule="exact"/>
              <w:ind w:firstLine="0"/>
              <w:jc w:val="left"/>
              <w:snapToGrid w:val="0"/>
            </w:pPr>
            <w:r>
              <w:rPr>
                <w:rFonts w:ascii="Times New Roman" w:hAnsi="Times New Roman" w:eastAsia="宋体"/>
                <w:b w:val="0"/>
                <w:sz w:val="21"/>
              </w:rPr>
              <w:t>2023115799</w:t>
            </w:r>
          </w:p>
        </w:tc>
      </w:tr>
      <w:tr w:rsidR="00666305" w:rsidRPr="00BD69A1" w:rsidTr="00F40483">
        <w:trPr>
          <w:trHeight w:val="659"/>
          <w:cantSplit/>
        </w:trPr>
        <w:tc>
          <w:tcPr>
            <w:tcW w:w="1364" w:type="dxa"/>
            <w:gridSpan w:val="2"/>
            <w:vAlign w:val="center"/>
          </w:tcPr>
          <w:p w:rsidR="00666305" w:rsidRPr="005D68E1" w:rsidRDefault="00666305" w:rsidP="00BD69A1">
            <w:pPr>
              <w:keepNext w:val="0"/>
              <w:widowControl/>
              <w:spacing w:line="250" w:lineRule="exact" w:before="0" w:after="20"/>
              <w:ind w:firstLine="0"/>
              <w:jc w:val="left"/>
              <w:rPr>
                <w:rFonts w:ascii="宋体" w:hAnsi="宋体" w:cs="宋体"/>
                <w:color w:val="000000"/>
                <w:kern w:val="0"/>
                <w:sz w:val="24"/>
                <w:szCs w:val="24"/>
              </w:rPr>
              <w:snapToGrid w:val="0"/>
            </w:pPr>
            <w:r w:rsidRPr="005D68E1">
              <w:rPr>
                <w:rFonts w:ascii="Times New Roman" w:hAnsi="Times New Roman" w:cs="宋体" w:hint="eastAsia" w:eastAsia="宋体"/>
                <w:b w:val="0"/>
                <w:color w:val="000000"/>
                <w:kern w:val="0"/>
                <w:sz w:val="21"/>
                <w:szCs w:val="24"/>
              </w:rPr>
              <w:t>专    业</w:t>
            </w:r>
          </w:p>
        </w:tc>
        <w:tc>
          <w:tcPr>
            <w:tcW w:w="7036" w:type="dxa"/>
            <w:gridSpan w:val="6"/>
            <w:vAlign w:val="center"/>
          </w:tcPr>
          <w:p>
            <w:pPr>
              <w:keepNext w:val="0"/>
              <w:widowControl/>
              <w:spacing w:before="0" w:after="20" w:line="250" w:lineRule="exact"/>
              <w:ind w:firstLine="0"/>
              <w:jc w:val="left"/>
              <w:snapToGrid w:val="0"/>
            </w:pPr>
            <w:r>
              <w:rPr>
                <w:rFonts w:ascii="Times New Roman" w:hAnsi="Times New Roman" w:eastAsia="宋体"/>
                <w:b w:val="0"/>
                <w:sz w:val="21"/>
              </w:rPr>
              <w:t>Electronic and Electrical Engineering</w:t>
            </w:r>
          </w:p>
        </w:tc>
      </w:tr>
      <w:tr w:rsidR="00F61FB0" w:rsidRPr="00BD69A1" w:rsidTr="00F61FB0">
        <w:trPr>
          <w:trHeight w:val="63"/>
          <w:cantSplit/>
        </w:trPr>
        <w:tc>
          <w:tcPr>
            <w:tcW w:w="1364" w:type="dxa"/>
            <w:gridSpan w:val="2"/>
            <w:vAlign w:val="center"/>
          </w:tcPr>
          <w:p w:rsidR="00F61FB0" w:rsidRPr="005D68E1" w:rsidRDefault="00F61FB0" w:rsidP="00F61FB0">
            <w:pPr>
              <w:keepNext w:val="0"/>
              <w:widowControl/>
              <w:spacing w:before="0" w:after="20" w:line="250" w:lineRule="exact"/>
              <w:ind w:firstLine="0"/>
              <w:jc w:val="left"/>
              <w:rPr>
                <w:rFonts w:ascii="宋体" w:hAnsi="宋体" w:cs="宋体"/>
                <w:color w:val="000000"/>
                <w:kern w:val="0"/>
                <w:sz w:val="24"/>
                <w:szCs w:val="24"/>
              </w:rPr>
              <w:snapToGrid w:val="0"/>
            </w:pPr>
            <w:r>
              <w:rPr>
                <w:rFonts w:ascii="Times New Roman" w:hAnsi="Times New Roman" w:cs="宋体" w:hint="eastAsia" w:eastAsia="宋体"/>
                <w:b w:val="0"/>
                <w:color w:val="000000"/>
                <w:kern w:val="0"/>
                <w:sz w:val="21"/>
                <w:szCs w:val="24"/>
              </w:rPr>
              <w:t>校内毕业设计论文</w:t>
            </w:r>
          </w:p>
        </w:tc>
        <w:tc>
          <w:tcPr>
            <w:tcW w:w="1670" w:type="dxa"/>
            <w:vAlign w:val="center"/>
          </w:tcPr>
          <w:p w:rsidR="00F61FB0" w:rsidRDefault="00F61FB0" w:rsidP="00713571">
            <w:pPr>
              <w:keepNext w:val="0"/>
              <w:widowControl/>
              <w:spacing w:before="0" w:after="20" w:line="250" w:lineRule="exact"/>
              <w:ind w:firstLine="0"/>
              <w:jc w:val="left"/>
              <w:rPr>
                <w:rFonts w:ascii="宋体" w:hAnsi="宋体" w:cs="宋体"/>
                <w:color w:val="000000"/>
                <w:kern w:val="0"/>
                <w:sz w:val="24"/>
                <w:szCs w:val="24"/>
              </w:rPr>
              <w:snapToGrid w:val="0"/>
            </w:pPr>
            <w:r>
              <w:rPr>
                <w:rFonts w:ascii="Times New Roman" w:hAnsi="Times New Roman" w:cs="宋体" w:hint="eastAsia" w:eastAsia="宋体"/>
                <w:b w:val="0"/>
                <w:color w:val="000000"/>
                <w:kern w:val="0"/>
                <w:sz w:val="21"/>
                <w:szCs w:val="24"/>
              </w:rPr>
              <w:t>校内导师</w:t>
            </w:r>
          </w:p>
          <w:p w:rsidR="00F61FB0" w:rsidRPr="005D68E1" w:rsidRDefault="00F61FB0" w:rsidP="00713571">
            <w:pPr>
              <w:keepNext w:val="0"/>
              <w:widowControl/>
              <w:spacing w:before="0" w:after="20" w:line="250" w:lineRule="exact"/>
              <w:ind w:firstLine="0"/>
              <w:jc w:val="left"/>
              <w:rPr>
                <w:rFonts w:ascii="宋体" w:hAnsi="宋体" w:cs="宋体"/>
                <w:color w:val="000000"/>
                <w:kern w:val="0"/>
                <w:sz w:val="24"/>
                <w:szCs w:val="24"/>
              </w:rPr>
              <w:snapToGrid w:val="0"/>
            </w:pPr>
            <w:r>
              <w:rPr>
                <w:rFonts w:ascii="Times New Roman" w:hAnsi="Times New Roman" w:cs="宋体" w:hint="eastAsia" w:eastAsia="宋体"/>
                <w:b w:val="0"/>
                <w:color w:val="000000"/>
                <w:kern w:val="0"/>
                <w:sz w:val="21"/>
                <w:szCs w:val="24"/>
              </w:rPr>
              <w:t xml:space="preserve">姓 </w:t>
            </w:r>
            <w:r>
              <w:rPr>
                <w:rFonts w:ascii="Times New Roman" w:hAnsi="Times New Roman" w:cs="宋体" w:eastAsia="宋体"/>
                <w:b w:val="0"/>
                <w:color w:val="000000"/>
                <w:kern w:val="0"/>
                <w:sz w:val="21"/>
                <w:szCs w:val="24"/>
              </w:rPr>
              <w:t xml:space="preserve">   </w:t>
            </w:r>
            <w:r>
              <w:rPr>
                <w:rFonts w:ascii="Times New Roman" w:hAnsi="Times New Roman" w:cs="宋体" w:hint="eastAsia" w:eastAsia="宋体"/>
                <w:b w:val="0"/>
                <w:color w:val="000000"/>
                <w:kern w:val="0"/>
                <w:sz w:val="21"/>
                <w:szCs w:val="24"/>
              </w:rPr>
              <w:t>名</w:t>
            </w:r>
          </w:p>
        </w:tc>
        <w:tc>
          <w:tcPr>
            <w:tcW w:w="1848" w:type="dxa"/>
            <w:gridSpan w:val="2"/>
            <w:vAlign w:val="center"/>
          </w:tcPr>
          <w:p>
            <w:pPr>
              <w:keepNext w:val="0"/>
              <w:widowControl/>
              <w:spacing w:before="0" w:after="20" w:line="250" w:lineRule="exact"/>
              <w:ind w:firstLine="0"/>
              <w:jc w:val="left"/>
              <w:snapToGrid w:val="0"/>
            </w:pPr>
            <w:r>
              <w:rPr>
                <w:rFonts w:ascii="Times New Roman" w:hAnsi="Times New Roman" w:eastAsia="宋体"/>
                <w:b w:val="0"/>
                <w:sz w:val="21"/>
              </w:rPr>
              <w:t>黄德青</w:t>
            </w:r>
          </w:p>
        </w:tc>
        <w:tc>
          <w:tcPr>
            <w:tcW w:w="1271" w:type="dxa"/>
            <w:gridSpan w:val="2"/>
            <w:vAlign w:val="center"/>
          </w:tcPr>
          <w:p w:rsidR="00F61FB0" w:rsidRPr="005D68E1" w:rsidRDefault="00F61FB0" w:rsidP="00713571">
            <w:pPr>
              <w:keepNext w:val="0"/>
              <w:widowControl/>
              <w:spacing w:before="0" w:after="20" w:line="250" w:lineRule="exact"/>
              <w:ind w:firstLine="0"/>
              <w:jc w:val="left"/>
              <w:rPr>
                <w:rFonts w:ascii="宋体" w:hAnsi="宋体" w:cs="宋体"/>
                <w:color w:val="000000"/>
                <w:kern w:val="0"/>
                <w:sz w:val="24"/>
                <w:szCs w:val="24"/>
              </w:rPr>
              <w:snapToGrid w:val="0"/>
            </w:pPr>
            <w:r>
              <w:rPr>
                <w:rFonts w:ascii="Times New Roman" w:hAnsi="Times New Roman" w:cs="宋体" w:hint="eastAsia" w:eastAsia="宋体"/>
                <w:b w:val="0"/>
                <w:color w:val="000000"/>
                <w:kern w:val="0"/>
                <w:sz w:val="21"/>
                <w:szCs w:val="24"/>
              </w:rPr>
              <w:t>导师职称</w:t>
            </w:r>
          </w:p>
        </w:tc>
        <w:tc>
          <w:tcPr>
            <w:tcW w:w="2247" w:type="dxa"/>
            <w:vAlign w:val="center"/>
          </w:tcPr>
          <w:p>
            <w:pPr>
              <w:keepNext w:val="0"/>
              <w:widowControl/>
              <w:spacing w:before="0" w:after="20" w:line="250" w:lineRule="exact"/>
              <w:ind w:firstLine="0"/>
              <w:jc w:val="left"/>
              <w:snapToGrid w:val="0"/>
            </w:pPr>
            <w:r>
              <w:rPr>
                <w:rFonts w:ascii="Times New Roman" w:hAnsi="Times New Roman" w:eastAsia="宋体"/>
                <w:b w:val="0"/>
                <w:sz w:val="21"/>
              </w:rPr>
            </w:r>
          </w:p>
        </w:tc>
      </w:tr>
      <w:tr w:rsidR="00635D9B" w:rsidRPr="00BD69A1" w:rsidTr="00BD69A1">
        <w:trPr>
          <w:trHeight w:val="63"/>
          <w:cantSplit/>
        </w:trPr>
        <w:tc>
          <w:tcPr>
            <w:tcW w:w="1364" w:type="dxa"/>
            <w:gridSpan w:val="2"/>
            <w:vAlign w:val="center"/>
          </w:tcPr>
          <w:p w:rsidR="00635D9B" w:rsidRPr="005D68E1" w:rsidRDefault="00635D9B" w:rsidP="00635D9B">
            <w:pPr>
              <w:keepNext w:val="0"/>
              <w:widowControl/>
              <w:spacing w:line="250" w:lineRule="exact" w:before="0" w:after="20"/>
              <w:ind w:firstLine="0"/>
              <w:jc w:val="left"/>
              <w:rPr>
                <w:rFonts w:ascii="宋体" w:hAnsi="宋体" w:cs="宋体"/>
                <w:color w:val="000000"/>
                <w:kern w:val="0"/>
                <w:sz w:val="24"/>
                <w:szCs w:val="24"/>
              </w:rPr>
              <w:snapToGrid w:val="0"/>
            </w:pPr>
            <w:r>
              <w:rPr>
                <w:rFonts w:ascii="Times New Roman" w:hAnsi="Times New Roman" w:cs="宋体" w:hint="eastAsia" w:eastAsia="宋体"/>
                <w:b w:val="0"/>
                <w:color w:val="000000"/>
                <w:kern w:val="0"/>
                <w:sz w:val="21"/>
                <w:szCs w:val="24"/>
              </w:rPr>
              <w:t>选题类型</w:t>
            </w:r>
          </w:p>
        </w:tc>
        <w:tc>
          <w:tcPr>
            <w:tcW w:w="7036" w:type="dxa"/>
            <w:gridSpan w:val="6"/>
            <w:vAlign w:val="center"/>
          </w:tcPr>
          <w:p>
            <w:pPr>
              <w:keepNext w:val="0"/>
              <w:widowControl/>
              <w:spacing w:before="0" w:after="20" w:line="250" w:lineRule="exact"/>
              <w:ind w:firstLine="0"/>
              <w:jc w:val="left"/>
              <w:snapToGrid w:val="0"/>
            </w:pPr>
            <w:r>
              <w:rPr>
                <w:rFonts w:ascii="DejaVu Sans" w:hAnsi="DejaVu Sans" w:eastAsia="宋体"/>
                <w:b w:val="0"/>
                <w:sz w:val="21"/>
              </w:rPr>
              <w:t xml:space="preserve">☐ </w:t>
            </w:r>
            <w:r>
              <w:rPr>
                <w:rFonts w:ascii="Times New Roman" w:hAnsi="Times New Roman" w:eastAsia="宋体"/>
                <w:b w:val="0"/>
                <w:sz w:val="21"/>
              </w:rPr>
              <w:t>毕业论文(理论研究)</w:t>
            </w:r>
            <w:r>
              <w:rPr>
                <w:rFonts w:ascii="Times New Roman" w:hAnsi="Times New Roman" w:eastAsia="宋体"/>
                <w:b w:val="0"/>
                <w:sz w:val="21"/>
              </w:rPr>
              <w:t xml:space="preserve">    </w:t>
            </w:r>
            <w:r>
              <w:rPr>
                <w:rFonts w:ascii="DejaVu Sans" w:hAnsi="DejaVu Sans" w:eastAsia="宋体"/>
                <w:b w:val="0"/>
                <w:sz w:val="21"/>
              </w:rPr>
              <w:t xml:space="preserve">☐ </w:t>
            </w:r>
            <w:r>
              <w:rPr>
                <w:rFonts w:ascii="Times New Roman" w:hAnsi="Times New Roman" w:eastAsia="宋体"/>
                <w:b w:val="0"/>
                <w:sz w:val="21"/>
              </w:rPr>
              <w:t>毕业论文(应用研究)</w:t>
            </w:r>
          </w:p>
          <w:p>
            <w:pPr>
              <w:keepNext w:val="0"/>
              <w:widowControl/>
              <w:spacing w:before="0" w:after="20" w:line="250" w:lineRule="exact"/>
              <w:ind w:firstLine="0"/>
              <w:jc w:val="left"/>
              <w:snapToGrid w:val="0"/>
            </w:pPr>
            <w:r>
              <w:rPr>
                <w:rFonts w:ascii="DejaVu Sans" w:hAnsi="DejaVu Sans" w:eastAsia="宋体"/>
                <w:b w:val="0"/>
                <w:sz w:val="21"/>
              </w:rPr>
              <w:t xml:space="preserve">☐ </w:t>
            </w:r>
            <w:r>
              <w:rPr>
                <w:rFonts w:ascii="Times New Roman" w:hAnsi="Times New Roman" w:eastAsia="宋体"/>
                <w:b w:val="0"/>
                <w:sz w:val="21"/>
              </w:rPr>
              <w:t>毕业设计(工程设计)</w:t>
            </w:r>
            <w:r>
              <w:rPr>
                <w:rFonts w:ascii="Times New Roman" w:hAnsi="Times New Roman" w:eastAsia="宋体"/>
                <w:b w:val="0"/>
                <w:sz w:val="21"/>
              </w:rPr>
              <w:t xml:space="preserve">    </w:t>
            </w:r>
            <w:r>
              <w:rPr>
                <w:rFonts w:ascii="DejaVu Sans" w:hAnsi="DejaVu Sans" w:eastAsia="宋体"/>
                <w:b w:val="0"/>
                <w:sz w:val="21"/>
              </w:rPr>
              <w:t xml:space="preserve">☐ </w:t>
            </w:r>
            <w:r>
              <w:rPr>
                <w:rFonts w:ascii="Times New Roman" w:hAnsi="Times New Roman" w:eastAsia="宋体"/>
                <w:b w:val="0"/>
                <w:sz w:val="21"/>
              </w:rPr>
              <w:t>毕业设计(软件设计)</w:t>
            </w:r>
          </w:p>
        </w:tc>
      </w:tr>
      <w:tr w:rsidR="00635D9B" w:rsidRPr="00BD69A1" w:rsidTr="00BD69A1">
        <w:trPr>
          <w:trHeight w:val="63"/>
          <w:cantSplit/>
        </w:trPr>
        <w:tc>
          <w:tcPr>
            <w:tcW w:w="1364" w:type="dxa"/>
            <w:gridSpan w:val="2"/>
            <w:vAlign w:val="center"/>
          </w:tcPr>
          <w:p w:rsidR="00635D9B" w:rsidRPr="005D68E1" w:rsidRDefault="00635D9B" w:rsidP="00635D9B">
            <w:pPr>
              <w:keepNext w:val="0"/>
              <w:widowControl/>
              <w:spacing w:line="250" w:lineRule="exact" w:before="0" w:after="20"/>
              <w:ind w:firstLine="0"/>
              <w:jc w:val="left"/>
              <w:rPr>
                <w:rFonts w:ascii="宋体" w:hAnsi="宋体" w:cs="宋体"/>
                <w:color w:val="000000"/>
                <w:kern w:val="0"/>
                <w:sz w:val="24"/>
                <w:szCs w:val="24"/>
              </w:rPr>
              <w:snapToGrid w:val="0"/>
            </w:pPr>
            <w:r>
              <w:rPr>
                <w:rFonts w:ascii="Times New Roman" w:hAnsi="Times New Roman" w:cs="宋体" w:hint="eastAsia" w:eastAsia="宋体"/>
                <w:b w:val="0"/>
                <w:color w:val="000000"/>
                <w:kern w:val="0"/>
                <w:sz w:val="21"/>
                <w:szCs w:val="24"/>
              </w:rPr>
              <w:t>题目来源</w:t>
            </w:r>
          </w:p>
        </w:tc>
        <w:tc>
          <w:tcPr>
            <w:tcW w:w="7036" w:type="dxa"/>
            <w:gridSpan w:val="6"/>
            <w:vAlign w:val="center"/>
          </w:tcPr>
          <w:p>
            <w:pPr>
              <w:keepNext w:val="0"/>
              <w:widowControl/>
              <w:spacing w:before="0" w:after="20" w:line="250" w:lineRule="exact"/>
              <w:ind w:firstLine="0"/>
              <w:jc w:val="left"/>
              <w:snapToGrid w:val="0"/>
            </w:pPr>
            <w:r>
              <w:rPr>
                <w:rFonts w:ascii="DejaVu Sans" w:hAnsi="DejaVu Sans" w:eastAsia="宋体"/>
                <w:b w:val="0"/>
                <w:sz w:val="21"/>
              </w:rPr>
              <w:t xml:space="preserve">☐ </w:t>
            </w:r>
            <w:r>
              <w:rPr>
                <w:rFonts w:ascii="Times New Roman" w:hAnsi="Times New Roman" w:eastAsia="宋体"/>
                <w:b w:val="0"/>
                <w:sz w:val="21"/>
              </w:rPr>
              <w:t>教师自拟</w:t>
            </w:r>
            <w:r>
              <w:rPr>
                <w:rFonts w:ascii="Times New Roman" w:hAnsi="Times New Roman" w:eastAsia="宋体"/>
                <w:b w:val="0"/>
                <w:sz w:val="21"/>
              </w:rPr>
              <w:t xml:space="preserve">    </w:t>
            </w:r>
            <w:r>
              <w:rPr>
                <w:rFonts w:ascii="DejaVu Sans" w:hAnsi="DejaVu Sans" w:eastAsia="宋体"/>
                <w:b w:val="0"/>
                <w:sz w:val="21"/>
              </w:rPr>
              <w:t xml:space="preserve">☐ </w:t>
            </w:r>
            <w:r>
              <w:rPr>
                <w:rFonts w:ascii="Times New Roman" w:hAnsi="Times New Roman" w:eastAsia="宋体"/>
                <w:b w:val="0"/>
                <w:sz w:val="21"/>
              </w:rPr>
              <w:t>生产实践</w:t>
            </w:r>
          </w:p>
          <w:p>
            <w:pPr>
              <w:keepNext w:val="0"/>
              <w:widowControl/>
              <w:spacing w:before="0" w:after="20" w:line="250" w:lineRule="exact"/>
              <w:ind w:firstLine="0"/>
              <w:jc w:val="left"/>
              <w:snapToGrid w:val="0"/>
            </w:pPr>
            <w:r>
              <w:rPr>
                <w:rFonts w:ascii="DejaVu Sans" w:hAnsi="DejaVu Sans" w:eastAsia="宋体"/>
                <w:b w:val="0"/>
                <w:sz w:val="21"/>
              </w:rPr>
              <w:t xml:space="preserve">☐ </w:t>
            </w:r>
            <w:r>
              <w:rPr>
                <w:rFonts w:ascii="Times New Roman" w:hAnsi="Times New Roman" w:eastAsia="宋体"/>
                <w:b w:val="0"/>
                <w:sz w:val="21"/>
              </w:rPr>
              <w:t>科研课题</w:t>
            </w:r>
            <w:r>
              <w:rPr>
                <w:rFonts w:ascii="Times New Roman" w:hAnsi="Times New Roman" w:eastAsia="宋体"/>
                <w:b w:val="0"/>
                <w:sz w:val="21"/>
              </w:rPr>
              <w:t xml:space="preserve">    </w:t>
            </w:r>
            <w:r>
              <w:rPr>
                <w:rFonts w:ascii="DejaVu Sans" w:hAnsi="DejaVu Sans" w:eastAsia="宋体"/>
                <w:b w:val="0"/>
                <w:sz w:val="21"/>
              </w:rPr>
              <w:t xml:space="preserve">☐ </w:t>
            </w:r>
            <w:r>
              <w:rPr>
                <w:rFonts w:ascii="Times New Roman" w:hAnsi="Times New Roman" w:eastAsia="宋体"/>
                <w:b w:val="0"/>
                <w:sz w:val="21"/>
              </w:rPr>
              <w:t>学生自拟</w:t>
            </w:r>
            <w:r>
              <w:rPr>
                <w:rFonts w:ascii="Times New Roman" w:hAnsi="Times New Roman" w:eastAsia="宋体"/>
                <w:b w:val="0"/>
                <w:sz w:val="21"/>
              </w:rPr>
              <w:t xml:space="preserve">    </w:t>
            </w:r>
            <w:r>
              <w:rPr>
                <w:rFonts w:ascii="DejaVu Sans" w:hAnsi="DejaVu Sans" w:eastAsia="宋体"/>
                <w:b w:val="0"/>
                <w:sz w:val="21"/>
              </w:rPr>
              <w:t xml:space="preserve">☐ </w:t>
            </w:r>
            <w:r>
              <w:rPr>
                <w:rFonts w:ascii="Times New Roman" w:hAnsi="Times New Roman" w:eastAsia="宋体"/>
                <w:b w:val="0"/>
                <w:sz w:val="21"/>
              </w:rPr>
              <w:t>其他</w:t>
            </w:r>
          </w:p>
        </w:tc>
      </w:tr>
      <w:tr w:rsidR="00635D9B" w:rsidRPr="00BD69A1" w:rsidTr="00BD69A1">
        <w:trPr>
          <w:trHeight w:val="63"/>
          <w:cantSplit/>
        </w:trPr>
        <w:tc>
          <w:tcPr>
            <w:tcW w:w="1364" w:type="dxa"/>
            <w:gridSpan w:val="2"/>
            <w:vAlign w:val="center"/>
          </w:tcPr>
          <w:p w:rsidR="00635D9B" w:rsidRPr="005D68E1" w:rsidRDefault="00635D9B" w:rsidP="00635D9B">
            <w:pPr>
              <w:keepNext w:val="0"/>
              <w:widowControl/>
              <w:spacing w:line="250" w:lineRule="exact" w:before="0" w:after="20"/>
              <w:ind w:firstLine="0"/>
              <w:jc w:val="left"/>
              <w:rPr>
                <w:rFonts w:ascii="宋体" w:hAnsi="宋体" w:cs="宋体"/>
                <w:color w:val="000000"/>
                <w:kern w:val="0"/>
                <w:sz w:val="24"/>
                <w:szCs w:val="24"/>
              </w:rPr>
              <w:snapToGrid w:val="0"/>
            </w:pPr>
            <w:r w:rsidRPr="005D68E1">
              <w:rPr>
                <w:rFonts w:ascii="Times New Roman" w:hAnsi="Times New Roman" w:cs="宋体" w:hint="eastAsia" w:eastAsia="宋体"/>
                <w:b w:val="0"/>
                <w:color w:val="000000"/>
                <w:kern w:val="0"/>
                <w:sz w:val="21"/>
                <w:szCs w:val="24"/>
              </w:rPr>
              <w:t>资料情况</w:t>
            </w:r>
          </w:p>
        </w:tc>
        <w:tc>
          <w:tcPr>
            <w:tcW w:w="7036" w:type="dxa"/>
            <w:gridSpan w:val="6"/>
            <w:vAlign w:val="center"/>
          </w:tcPr>
          <w:p>
            <w:pPr>
              <w:keepNext w:val="0"/>
              <w:widowControl/>
              <w:spacing w:before="0" w:after="20" w:line="250" w:lineRule="exact"/>
              <w:ind w:firstLine="0"/>
              <w:jc w:val="left"/>
              <w:snapToGrid w:val="0"/>
            </w:pPr>
            <w:r>
              <w:rPr>
                <w:rFonts w:ascii="Times New Roman" w:hAnsi="Times New Roman" w:eastAsia="宋体"/>
                <w:b w:val="0"/>
                <w:sz w:val="21"/>
              </w:rPr>
              <w:t xml:space="preserve">毕业设计指导日志    </w:t>
            </w:r>
            <w:r>
              <w:rPr>
                <w:rFonts w:ascii="DejaVu Sans" w:hAnsi="DejaVu Sans" w:eastAsia="宋体"/>
                <w:b w:val="0"/>
                <w:sz w:val="21"/>
              </w:rPr>
              <w:t xml:space="preserve">☐ </w:t>
            </w:r>
            <w:r>
              <w:rPr>
                <w:rFonts w:ascii="Times New Roman" w:hAnsi="Times New Roman" w:eastAsia="宋体"/>
                <w:b w:val="0"/>
                <w:sz w:val="21"/>
              </w:rPr>
              <w:t>填写</w:t>
            </w:r>
            <w:r>
              <w:rPr>
                <w:rFonts w:ascii="Times New Roman" w:hAnsi="Times New Roman" w:eastAsia="宋体"/>
                <w:b w:val="0"/>
                <w:sz w:val="21"/>
              </w:rPr>
              <w:t xml:space="preserve">    </w:t>
            </w:r>
            <w:r>
              <w:rPr>
                <w:rFonts w:ascii="DejaVu Sans" w:hAnsi="DejaVu Sans" w:eastAsia="宋体"/>
                <w:b w:val="0"/>
                <w:sz w:val="21"/>
              </w:rPr>
              <w:t xml:space="preserve">☐ </w:t>
            </w:r>
            <w:r>
              <w:rPr>
                <w:rFonts w:ascii="Times New Roman" w:hAnsi="Times New Roman" w:eastAsia="宋体"/>
                <w:b w:val="0"/>
                <w:sz w:val="21"/>
              </w:rPr>
              <w:t>未填写</w:t>
            </w:r>
          </w:p>
        </w:tc>
      </w:tr>
      <w:tr w:rsidR="00635D9B" w:rsidRPr="00BD69A1" w:rsidTr="00A825FB">
        <w:trPr>
          <w:trHeight w:hRule="auto"/>
          <w:cantSplit/>
        </w:trPr>
        <w:tc>
          <w:tcPr>
            <w:tcW w:w="743" w:type="dxa"/>
            <w:vAlign w:val="center"/>
          </w:tcPr>
          <w:p w:rsidR="00635D9B" w:rsidRPr="005D68E1" w:rsidRDefault="00635D9B" w:rsidP="00635D9B">
            <w:pPr>
              <w:jc w:val="center"/>
              <w:rPr>
                <w:rFonts w:ascii="宋体" w:hAnsi="宋体" w:cs="宋体"/>
                <w:color w:val="000000"/>
                <w:kern w:val="0"/>
                <w:sz w:val="24"/>
                <w:szCs w:val="24"/>
              </w:rPr>
            </w:pPr>
            <w:r w:rsidRPr="005D68E1">
              <w:rPr>
                <w:rFonts w:ascii="宋体" w:hAnsi="宋体" w:cs="宋体" w:hint="eastAsia"/>
                <w:color w:val="000000"/>
                <w:kern w:val="0"/>
                <w:sz w:val="24"/>
                <w:szCs w:val="24"/>
              </w:rPr>
              <w:t>选题</w:t>
            </w:r>
          </w:p>
          <w:p w:rsidR="00635D9B" w:rsidRPr="005D68E1" w:rsidRDefault="00635D9B" w:rsidP="00635D9B">
            <w:pPr>
              <w:jc w:val="center"/>
              <w:rPr>
                <w:rFonts w:ascii="宋体" w:hAnsi="宋体" w:cs="宋体"/>
                <w:color w:val="000000"/>
                <w:kern w:val="0"/>
                <w:sz w:val="24"/>
                <w:szCs w:val="24"/>
              </w:rPr>
            </w:pPr>
            <w:r w:rsidRPr="005D68E1">
              <w:rPr>
                <w:rFonts w:ascii="宋体" w:hAnsi="宋体" w:cs="宋体"/>
                <w:color w:val="000000"/>
                <w:kern w:val="0"/>
                <w:sz w:val="24"/>
                <w:szCs w:val="24"/>
              </w:rPr>
              <w:t>意义</w:t>
            </w:r>
            <w:r w:rsidRPr="005D68E1">
              <w:rPr>
                <w:rFonts w:ascii="宋体" w:hAnsi="宋体" w:cs="宋体" w:hint="eastAsia"/>
                <w:color w:val="000000"/>
                <w:kern w:val="0"/>
                <w:sz w:val="24"/>
                <w:szCs w:val="24"/>
              </w:rPr>
              <w:t>和</w:t>
            </w:r>
            <w:r>
              <w:rPr>
                <w:rFonts w:ascii="宋体" w:hAnsi="宋体" w:cs="宋体" w:hint="eastAsia"/>
                <w:color w:val="000000"/>
                <w:kern w:val="0"/>
                <w:sz w:val="24"/>
                <w:szCs w:val="24"/>
              </w:rPr>
              <w:t>国内外</w:t>
            </w:r>
            <w:r w:rsidRPr="005D68E1">
              <w:rPr>
                <w:rFonts w:ascii="宋体" w:hAnsi="宋体" w:cs="宋体" w:hint="eastAsia"/>
                <w:color w:val="000000"/>
                <w:kern w:val="0"/>
                <w:sz w:val="24"/>
                <w:szCs w:val="24"/>
              </w:rPr>
              <w:t>研究现状</w:t>
            </w:r>
            <w:r>
              <w:rPr>
                <w:rFonts w:ascii="宋体" w:hAnsi="宋体" w:cs="宋体" w:hint="eastAsia"/>
                <w:color w:val="000000"/>
                <w:kern w:val="0"/>
                <w:sz w:val="24"/>
                <w:szCs w:val="24"/>
              </w:rPr>
              <w:t>分析</w:t>
            </w:r>
          </w:p>
        </w:tc>
        <w:tc>
          <w:tcPr>
            <w:tcW w:w="7657" w:type="dxa"/>
            <w:gridSpan w:val="7"/>
            <w:vAlign w:val="top"/>
          </w:tcPr>
          <w:p>
            <w:pPr>
              <w:keepNext/>
              <w:widowControl/>
              <w:spacing w:before="40" w:after="40" w:line="250" w:lineRule="exact"/>
              <w:ind w:firstLine="0"/>
              <w:jc w:val="left"/>
              <w:snapToGrid w:val="0"/>
            </w:pPr>
            <w:r>
              <w:rPr>
                <w:rFonts w:ascii="Times New Roman" w:hAnsi="Times New Roman" w:eastAsia="宋体"/>
                <w:b/>
                <w:sz w:val="21"/>
              </w:rPr>
              <w:t>Significance</w:t>
            </w:r>
          </w:p>
          <w:p>
            <w:pPr>
              <w:keepNext w:val="0"/>
              <w:widowControl/>
              <w:spacing w:before="0" w:after="40" w:line="250" w:lineRule="exact"/>
              <w:ind w:firstLine="0"/>
              <w:jc w:val="left"/>
              <w:snapToGrid w:val="0"/>
            </w:pPr>
            <w:r>
              <w:rPr>
                <w:rFonts w:ascii="Times New Roman" w:hAnsi="Times New Roman" w:eastAsia="宋体"/>
                <w:b w:val="0"/>
                <w:sz w:val="21"/>
              </w:rPr>
              <w:t>Chinese railway overhead contact system standards contain specialised terminology, numerical limits and edition-dependent conditions. Keyword searches can miss paraphrased questions, while fluent model answers can omit qualifications or cite an inappropriate edition. A document-grounded question-answering system should therefore expose the evidence and its location, preserve standard identifiers and years, and explain when the selected corpus cannot support an answer. The intended benefit is more traceable study and document consultation; the system will not certify compliance or authorise railway operations.</w:t>
            </w:r>
          </w:p>
          <w:p>
            <w:pPr>
              <w:keepNext/>
              <w:widowControl/>
              <w:spacing w:before="40" w:after="40" w:line="250" w:lineRule="exact"/>
              <w:ind w:firstLine="0"/>
              <w:jc w:val="left"/>
              <w:snapToGrid w:val="0"/>
            </w:pPr>
            <w:r>
              <w:rPr>
                <w:rFonts w:ascii="Times New Roman" w:hAnsi="Times New Roman" w:eastAsia="宋体"/>
                <w:b/>
                <w:sz w:val="21"/>
              </w:rPr>
              <w:t>International research</w:t>
            </w:r>
          </w:p>
          <w:p>
            <w:pPr>
              <w:keepNext w:val="0"/>
              <w:widowControl/>
              <w:spacing w:before="0" w:after="40" w:line="250" w:lineRule="exact"/>
              <w:ind w:firstLine="0"/>
              <w:jc w:val="left"/>
              <w:snapToGrid w:val="0"/>
            </w:pPr>
            <w:r>
              <w:rPr>
                <w:rFonts w:ascii="Times New Roman" w:hAnsi="Times New Roman" w:eastAsia="宋体"/>
                <w:b w:val="0"/>
                <w:sz w:val="21"/>
              </w:rPr>
              <w:t>Retrieval-augmented generation connects language generation with external evidence [1]. BM25 provides a lexical baseline [2], whereas dense passage retrieval uses vector representations for semantic matching [3]. Their different matching mechanisms justify an empirical comparison with score-based Hybrid retrieval rather than assuming that either method is best for technical standards. Query-rewriting research highlights the importance of forming a useful retrieval query [4], motivating limited rule-based follow-ups in this project. Irrelevant-context research [5] motivates evidence-relevance checks, although its arithmetic findings do not establish railway performance. RAGAs distinguishes retrieval quality, faithfulness and answer quality [6]; this project will assess semantic support manually rather than introduce an automatic model-based judge.</w:t>
            </w:r>
          </w:p>
          <w:p>
            <w:pPr>
              <w:keepNext/>
              <w:widowControl/>
              <w:spacing w:before="40" w:after="40" w:line="250" w:lineRule="exact"/>
              <w:ind w:firstLine="0"/>
              <w:jc w:val="left"/>
              <w:snapToGrid w:val="0"/>
            </w:pPr>
            <w:r>
              <w:rPr>
                <w:rFonts w:ascii="Times New Roman" w:hAnsi="Times New Roman" w:eastAsia="宋体"/>
                <w:b/>
                <w:sz w:val="21"/>
              </w:rPr>
              <w:t>Chinese-language research and project focus</w:t>
            </w:r>
          </w:p>
          <w:p>
            <w:pPr>
              <w:keepNext w:val="0"/>
              <w:widowControl/>
              <w:spacing w:before="0" w:after="40" w:line="250" w:lineRule="exact"/>
              <w:ind w:firstLine="0"/>
              <w:jc w:val="left"/>
              <w:snapToGrid w:val="0"/>
            </w:pPr>
            <w:r>
              <w:rPr>
                <w:rFonts w:ascii="Times New Roman" w:hAnsi="Times New Roman" w:eastAsia="宋体"/>
                <w:b w:val="0"/>
                <w:sz w:val="21"/>
              </w:rPr>
              <w:t>Feng et al.'s Chinese-language survey reviews retrieval timing, retrieval methods, evidence use and evaluation [7]. It supports examining retrieval and generation together, but does not establish effectiveness for the standards selected here. The proposed study will investigate three practical questions: whether Hybrid retrieval improves evidence recall, whether edition filtering reduces wrong-edition answers, and whether an Evidence Gate reduces unsupported answers without excessive refusal. The contribution will be a curated corpus, a reproducible engineering comparison and an analysis of failures and limitations; no new model-training method is claimed.</w:t>
            </w:r>
          </w:p>
        </w:tc>
      </w:tr>
    </w:tbl>
    <w:p>
      <w:pPr>
        <w:pageBreakBefore/>
        <w:keepNext/>
        <w:snapToGrid w:val="0"/>
        <w:spacing w:before="0" w:after="0" w:line="20" w:lineRule="exact"/>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743"/>
        <w:gridCol w:w="621"/>
        <w:gridCol w:w="1670"/>
        <w:gridCol w:w="1061"/>
        <w:gridCol w:w="787"/>
        <w:gridCol w:w="578"/>
        <w:gridCol w:w="693"/>
        <w:gridCol w:w="2247"/>
      </w:tblGrid>
      <w:tr w:rsidR="00635D9B" w:rsidRPr="00BD69A1" w:rsidTr="00A825FB">
        <w:trPr>
          <w:trHeight w:hRule="auto"/>
        </w:trPr>
        <w:tc>
          <w:tcPr>
            <w:tcW w:w="743" w:type="dxa"/>
            <w:vAlign w:val="center"/>
          </w:tcPr>
          <w:p w:rsidR="00635D9B" w:rsidRPr="005D68E1" w:rsidRDefault="00635D9B" w:rsidP="00635D9B">
            <w:pPr>
              <w:jc w:val="center"/>
              <w:rPr>
                <w:rFonts w:ascii="宋体" w:hAnsi="宋体" w:cs="宋体"/>
                <w:color w:val="000000"/>
                <w:kern w:val="0"/>
                <w:sz w:val="24"/>
                <w:szCs w:val="24"/>
              </w:rPr>
            </w:pPr>
            <w:r w:rsidRPr="005D68E1">
              <w:rPr>
                <w:rFonts w:ascii="宋体" w:hAnsi="宋体" w:cs="宋体" w:hint="eastAsia"/>
                <w:color w:val="000000"/>
                <w:kern w:val="0"/>
                <w:sz w:val="24"/>
                <w:szCs w:val="24"/>
              </w:rPr>
              <w:lastRenderedPageBreak/>
              <w:t>主要研究</w:t>
            </w:r>
            <w:r>
              <w:rPr>
                <w:rFonts w:ascii="宋体" w:hAnsi="宋体" w:cs="宋体" w:hint="eastAsia"/>
                <w:color w:val="000000"/>
                <w:kern w:val="0"/>
                <w:sz w:val="24"/>
                <w:szCs w:val="24"/>
              </w:rPr>
              <w:t>目标和研究</w:t>
            </w:r>
            <w:r w:rsidRPr="005D68E1">
              <w:rPr>
                <w:rFonts w:ascii="宋体" w:hAnsi="宋体" w:cs="宋体" w:hint="eastAsia"/>
                <w:color w:val="000000"/>
                <w:kern w:val="0"/>
                <w:sz w:val="24"/>
                <w:szCs w:val="24"/>
              </w:rPr>
              <w:t>内容</w:t>
            </w:r>
          </w:p>
        </w:tc>
        <w:tc>
          <w:tcPr>
            <w:tcW w:w="7657" w:type="dxa"/>
            <w:gridSpan w:val="7"/>
            <w:vAlign w:val="top"/>
          </w:tcPr>
          <w:p>
            <w:pPr>
              <w:keepNext/>
              <w:widowControl/>
              <w:spacing w:before="40" w:after="40" w:line="250" w:lineRule="exact"/>
              <w:ind w:firstLine="0"/>
              <w:jc w:val="left"/>
              <w:snapToGrid w:val="0"/>
            </w:pPr>
            <w:r>
              <w:rPr>
                <w:rFonts w:ascii="Times New Roman" w:hAnsi="Times New Roman" w:eastAsia="宋体"/>
                <w:b/>
                <w:sz w:val="21"/>
              </w:rPr>
              <w:t>Aim and research questions</w:t>
            </w:r>
          </w:p>
          <w:p>
            <w:pPr>
              <w:keepNext w:val="0"/>
              <w:widowControl/>
              <w:spacing w:before="0" w:after="40" w:line="250" w:lineRule="exact"/>
              <w:ind w:firstLine="0"/>
              <w:jc w:val="left"/>
              <w:snapToGrid w:val="0"/>
            </w:pPr>
            <w:r>
              <w:rPr>
                <w:rFonts w:ascii="Times New Roman" w:hAnsi="Times New Roman" w:eastAsia="宋体"/>
                <w:b w:val="0"/>
                <w:sz w:val="21"/>
              </w:rPr>
              <w:t>The aim is to design and evaluate a local RAG system for Chinese overhead contact system standards. RQ1 compares retrieval methods, RQ2 evaluates edition filtering, and RQ3 evaluates evidence gating and refusal.</w:t>
            </w:r>
          </w:p>
          <w:p>
            <w:pPr>
              <w:keepNext/>
              <w:widowControl/>
              <w:spacing w:before="40" w:after="40" w:line="250" w:lineRule="exact"/>
              <w:ind w:firstLine="0"/>
              <w:jc w:val="left"/>
              <w:snapToGrid w:val="0"/>
            </w:pPr>
            <w:r>
              <w:rPr>
                <w:rFonts w:ascii="Times New Roman" w:hAnsi="Times New Roman" w:eastAsia="宋体"/>
                <w:b/>
                <w:sz w:val="21"/>
              </w:rPr>
              <w:t>Objectives and system design</w:t>
            </w:r>
          </w:p>
          <w:p>
            <w:pPr>
              <w:keepNext w:val="0"/>
              <w:widowControl/>
              <w:spacing w:before="0" w:after="40" w:line="250" w:lineRule="exact"/>
              <w:ind w:firstLine="0"/>
              <w:jc w:val="left"/>
              <w:snapToGrid w:val="0"/>
            </w:pPr>
            <w:r>
              <w:rPr>
                <w:rFonts w:ascii="Times New Roman" w:hAnsi="Times New Roman" w:eastAsia="宋体"/>
                <w:b w:val="0"/>
                <w:sz w:val="21"/>
              </w:rPr>
              <w:t>O1: By Week 11, curate 20–30 usable documents, recording provenance, permissions, hashes, identifiers, editions and extraction quality. Seek two families with two formal editions each; distinguish duplicates from editions and exclude unsuitable scans/drafts.</w:t>
            </w:r>
          </w:p>
          <w:p>
            <w:pPr>
              <w:keepNext w:val="0"/>
              <w:widowControl/>
              <w:spacing w:before="0" w:after="40" w:line="250" w:lineRule="exact"/>
              <w:ind w:firstLine="0"/>
              <w:jc w:val="left"/>
              <w:snapToGrid w:val="0"/>
            </w:pPr>
            <w:r>
              <w:rPr>
                <w:rFonts w:ascii="Times New Roman" w:hAnsi="Times New Roman" w:eastAsia="宋体"/>
                <w:b w:val="0"/>
                <w:sz w:val="21"/>
              </w:rPr>
              <w:t>O2: By Week 16, verify PDF/DOCX parsing, chunking, SQLite, retrieval, DeepSeek, rule-based follow-ups and Streamlit integration. Locate evidence by PDF file-page or DOCX paragraph/table. Refuse missing editions and clarify unspecified editions where multiple candidates exist.</w:t>
            </w:r>
          </w:p>
          <w:p>
            <w:pPr>
              <w:keepNext w:val="0"/>
              <w:widowControl/>
              <w:spacing w:before="0" w:after="40" w:line="250" w:lineRule="exact"/>
              <w:ind w:firstLine="0"/>
              <w:jc w:val="left"/>
              <w:snapToGrid w:val="0"/>
            </w:pPr>
            <w:r>
              <w:rPr>
                <w:rFonts w:ascii="Times New Roman" w:hAnsi="Times New Roman" w:eastAsia="宋体"/>
                <w:b w:val="0"/>
                <w:sz w:val="21"/>
              </w:rPr>
              <w:t>O3: By Week 17, freeze 100 source-checked questions: 20 development items (16 answerable) and 80 test items (64 answerable). Record required facts, units, conditions and evidence spans; keep related facts and dialogues within one split.</w:t>
            </w:r>
          </w:p>
          <w:p>
            <w:pPr>
              <w:keepNext w:val="0"/>
              <w:widowControl/>
              <w:spacing w:before="0" w:after="40" w:line="250" w:lineRule="exact"/>
              <w:ind w:firstLine="0"/>
              <w:jc w:val="left"/>
              <w:snapToGrid w:val="0"/>
            </w:pPr>
            <w:r>
              <w:rPr>
                <w:rFonts w:ascii="Times New Roman" w:hAnsi="Times New Roman" w:eastAsia="宋体"/>
                <w:b w:val="0"/>
                <w:sz w:val="21"/>
              </w:rPr>
              <w:t>O4: By Week 20, compare B1 BM25, B2 Dense, B3 Hybrid, A1 Hybrid without edition checks, and A2 Hybrid without the retrieval gate. A1 retains standard-family filtering; A2 retains prompts, citation validation and error handling. All five use the same frozen corpus, questions and generation configuration.</w:t>
            </w:r>
          </w:p>
          <w:p>
            <w:pPr>
              <w:keepNext w:val="0"/>
              <w:widowControl/>
              <w:spacing w:before="0" w:after="40" w:line="250" w:lineRule="exact"/>
              <w:ind w:firstLine="0"/>
              <w:jc w:val="left"/>
              <w:snapToGrid w:val="0"/>
            </w:pPr>
            <w:r>
              <w:rPr>
                <w:rFonts w:ascii="Times New Roman" w:hAnsi="Times New Roman" w:eastAsia="宋体"/>
                <w:b w:val="0"/>
                <w:sz w:val="21"/>
              </w:rPr>
              <w:t>O5: By Week 24, deliver the system, reproducibility records, report, Portfolio and video; attend the Week 18 Symposium and prepare for the Weeks 25–27 viva.</w:t>
            </w:r>
          </w:p>
          <w:p>
            <w:pPr>
              <w:keepNext/>
              <w:widowControl/>
              <w:spacing w:before="40" w:after="40" w:line="250" w:lineRule="exact"/>
              <w:ind w:firstLine="0"/>
              <w:jc w:val="left"/>
              <w:snapToGrid w:val="0"/>
            </w:pPr>
            <w:r>
              <w:rPr>
                <w:rFonts w:ascii="Times New Roman" w:hAnsi="Times New Roman" w:eastAsia="宋体"/>
                <w:b/>
                <w:sz w:val="21"/>
              </w:rPr>
              <w:t>Method and evaluation</w:t>
            </w:r>
          </w:p>
          <w:p>
            <w:pPr>
              <w:keepNext w:val="0"/>
              <w:widowControl/>
              <w:spacing w:before="0" w:after="40" w:line="250" w:lineRule="exact"/>
              <w:ind w:firstLine="0"/>
              <w:jc w:val="left"/>
              <w:snapToGrid w:val="0"/>
            </w:pPr>
            <w:r>
              <w:rPr>
                <w:rFonts w:ascii="Times New Roman" w:hAnsi="Times New Roman" w:eastAsia="宋体"/>
                <w:b w:val="0"/>
                <w:sz w:val="21"/>
              </w:rPr>
              <w:t>Use consistent Chinese tokenisation and a small domain dictionary, preserving identifiers, technical terms, numbers and units. For Hybrid retrieval, min–max normalise BM25 and cosine scores over eligible chunks and combine them as (1−w)B+wD. Constant positive scores map to one; other constants map to zero. Select w from {0.25, 0.50, 0.75} using development Recall@5, then MRR@5, with ties favouring 0.50. Select gate thresholds on development data only; freeze all settings before testing.</w:t>
            </w:r>
          </w:p>
          <w:p>
            <w:pPr>
              <w:keepNext w:val="0"/>
              <w:widowControl/>
              <w:spacing w:before="0" w:after="40" w:line="250" w:lineRule="exact"/>
              <w:ind w:firstLine="0"/>
              <w:jc w:val="left"/>
              <w:snapToGrid w:val="0"/>
            </w:pPr>
            <w:r>
              <w:rPr>
                <w:rFonts w:ascii="Times New Roman" w:hAnsi="Times New Roman" w:eastAsia="宋体"/>
                <w:b w:val="0"/>
                <w:sz w:val="21"/>
              </w:rPr>
              <w:t>Lexical coverage is the proportion of distinct query content tokens matched in passage tokens, excluding identifiers and fixed stopwords; empty sets score zero. The gate accepts sufficient coverage or raw cosine similarity. Metadata, citation numbers and literal excerpts are checked automatically; semantic support requires human judgement.</w:t>
            </w:r>
          </w:p>
          <w:p>
            <w:pPr>
              <w:keepNext w:val="0"/>
              <w:widowControl/>
              <w:spacing w:before="0" w:after="40" w:line="250" w:lineRule="exact"/>
              <w:ind w:firstLine="0"/>
              <w:jc w:val="left"/>
              <w:snapToGrid w:val="0"/>
            </w:pPr>
            <w:r>
              <w:rPr>
                <w:rFonts w:ascii="Times New Roman" w:hAnsi="Times New Roman" w:eastAsia="宋体"/>
                <w:b w:val="0"/>
                <w:sz w:val="21"/>
              </w:rPr>
              <w:t>Recall@5 and MRR@5 use pre-gate rankings for all 64 answerable test items. Correctness is fully correct answers/64; false refusal is refusals or unnecessary clarifications/64. Refusal recall is justified non-answering/16 unanswerable items. Citation support is supported cited claims/all cited claims; report citation coverage separately. Wrong-edition rate uses all unambiguously edition-specified items, including missing editions; report availability strata and answer coverage. API/format failures are errors, not justified refusals; zero denominators are N/A. Unsupported-answer incidence uses all 80 test items. Report counts, paired differences, uncertainty, latency and failures.</w:t>
            </w:r>
          </w:p>
          <w:p>
            <w:pPr>
              <w:keepNext w:val="0"/>
              <w:widowControl/>
              <w:spacing w:before="0" w:after="40" w:line="250" w:lineRule="exact"/>
              <w:ind w:firstLine="0"/>
              <w:jc w:val="left"/>
              <w:snapToGrid w:val="0"/>
            </w:pPr>
            <w:r>
              <w:rPr>
                <w:rFonts w:ascii="Times New Roman" w:hAnsi="Times New Roman" w:eastAsia="宋体"/>
                <w:b w:val="0"/>
                <w:sz w:val="21"/>
              </w:rPr>
              <w:t>Targets, not results: Recall@5 and correctness ≥0.80, citation support ≥0.90, refusal recall ≥0.80 and false refusal ≤0.10. The main experiment contains 80×5=400 executions. Manual scoring will use a shared rubric and masked configuration labels.</w:t>
            </w:r>
          </w:p>
          <w:p>
            <w:pPr>
              <w:keepNext/>
              <w:widowControl/>
              <w:spacing w:before="40" w:after="40" w:line="250" w:lineRule="exact"/>
              <w:ind w:firstLine="0"/>
              <w:jc w:val="left"/>
              <w:snapToGrid w:val="0"/>
            </w:pPr>
            <w:r>
              <w:rPr>
                <w:rFonts w:ascii="Times New Roman" w:hAnsi="Times New Roman" w:eastAsia="宋体"/>
                <w:b/>
                <w:sz w:val="21"/>
              </w:rPr>
              <w:t>Feasibility and boundaries</w:t>
            </w:r>
          </w:p>
          <w:p>
            <w:pPr>
              <w:keepNext w:val="0"/>
              <w:widowControl/>
              <w:spacing w:before="0" w:after="40" w:line="250" w:lineRule="exact"/>
              <w:ind w:firstLine="0"/>
              <w:jc w:val="left"/>
              <w:snapToGrid w:val="0"/>
            </w:pPr>
            <w:r>
              <w:rPr>
                <w:rFonts w:ascii="Times New Roman" w:hAnsi="Times New Roman" w:eastAsia="宋体"/>
                <w:b w:val="0"/>
                <w:sz w:val="21"/>
              </w:rPr>
              <w:t>An existing BM25 prototype and synthetic DeepSeek checks support initial feasibility; embedding access and formal evaluation remain unverified. Only permitted text may leave the device. Insufficient edition pairs require a limited case study, retaining A1. Reuse CPU hardware and APIs; exclude training, OCR, drawings, agents, knowledge graphs, hardware development and deployment. Acknowledge reused code and AI assistance.</w:t>
            </w:r>
          </w:p>
        </w:tc>
      </w:tr>
    </w:tbl>
    <w:p>
      <w:pPr>
        <w:pageBreakBefore/>
        <w:keepNext/>
        <w:snapToGrid w:val="0"/>
        <w:spacing w:before="0" w:after="0" w:line="20" w:lineRule="exact"/>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743"/>
        <w:gridCol w:w="621"/>
        <w:gridCol w:w="1670"/>
        <w:gridCol w:w="1061"/>
        <w:gridCol w:w="787"/>
        <w:gridCol w:w="578"/>
        <w:gridCol w:w="693"/>
        <w:gridCol w:w="2247"/>
      </w:tblGrid>
      <w:tr w:rsidR="00635D9B" w:rsidRPr="00BD69A1" w:rsidTr="00A825FB">
        <w:trPr>
          <w:trHeight w:hRule="auto"/>
          <w:cantSplit/>
        </w:trPr>
        <w:tc>
          <w:tcPr>
            <w:tcW w:w="743" w:type="dxa"/>
            <w:vAlign w:val="center"/>
          </w:tcPr>
          <w:p w:rsidR="00635D9B" w:rsidRPr="005D68E1" w:rsidRDefault="00635D9B" w:rsidP="00635D9B">
            <w:pPr>
              <w:jc w:val="center"/>
              <w:rPr>
                <w:rFonts w:ascii="宋体" w:hAnsi="宋体" w:cs="宋体"/>
                <w:color w:val="000000"/>
                <w:kern w:val="0"/>
                <w:sz w:val="24"/>
                <w:szCs w:val="24"/>
              </w:rPr>
            </w:pPr>
            <w:r w:rsidRPr="00BD69A1">
              <w:rPr>
                <w:rFonts w:ascii="宋体" w:hAnsi="宋体" w:cs="宋体"/>
                <w:color w:val="000000"/>
                <w:kern w:val="0"/>
                <w:sz w:val="24"/>
              </w:rPr>
              <w:lastRenderedPageBreak/>
              <w:t>工作计划及</w:t>
            </w:r>
            <w:r>
              <w:rPr>
                <w:rFonts w:ascii="宋体" w:hAnsi="宋体" w:cs="宋体" w:hint="eastAsia"/>
                <w:color w:val="000000"/>
                <w:kern w:val="0"/>
                <w:sz w:val="24"/>
              </w:rPr>
              <w:t>进度</w:t>
            </w:r>
            <w:r w:rsidRPr="00BD69A1">
              <w:rPr>
                <w:rFonts w:ascii="宋体" w:hAnsi="宋体" w:cs="宋体" w:hint="eastAsia"/>
                <w:color w:val="000000"/>
                <w:kern w:val="0"/>
                <w:sz w:val="24"/>
              </w:rPr>
              <w:t>安排</w:t>
            </w:r>
          </w:p>
        </w:tc>
        <w:tc>
          <w:tcPr>
            <w:tcW w:w="7657" w:type="dxa"/>
            <w:gridSpan w:val="7"/>
            <w:vAlign w:val="top"/>
          </w:tcPr>
          <w:p>
            <w:pPr>
              <w:keepNext w:val="0"/>
              <w:widowControl/>
              <w:spacing w:before="0" w:after="40" w:line="250" w:lineRule="exact"/>
              <w:ind w:firstLine="0"/>
              <w:jc w:val="left"/>
              <w:snapToGrid w:val="0"/>
            </w:pPr>
            <w:r>
              <w:rPr>
                <w:rFonts w:ascii="Times New Roman" w:hAnsi="Times New Roman" w:eastAsia="宋体"/>
                <w:b w:val="0"/>
                <w:sz w:val="21"/>
              </w:rPr>
              <w:t>Research weeks follow the signed ELEC3801 Proposal. Later semester dates and Chinese-side assessment dates follow official notices; these numbered weeks are not a newly approved institutional calendar. The dependency chain is corpus curation → benchmark authoring → configuration freeze → evaluation → report/submission, with integration also required before freezing.</w:t>
            </w:r>
          </w:p>
          <w:tbl>
            <w:tblPr>
              <w:tblW w:type="auto" w:w="0"/>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992"/>
              <w:gridCol w:w="6350"/>
            </w:tblGrid>
            <w:tr>
              <w:trPr>
                <w:cantSplit/>
                <w:tblHeader/>
              </w:trPr>
              <w:tc>
                <w:tcPr>
                  <w:tcW w:type="dxa" w:w="992"/>
                  <w:vAlign w:val="center"/>
                </w:tcPr>
                <w:p>
                  <w:pPr>
                    <w:keepNext w:val="0"/>
                    <w:widowControl/>
                    <w:spacing w:before="0" w:after="0" w:line="230" w:lineRule="exact"/>
                    <w:ind w:firstLine="0"/>
                    <w:jc w:val="left"/>
                    <w:snapToGrid w:val="0"/>
                  </w:pPr>
                  <w:r>
                    <w:rPr>
                      <w:rFonts w:ascii="Times New Roman" w:hAnsi="Times New Roman" w:eastAsia="宋体"/>
                      <w:b/>
                      <w:sz w:val="19"/>
                    </w:rPr>
                    <w:t>Weeks</w:t>
                  </w:r>
                </w:p>
              </w:tc>
              <w:tc>
                <w:tcPr>
                  <w:tcW w:type="dxa" w:w="6350"/>
                  <w:vAlign w:val="center"/>
                </w:tcPr>
                <w:p>
                  <w:pPr>
                    <w:keepNext w:val="0"/>
                    <w:widowControl/>
                    <w:spacing w:before="0" w:after="0" w:line="230" w:lineRule="exact"/>
                    <w:ind w:firstLine="0"/>
                    <w:jc w:val="left"/>
                    <w:snapToGrid w:val="0"/>
                  </w:pPr>
                  <w:r>
                    <w:rPr>
                      <w:rFonts w:ascii="Times New Roman" w:hAnsi="Times New Roman" w:eastAsia="宋体"/>
                      <w:b/>
                      <w:sz w:val="19"/>
                    </w:rPr>
                    <w:t>Tasks and planned outputs</w:t>
                  </w:r>
                </w:p>
              </w:tc>
            </w:tr>
            <w:tr>
              <w:trPr>
                <w:cantSplit/>
              </w:trPr>
              <w:tc>
                <w:tcPr>
                  <w:tcW w:type="dxa" w:w="992"/>
                  <w:vAlign w:val="center"/>
                </w:tcPr>
                <w:p>
                  <w:pPr>
                    <w:keepNext w:val="0"/>
                    <w:widowControl/>
                    <w:spacing w:before="0" w:after="0" w:line="230" w:lineRule="exact"/>
                    <w:ind w:firstLine="0"/>
                    <w:jc w:val="left"/>
                    <w:snapToGrid w:val="0"/>
                  </w:pPr>
                  <w:r>
                    <w:rPr>
                      <w:rFonts w:ascii="Times New Roman" w:hAnsi="Times New Roman" w:eastAsia="宋体"/>
                      <w:b w:val="0"/>
                      <w:sz w:val="19"/>
                    </w:rPr>
                    <w:t>5–8</w:t>
                  </w:r>
                </w:p>
              </w:tc>
              <w:tc>
                <w:tcPr>
                  <w:tcW w:type="dxa" w:w="6350"/>
                  <w:vAlign w:val="center"/>
                </w:tcPr>
                <w:p>
                  <w:pPr>
                    <w:keepNext w:val="0"/>
                    <w:widowControl/>
                    <w:spacing w:before="0" w:after="0" w:line="230" w:lineRule="exact"/>
                    <w:ind w:firstLine="0"/>
                    <w:jc w:val="left"/>
                    <w:snapToGrid w:val="0"/>
                  </w:pPr>
                  <w:r>
                    <w:rPr>
                      <w:rFonts w:ascii="Times New Roman" w:hAnsi="Times New Roman" w:eastAsia="宋体"/>
                      <w:b w:val="0"/>
                      <w:sz w:val="19"/>
                    </w:rPr>
                    <w:t>T01–T04: scope, initial literature, sample/permission audit and Proposal review. T02 literature work continues to Week 10.</w:t>
                  </w:r>
                </w:p>
              </w:tc>
            </w:tr>
            <w:tr>
              <w:trPr>
                <w:cantSplit/>
              </w:trPr>
              <w:tc>
                <w:tcPr>
                  <w:tcW w:type="dxa" w:w="992"/>
                  <w:vAlign w:val="center"/>
                </w:tcPr>
                <w:p>
                  <w:pPr>
                    <w:keepNext w:val="0"/>
                    <w:widowControl/>
                    <w:spacing w:before="0" w:after="0" w:line="230" w:lineRule="exact"/>
                    <w:ind w:firstLine="0"/>
                    <w:jc w:val="left"/>
                    <w:snapToGrid w:val="0"/>
                  </w:pPr>
                  <w:r>
                    <w:rPr>
                      <w:rFonts w:ascii="Times New Roman" w:hAnsi="Times New Roman" w:eastAsia="宋体"/>
                      <w:b w:val="0"/>
                      <w:sz w:val="19"/>
                    </w:rPr>
                    <w:t>9–10</w:t>
                  </w:r>
                </w:p>
              </w:tc>
              <w:tc>
                <w:tcPr>
                  <w:tcW w:type="dxa" w:w="6350"/>
                  <w:vAlign w:val="center"/>
                </w:tcPr>
                <w:p>
                  <w:pPr>
                    <w:keepNext w:val="0"/>
                    <w:widowControl/>
                    <w:spacing w:before="0" w:after="0" w:line="230" w:lineRule="exact"/>
                    <w:ind w:firstLine="0"/>
                    <w:jc w:val="left"/>
                    <w:snapToGrid w:val="0"/>
                  </w:pPr>
                  <w:r>
                    <w:rPr>
                      <w:rFonts w:ascii="Times New Roman" w:hAnsi="Times New Roman" w:eastAsia="宋体"/>
                      <w:b w:val="0"/>
                      <w:sz w:val="19"/>
                    </w:rPr>
                    <w:t>T05/T06: verify environment, baseline and separate embedding access; begin permitted corpus curation and index checks.</w:t>
                  </w:r>
                </w:p>
              </w:tc>
            </w:tr>
            <w:tr>
              <w:trPr>
                <w:cantSplit/>
              </w:trPr>
              <w:tc>
                <w:tcPr>
                  <w:tcW w:type="dxa" w:w="992"/>
                  <w:vAlign w:val="center"/>
                </w:tcPr>
                <w:p>
                  <w:pPr>
                    <w:keepNext w:val="0"/>
                    <w:widowControl/>
                    <w:spacing w:before="0" w:after="0" w:line="230" w:lineRule="exact"/>
                    <w:ind w:firstLine="0"/>
                    <w:jc w:val="left"/>
                    <w:snapToGrid w:val="0"/>
                  </w:pPr>
                  <w:r>
                    <w:rPr>
                      <w:rFonts w:ascii="Times New Roman" w:hAnsi="Times New Roman" w:eastAsia="宋体"/>
                      <w:b w:val="0"/>
                      <w:sz w:val="19"/>
                    </w:rPr>
                    <w:t>11</w:t>
                  </w:r>
                </w:p>
              </w:tc>
              <w:tc>
                <w:tcPr>
                  <w:tcW w:type="dxa" w:w="6350"/>
                  <w:vAlign w:val="center"/>
                </w:tcPr>
                <w:p>
                  <w:pPr>
                    <w:keepNext w:val="0"/>
                    <w:widowControl/>
                    <w:spacing w:before="0" w:after="0" w:line="230" w:lineRule="exact"/>
                    <w:ind w:firstLine="0"/>
                    <w:jc w:val="left"/>
                    <w:snapToGrid w:val="0"/>
                  </w:pPr>
                  <w:r>
                    <w:rPr>
                      <w:rFonts w:ascii="Times New Roman" w:hAnsi="Times New Roman" w:eastAsia="宋体"/>
                      <w:b w:val="0"/>
                      <w:sz w:val="19"/>
                    </w:rPr>
                    <w:t>T06 / M2: audit the 20–30-document target, usable edition pairs, source locations and BM25 baseline; record unmet criteria explicitly.</w:t>
                  </w:r>
                </w:p>
              </w:tc>
            </w:tr>
            <w:tr>
              <w:trPr>
                <w:cantSplit/>
              </w:trPr>
              <w:tc>
                <w:tcPr>
                  <w:tcW w:type="dxa" w:w="992"/>
                  <w:vAlign w:val="center"/>
                </w:tcPr>
                <w:p>
                  <w:pPr>
                    <w:keepNext w:val="0"/>
                    <w:widowControl/>
                    <w:spacing w:before="0" w:after="0" w:line="230" w:lineRule="exact"/>
                    <w:ind w:firstLine="0"/>
                    <w:jc w:val="left"/>
                    <w:snapToGrid w:val="0"/>
                  </w:pPr>
                  <w:r>
                    <w:rPr>
                      <w:rFonts w:ascii="Times New Roman" w:hAnsi="Times New Roman" w:eastAsia="宋体"/>
                      <w:b w:val="0"/>
                      <w:sz w:val="19"/>
                    </w:rPr>
                    <w:t>12–15</w:t>
                  </w:r>
                </w:p>
              </w:tc>
              <w:tc>
                <w:tcPr>
                  <w:tcW w:type="dxa" w:w="6350"/>
                  <w:vAlign w:val="center"/>
                </w:tcPr>
                <w:p>
                  <w:pPr>
                    <w:keepNext w:val="0"/>
                    <w:widowControl/>
                    <w:spacing w:before="0" w:after="0" w:line="230" w:lineRule="exact"/>
                    <w:ind w:firstLine="0"/>
                    <w:jc w:val="left"/>
                    <w:snapToGrid w:val="0"/>
                  </w:pPr>
                  <w:r>
                    <w:rPr>
                      <w:rFonts w:ascii="Times New Roman" w:hAnsi="Times New Roman" w:eastAsia="宋体"/>
                      <w:b w:val="0"/>
                      <w:sz w:val="19"/>
                    </w:rPr>
                    <w:t>T07/T08/T09: author and source-check questions while verifying edition handling and evidence checks. Study Dense/Hybrid behaviour using development cases.</w:t>
                  </w:r>
                </w:p>
              </w:tc>
            </w:tr>
            <w:tr>
              <w:trPr>
                <w:cantSplit/>
              </w:trPr>
              <w:tc>
                <w:tcPr>
                  <w:tcW w:type="dxa" w:w="992"/>
                  <w:vAlign w:val="center"/>
                </w:tcPr>
                <w:p>
                  <w:pPr>
                    <w:keepNext w:val="0"/>
                    <w:widowControl/>
                    <w:spacing w:before="0" w:after="0" w:line="230" w:lineRule="exact"/>
                    <w:ind w:firstLine="0"/>
                    <w:jc w:val="left"/>
                    <w:snapToGrid w:val="0"/>
                  </w:pPr>
                  <w:r>
                    <w:rPr>
                      <w:rFonts w:ascii="Times New Roman" w:hAnsi="Times New Roman" w:eastAsia="宋体"/>
                      <w:b w:val="0"/>
                      <w:sz w:val="19"/>
                    </w:rPr>
                    <w:t>16</w:t>
                  </w:r>
                </w:p>
              </w:tc>
              <w:tc>
                <w:tcPr>
                  <w:tcW w:type="dxa" w:w="6350"/>
                  <w:vAlign w:val="center"/>
                </w:tcPr>
                <w:p>
                  <w:pPr>
                    <w:keepNext w:val="0"/>
                    <w:widowControl/>
                    <w:spacing w:before="0" w:after="0" w:line="230" w:lineRule="exact"/>
                    <w:ind w:firstLine="0"/>
                    <w:jc w:val="left"/>
                    <w:snapToGrid w:val="0"/>
                  </w:pPr>
                  <w:r>
                    <w:rPr>
                      <w:rFonts w:ascii="Times New Roman" w:hAnsi="Times New Roman" w:eastAsia="宋体"/>
                      <w:b w:val="0"/>
                      <w:sz w:val="19"/>
                    </w:rPr>
                    <w:t>T07/T10 / M3: complete the reviewed question set and end-to-end integration/regression checks, including follow-ups and API failures.</w:t>
                  </w:r>
                </w:p>
              </w:tc>
            </w:tr>
            <w:tr>
              <w:trPr>
                <w:cantSplit/>
              </w:trPr>
              <w:tc>
                <w:tcPr>
                  <w:tcW w:type="dxa" w:w="992"/>
                  <w:vAlign w:val="center"/>
                </w:tcPr>
                <w:p>
                  <w:pPr>
                    <w:keepNext w:val="0"/>
                    <w:widowControl/>
                    <w:spacing w:before="0" w:after="0" w:line="230" w:lineRule="exact"/>
                    <w:ind w:firstLine="0"/>
                    <w:jc w:val="left"/>
                    <w:snapToGrid w:val="0"/>
                  </w:pPr>
                  <w:r>
                    <w:rPr>
                      <w:rFonts w:ascii="Times New Roman" w:hAnsi="Times New Roman" w:eastAsia="宋体"/>
                      <w:b w:val="0"/>
                      <w:sz w:val="19"/>
                    </w:rPr>
                    <w:t>17</w:t>
                  </w:r>
                </w:p>
              </w:tc>
              <w:tc>
                <w:tcPr>
                  <w:tcW w:type="dxa" w:w="6350"/>
                  <w:vAlign w:val="center"/>
                </w:tcPr>
                <w:p>
                  <w:pPr>
                    <w:keepNext w:val="0"/>
                    <w:widowControl/>
                    <w:spacing w:before="0" w:after="0" w:line="230" w:lineRule="exact"/>
                    <w:ind w:firstLine="0"/>
                    <w:jc w:val="left"/>
                    <w:snapToGrid w:val="0"/>
                  </w:pPr>
                  <w:r>
                    <w:rPr>
                      <w:rFonts w:ascii="Times New Roman" w:hAnsi="Times New Roman" w:eastAsia="宋体"/>
                      <w:b w:val="0"/>
                      <w:sz w:val="19"/>
                    </w:rPr>
                    <w:t>T11/T18 / M4: development-only parameter selection; freeze corpus, labels, code, prompts, models and five configurations; prepare Symposium material.</w:t>
                  </w:r>
                </w:p>
              </w:tc>
            </w:tr>
            <w:tr>
              <w:trPr>
                <w:cantSplit/>
              </w:trPr>
              <w:tc>
                <w:tcPr>
                  <w:tcW w:type="dxa" w:w="992"/>
                  <w:vAlign w:val="center"/>
                </w:tcPr>
                <w:p>
                  <w:pPr>
                    <w:keepNext w:val="0"/>
                    <w:widowControl/>
                    <w:spacing w:before="0" w:after="0" w:line="230" w:lineRule="exact"/>
                    <w:ind w:firstLine="0"/>
                    <w:jc w:val="left"/>
                    <w:snapToGrid w:val="0"/>
                  </w:pPr>
                  <w:r>
                    <w:rPr>
                      <w:rFonts w:ascii="Times New Roman" w:hAnsi="Times New Roman" w:eastAsia="宋体"/>
                      <w:b w:val="0"/>
                      <w:sz w:val="19"/>
                    </w:rPr>
                    <w:t>18</w:t>
                  </w:r>
                </w:p>
              </w:tc>
              <w:tc>
                <w:tcPr>
                  <w:tcW w:type="dxa" w:w="6350"/>
                  <w:vAlign w:val="center"/>
                </w:tcPr>
                <w:p>
                  <w:pPr>
                    <w:keepNext w:val="0"/>
                    <w:widowControl/>
                    <w:spacing w:before="0" w:after="0" w:line="230" w:lineRule="exact"/>
                    <w:ind w:firstLine="0"/>
                    <w:jc w:val="left"/>
                    <w:snapToGrid w:val="0"/>
                  </w:pPr>
                  <w:r>
                    <w:rPr>
                      <w:rFonts w:ascii="Times New Roman" w:hAnsi="Times New Roman" w:eastAsia="宋体"/>
                      <w:b w:val="0"/>
                      <w:sz w:val="19"/>
                    </w:rPr>
                    <w:t>T18/T12 / MS: attend the compulsory Symposium and record feedback; begin controlled evaluation after the freeze is ready.</w:t>
                  </w:r>
                </w:p>
              </w:tc>
            </w:tr>
            <w:tr>
              <w:trPr>
                <w:cantSplit/>
              </w:trPr>
              <w:tc>
                <w:tcPr>
                  <w:tcW w:type="dxa" w:w="992"/>
                  <w:vAlign w:val="center"/>
                </w:tcPr>
                <w:p>
                  <w:pPr>
                    <w:keepNext w:val="0"/>
                    <w:widowControl/>
                    <w:spacing w:before="0" w:after="0" w:line="230" w:lineRule="exact"/>
                    <w:ind w:firstLine="0"/>
                    <w:jc w:val="left"/>
                    <w:snapToGrid w:val="0"/>
                  </w:pPr>
                  <w:r>
                    <w:rPr>
                      <w:rFonts w:ascii="Times New Roman" w:hAnsi="Times New Roman" w:eastAsia="宋体"/>
                      <w:b w:val="0"/>
                      <w:sz w:val="19"/>
                    </w:rPr>
                    <w:t>19–20</w:t>
                  </w:r>
                </w:p>
              </w:tc>
              <w:tc>
                <w:tcPr>
                  <w:tcW w:type="dxa" w:w="6350"/>
                  <w:vAlign w:val="center"/>
                </w:tcPr>
                <w:p>
                  <w:pPr>
                    <w:keepNext w:val="0"/>
                    <w:widowControl/>
                    <w:spacing w:before="0" w:after="0" w:line="230" w:lineRule="exact"/>
                    <w:ind w:firstLine="0"/>
                    <w:jc w:val="left"/>
                    <w:snapToGrid w:val="0"/>
                  </w:pPr>
                  <w:r>
                    <w:rPr>
                      <w:rFonts w:ascii="Times New Roman" w:hAnsi="Times New Roman" w:eastAsia="宋体"/>
                      <w:b w:val="0"/>
                      <w:sz w:val="19"/>
                    </w:rPr>
                    <w:t>T12 / M5: complete five comparisons, retrieval/edition metrics, manual answer/citation/refusal scoring and failure analysis. Start T13 after results are checked.</w:t>
                  </w:r>
                </w:p>
              </w:tc>
            </w:tr>
            <w:tr>
              <w:trPr>
                <w:cantSplit/>
              </w:trPr>
              <w:tc>
                <w:tcPr>
                  <w:tcW w:type="dxa" w:w="992"/>
                  <w:vAlign w:val="center"/>
                </w:tcPr>
                <w:p>
                  <w:pPr>
                    <w:keepNext w:val="0"/>
                    <w:widowControl/>
                    <w:spacing w:before="0" w:after="0" w:line="230" w:lineRule="exact"/>
                    <w:ind w:firstLine="0"/>
                    <w:jc w:val="left"/>
                    <w:snapToGrid w:val="0"/>
                  </w:pPr>
                  <w:r>
                    <w:rPr>
                      <w:rFonts w:ascii="Times New Roman" w:hAnsi="Times New Roman" w:eastAsia="宋体"/>
                      <w:b w:val="0"/>
                      <w:sz w:val="19"/>
                    </w:rPr>
                    <w:t>21</w:t>
                  </w:r>
                </w:p>
              </w:tc>
              <w:tc>
                <w:tcPr>
                  <w:tcW w:type="dxa" w:w="6350"/>
                  <w:vAlign w:val="center"/>
                </w:tcPr>
                <w:p>
                  <w:pPr>
                    <w:keepNext w:val="0"/>
                    <w:widowControl/>
                    <w:spacing w:before="0" w:after="0" w:line="230" w:lineRule="exact"/>
                    <w:ind w:firstLine="0"/>
                    <w:jc w:val="left"/>
                    <w:snapToGrid w:val="0"/>
                  </w:pPr>
                  <w:r>
                    <w:rPr>
                      <w:rFonts w:ascii="Times New Roman" w:hAnsi="Times New Roman" w:eastAsia="宋体"/>
                      <w:b w:val="0"/>
                      <w:sz w:val="19"/>
                    </w:rPr>
                    <w:t>T13/T14 / M6: complete the report draft, learning-outcome evidence and demonstration video; prepare Portfolio material before the break.</w:t>
                  </w:r>
                </w:p>
              </w:tc>
            </w:tr>
            <w:tr>
              <w:trPr>
                <w:cantSplit/>
              </w:trPr>
              <w:tc>
                <w:tcPr>
                  <w:tcW w:type="dxa" w:w="992"/>
                  <w:vAlign w:val="center"/>
                </w:tcPr>
                <w:p>
                  <w:pPr>
                    <w:keepNext w:val="0"/>
                    <w:widowControl/>
                    <w:spacing w:before="0" w:after="0" w:line="230" w:lineRule="exact"/>
                    <w:ind w:firstLine="0"/>
                    <w:jc w:val="left"/>
                    <w:snapToGrid w:val="0"/>
                  </w:pPr>
                  <w:r>
                    <w:rPr>
                      <w:rFonts w:ascii="Times New Roman" w:hAnsi="Times New Roman" w:eastAsia="宋体"/>
                      <w:b w:val="0"/>
                      <w:sz w:val="19"/>
                    </w:rPr>
                    <w:t>22–23</w:t>
                  </w:r>
                </w:p>
              </w:tc>
              <w:tc>
                <w:tcPr>
                  <w:tcW w:type="dxa" w:w="6350"/>
                  <w:vAlign w:val="center"/>
                </w:tcPr>
                <w:p>
                  <w:pPr>
                    <w:keepNext w:val="0"/>
                    <w:widowControl/>
                    <w:spacing w:before="0" w:after="0" w:line="230" w:lineRule="exact"/>
                    <w:ind w:firstLine="0"/>
                    <w:jc w:val="left"/>
                    <w:snapToGrid w:val="0"/>
                  </w:pPr>
                  <w:r>
                    <w:rPr>
                      <w:rFonts w:ascii="Times New Roman" w:hAnsi="Times New Roman" w:eastAsia="宋体"/>
                      <w:b w:val="0"/>
                      <w:sz w:val="19"/>
                    </w:rPr>
                    <w:t>Planned project break, 1–14 February 2027. No technical milestones are scheduled; course journal/supervision obligations remain subject to course requirements.</w:t>
                  </w:r>
                </w:p>
              </w:tc>
            </w:tr>
            <w:tr>
              <w:trPr>
                <w:cantSplit/>
              </w:trPr>
              <w:tc>
                <w:tcPr>
                  <w:tcW w:type="dxa" w:w="992"/>
                  <w:vAlign w:val="center"/>
                </w:tcPr>
                <w:p>
                  <w:pPr>
                    <w:keepNext w:val="0"/>
                    <w:widowControl/>
                    <w:spacing w:before="0" w:after="0" w:line="230" w:lineRule="exact"/>
                    <w:ind w:firstLine="0"/>
                    <w:jc w:val="left"/>
                    <w:snapToGrid w:val="0"/>
                  </w:pPr>
                  <w:r>
                    <w:rPr>
                      <w:rFonts w:ascii="Times New Roman" w:hAnsi="Times New Roman" w:eastAsia="宋体"/>
                      <w:b w:val="0"/>
                      <w:sz w:val="19"/>
                    </w:rPr>
                    <w:t>24</w:t>
                  </w:r>
                </w:p>
              </w:tc>
              <w:tc>
                <w:tcPr>
                  <w:tcW w:type="dxa" w:w="6350"/>
                  <w:vAlign w:val="center"/>
                </w:tcPr>
                <w:p>
                  <w:pPr>
                    <w:keepNext w:val="0"/>
                    <w:widowControl/>
                    <w:spacing w:before="0" w:after="0" w:line="230" w:lineRule="exact"/>
                    <w:ind w:firstLine="0"/>
                    <w:jc w:val="left"/>
                    <w:snapToGrid w:val="0"/>
                  </w:pPr>
                  <w:r>
                    <w:rPr>
                      <w:rFonts w:ascii="Times New Roman" w:hAnsi="Times New Roman" w:eastAsia="宋体"/>
                      <w:b w:val="0"/>
                      <w:sz w:val="19"/>
                    </w:rPr>
                    <w:t>T15/T16 / M7: final reproducibility and submission checks; complete report, Portfolio, video access and Chinese-side materials required at the notified checkpoints.</w:t>
                  </w:r>
                </w:p>
              </w:tc>
            </w:tr>
            <w:tr>
              <w:trPr>
                <w:cantSplit/>
              </w:trPr>
              <w:tc>
                <w:tcPr>
                  <w:tcW w:type="dxa" w:w="992"/>
                  <w:vAlign w:val="center"/>
                </w:tcPr>
                <w:p>
                  <w:pPr>
                    <w:keepNext w:val="0"/>
                    <w:widowControl/>
                    <w:spacing w:before="0" w:after="0" w:line="230" w:lineRule="exact"/>
                    <w:ind w:firstLine="0"/>
                    <w:jc w:val="left"/>
                    <w:snapToGrid w:val="0"/>
                  </w:pPr>
                  <w:r>
                    <w:rPr>
                      <w:rFonts w:ascii="Times New Roman" w:hAnsi="Times New Roman" w:eastAsia="宋体"/>
                      <w:b w:val="0"/>
                      <w:sz w:val="19"/>
                    </w:rPr>
                    <w:t>25–27</w:t>
                  </w:r>
                </w:p>
              </w:tc>
              <w:tc>
                <w:tcPr>
                  <w:tcW w:type="dxa" w:w="6350"/>
                  <w:vAlign w:val="center"/>
                </w:tcPr>
                <w:p>
                  <w:pPr>
                    <w:keepNext w:val="0"/>
                    <w:widowControl/>
                    <w:spacing w:before="0" w:after="0" w:line="230" w:lineRule="exact"/>
                    <w:ind w:firstLine="0"/>
                    <w:jc w:val="left"/>
                    <w:snapToGrid w:val="0"/>
                  </w:pPr>
                  <w:r>
                    <w:rPr>
                      <w:rFonts w:ascii="Times New Roman" w:hAnsi="Times New Roman" w:eastAsia="宋体"/>
                      <w:b w:val="0"/>
                      <w:sz w:val="19"/>
                    </w:rPr>
                    <w:t>T17: prepare the presentation and defend the methods, results, limitations and individual contribution.</w:t>
                  </w:r>
                </w:p>
              </w:tc>
            </w:tr>
          </w:tbl>
          <w:p>
            <w:pPr>
              <w:keepNext w:val="0"/>
              <w:widowControl/>
              <w:spacing w:before="0" w:after="40" w:line="250" w:lineRule="exact"/>
              <w:ind w:firstLine="0"/>
              <w:jc w:val="left"/>
              <w:snapToGrid w:val="0"/>
            </w:pPr>
          </w:p>
          <w:p>
            <w:pPr>
              <w:keepNext w:val="0"/>
              <w:widowControl/>
              <w:spacing w:before="0" w:after="40" w:line="250" w:lineRule="exact"/>
              <w:ind w:firstLine="0"/>
              <w:jc w:val="left"/>
              <w:snapToGrid w:val="0"/>
            </w:pPr>
            <w:r>
              <w:rPr>
                <w:rFonts w:ascii="Times New Roman" w:hAnsi="Times New Roman" w:eastAsia="宋体"/>
                <w:b w:val="0"/>
                <w:sz w:val="21"/>
              </w:rPr>
              <w:t>T16 maintains genuine weekly journals, supervision records and ten Review Documents throughout the applicable working weeks. Planned effort is 372 hours through Week 24 plus 28 hours for the viva, totalling 400 hours; these are budgets, not completed hours. Preserve 36 hours for annotation, 40 for evaluation and 48 for journals/reviews/supervision.</w:t>
            </w:r>
          </w:p>
          <w:p>
            <w:pPr>
              <w:keepNext w:val="0"/>
              <w:widowControl/>
              <w:spacing w:before="0" w:after="40" w:line="250" w:lineRule="exact"/>
              <w:ind w:firstLine="0"/>
              <w:jc w:val="left"/>
              <w:snapToGrid w:val="0"/>
            </w:pPr>
            <w:r>
              <w:rPr>
                <w:rFonts w:ascii="Times New Roman" w:hAnsi="Times New Roman" w:eastAsia="宋体"/>
                <w:b w:val="0"/>
                <w:sz w:val="21"/>
              </w:rPr>
              <w:t>One development pass adds 100 executions to the 400 main test executions: at most 500 first-attempt generations, with a further 100-call reserve. Early refusals may avoid generation; log actual calls, failures and retries separately. Embedding costs are separate. The £50 plan allocates £35 to generation, £10 to embeddings and £5 contingency. Reassess the budget at £40, preserve difficult/negative cases and source checking, and avoid routine repeated test sweeps.</w:t>
            </w:r>
          </w:p>
        </w:tc>
      </w:tr>
    </w:tbl>
    <w:p>
      <w:pPr>
        <w:pageBreakBefore/>
        <w:keepNext/>
        <w:snapToGrid w:val="0"/>
        <w:spacing w:before="0" w:after="0" w:line="20" w:lineRule="exact"/>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743"/>
        <w:gridCol w:w="621"/>
        <w:gridCol w:w="1670"/>
        <w:gridCol w:w="1061"/>
        <w:gridCol w:w="787"/>
        <w:gridCol w:w="578"/>
        <w:gridCol w:w="693"/>
        <w:gridCol w:w="2247"/>
      </w:tblGrid>
      <w:tr w:rsidR="00635D9B" w:rsidRPr="00BD69A1" w:rsidTr="005D68E1">
        <w:trPr>
          <w:trHeight w:hRule="auto"/>
          <w:cantSplit/>
        </w:trPr>
        <w:tc>
          <w:tcPr>
            <w:tcW w:w="743" w:type="dxa"/>
            <w:vAlign w:val="center"/>
          </w:tcPr>
          <w:p w:rsidR="00635D9B" w:rsidRPr="005D68E1" w:rsidRDefault="00635D9B" w:rsidP="00635D9B">
            <w:pPr>
              <w:jc w:val="center"/>
              <w:rPr>
                <w:rFonts w:ascii="宋体" w:hAnsi="宋体" w:cs="宋体"/>
                <w:color w:val="000000"/>
                <w:kern w:val="0"/>
                <w:sz w:val="24"/>
                <w:szCs w:val="24"/>
              </w:rPr>
            </w:pPr>
            <w:r w:rsidRPr="005D68E1">
              <w:rPr>
                <w:rFonts w:ascii="宋体" w:hAnsi="宋体" w:cs="宋体" w:hint="eastAsia"/>
                <w:color w:val="000000"/>
                <w:kern w:val="0"/>
                <w:sz w:val="24"/>
                <w:szCs w:val="24"/>
              </w:rPr>
              <w:lastRenderedPageBreak/>
              <w:t>参</w:t>
            </w:r>
          </w:p>
          <w:p w:rsidR="00635D9B" w:rsidRPr="005D68E1" w:rsidRDefault="00635D9B" w:rsidP="00635D9B">
            <w:pPr>
              <w:jc w:val="center"/>
              <w:rPr>
                <w:rFonts w:ascii="宋体" w:hAnsi="宋体" w:cs="宋体"/>
                <w:color w:val="000000"/>
                <w:kern w:val="0"/>
                <w:sz w:val="24"/>
                <w:szCs w:val="24"/>
              </w:rPr>
            </w:pPr>
            <w:r w:rsidRPr="005D68E1">
              <w:rPr>
                <w:rFonts w:ascii="宋体" w:hAnsi="宋体" w:cs="宋体" w:hint="eastAsia"/>
                <w:color w:val="000000"/>
                <w:kern w:val="0"/>
                <w:sz w:val="24"/>
                <w:szCs w:val="24"/>
              </w:rPr>
              <w:t>考</w:t>
            </w:r>
          </w:p>
          <w:p w:rsidR="00635D9B" w:rsidRPr="005D68E1" w:rsidRDefault="00635D9B" w:rsidP="00635D9B">
            <w:pPr>
              <w:jc w:val="center"/>
              <w:rPr>
                <w:rFonts w:ascii="宋体" w:hAnsi="宋体" w:cs="宋体"/>
                <w:color w:val="000000"/>
                <w:kern w:val="0"/>
                <w:sz w:val="24"/>
                <w:szCs w:val="24"/>
              </w:rPr>
            </w:pPr>
            <w:r w:rsidRPr="005D68E1">
              <w:rPr>
                <w:rFonts w:ascii="宋体" w:hAnsi="宋体" w:cs="宋体" w:hint="eastAsia"/>
                <w:color w:val="000000"/>
                <w:kern w:val="0"/>
                <w:sz w:val="24"/>
                <w:szCs w:val="24"/>
              </w:rPr>
              <w:t>文</w:t>
            </w:r>
          </w:p>
          <w:p w:rsidR="00635D9B" w:rsidRPr="005D68E1" w:rsidRDefault="00635D9B" w:rsidP="00635D9B">
            <w:pPr>
              <w:jc w:val="center"/>
              <w:rPr>
                <w:rFonts w:ascii="宋体" w:hAnsi="宋体" w:cs="宋体"/>
                <w:color w:val="000000"/>
                <w:kern w:val="0"/>
                <w:sz w:val="24"/>
                <w:szCs w:val="24"/>
              </w:rPr>
            </w:pPr>
            <w:r w:rsidRPr="005D68E1">
              <w:rPr>
                <w:rFonts w:ascii="宋体" w:hAnsi="宋体" w:cs="宋体" w:hint="eastAsia"/>
                <w:color w:val="000000"/>
                <w:kern w:val="0"/>
                <w:sz w:val="24"/>
                <w:szCs w:val="24"/>
              </w:rPr>
              <w:t>献</w:t>
            </w:r>
          </w:p>
        </w:tc>
        <w:tc>
          <w:tcPr>
            <w:tcW w:w="7657" w:type="dxa"/>
            <w:gridSpan w:val="7"/>
            <w:vAlign w:val="top"/>
          </w:tcPr>
          <w:p>
            <w:pPr>
              <w:keepNext w:val="0"/>
              <w:widowControl/>
              <w:spacing w:before="0" w:after="40" w:line="230" w:lineRule="exact"/>
              <w:ind w:firstLine="0"/>
              <w:jc w:val="left"/>
              <w:snapToGrid w:val="0"/>
            </w:pPr>
            <w:r>
              <w:rPr>
                <w:rFonts w:ascii="Times New Roman" w:hAnsi="Times New Roman" w:eastAsia="宋体"/>
                <w:b w:val="0"/>
                <w:sz w:val="19"/>
              </w:rPr>
              <w:t>[1] P. Lewis et al., “Retrieval-Augmented Generation for Knowledge-Intensive NLP Tasks,” in Advances in Neural Information Processing Systems, vol. 33, pp. 9459–9474, 2020.</w:t>
            </w:r>
          </w:p>
          <w:p>
            <w:pPr>
              <w:keepNext w:val="0"/>
              <w:widowControl/>
              <w:spacing w:before="0" w:after="40" w:line="230" w:lineRule="exact"/>
              <w:ind w:firstLine="0"/>
              <w:jc w:val="left"/>
              <w:snapToGrid w:val="0"/>
            </w:pPr>
            <w:r>
              <w:rPr>
                <w:rFonts w:ascii="Times New Roman" w:hAnsi="Times New Roman" w:eastAsia="宋体"/>
                <w:b w:val="0"/>
                <w:sz w:val="19"/>
              </w:rPr>
              <w:t>[2] S. Robertson and H. Zaragoza, “The Probabilistic Relevance Framework: BM25 and Beyond,” Foundations and Trends in Information Retrieval, vol. 3, no. 4, pp. 333–389, 2009. doi: 10.1561/1500000019.</w:t>
            </w:r>
          </w:p>
          <w:p>
            <w:pPr>
              <w:keepNext w:val="0"/>
              <w:widowControl/>
              <w:spacing w:before="0" w:after="40" w:line="230" w:lineRule="exact"/>
              <w:ind w:firstLine="0"/>
              <w:jc w:val="left"/>
              <w:snapToGrid w:val="0"/>
            </w:pPr>
            <w:r>
              <w:rPr>
                <w:rFonts w:ascii="Times New Roman" w:hAnsi="Times New Roman" w:eastAsia="宋体"/>
                <w:b w:val="0"/>
                <w:sz w:val="19"/>
              </w:rPr>
              <w:t>[3] V. Karpukhin et al., “Dense Passage Retrieval for Open-Domain Question Answering,” in Proceedings of EMNLP, pp. 6769–6781, 2020. doi: 10.18653/v1/2020.emnlp-main.550.</w:t>
            </w:r>
          </w:p>
          <w:p>
            <w:pPr>
              <w:keepNext w:val="0"/>
              <w:widowControl/>
              <w:spacing w:before="0" w:after="40" w:line="230" w:lineRule="exact"/>
              <w:ind w:firstLine="0"/>
              <w:jc w:val="left"/>
              <w:snapToGrid w:val="0"/>
            </w:pPr>
            <w:r>
              <w:rPr>
                <w:rFonts w:ascii="Times New Roman" w:hAnsi="Times New Roman" w:eastAsia="宋体"/>
                <w:b w:val="0"/>
                <w:sz w:val="19"/>
              </w:rPr>
              <w:t>[4] X. Ma, Y. Gong, P. He, H. Zhao, and N. Duan, “Query Rewriting in Retrieval-Augmented Large Language Models,” in Proceedings of EMNLP, pp. 5303–5315, 2023. doi: 10.18653/v1/2023.emnlp-main.322.</w:t>
            </w:r>
          </w:p>
          <w:p>
            <w:pPr>
              <w:keepNext w:val="0"/>
              <w:widowControl/>
              <w:spacing w:before="0" w:after="40" w:line="230" w:lineRule="exact"/>
              <w:ind w:firstLine="0"/>
              <w:jc w:val="left"/>
              <w:snapToGrid w:val="0"/>
            </w:pPr>
            <w:r>
              <w:rPr>
                <w:rFonts w:ascii="Times New Roman" w:hAnsi="Times New Roman" w:eastAsia="宋体"/>
                <w:b w:val="0"/>
                <w:sz w:val="19"/>
              </w:rPr>
              <w:t>[5] F. Shi et al., “Large Language Models Can Be Easily Distracted by Irrelevant Context,” in Proceedings of ICML, PMLR, vol. 202, pp. 31210–31227, 2023.</w:t>
            </w:r>
          </w:p>
          <w:p>
            <w:pPr>
              <w:keepNext w:val="0"/>
              <w:widowControl/>
              <w:spacing w:before="0" w:after="40" w:line="230" w:lineRule="exact"/>
              <w:ind w:firstLine="0"/>
              <w:jc w:val="left"/>
              <w:snapToGrid w:val="0"/>
            </w:pPr>
            <w:r>
              <w:rPr>
                <w:rFonts w:ascii="Times New Roman" w:hAnsi="Times New Roman" w:eastAsia="宋体"/>
                <w:b w:val="0"/>
                <w:sz w:val="19"/>
              </w:rPr>
              <w:t>[6] S. Es, J. James, L. Espinosa Anke, and S. Schockaert, “RAGAs: Automated Evaluation of Retrieval Augmented Generation,” in Proceedings of EACL: System Demonstrations, pp. 150–158, 2024. doi: 10.18653/v1/2024.eacl-demo.16.</w:t>
            </w:r>
          </w:p>
          <w:p>
            <w:pPr>
              <w:keepNext w:val="0"/>
              <w:widowControl/>
              <w:spacing w:before="0" w:after="40" w:line="230" w:lineRule="exact"/>
              <w:ind w:firstLine="0"/>
              <w:jc w:val="left"/>
              <w:snapToGrid w:val="0"/>
            </w:pPr>
            <w:r>
              <w:rPr>
                <w:rFonts w:ascii="Times New Roman" w:hAnsi="Times New Roman" w:eastAsia="宋体"/>
                <w:b w:val="0"/>
                <w:sz w:val="19"/>
              </w:rPr>
              <w:t>[7] Z. Feng, K. Zhu, W. Ma, L. Huang, B. Qin, T. Liu, and X. Feng, “Enhancing Large Language Models with Retrieval-Augmented Techniques: Trends, Challenges, and Prospects,” in Proceedings of the 23rd Chinese National Conference on Computational Linguistics (Volume 2: Frontier Forum), pp. 151–168, 2024 (in Chinese). https://aclanthology.org/2024.ccl-2.9/</w:t>
            </w:r>
          </w:p>
        </w:tc>
      </w:tr>
      <w:tr w:rsidR="00635D9B" w:rsidRPr="00BD69A1" w:rsidTr="00BD69A1">
        <w:trPr>
          <w:cantSplit/>
          <w:trHeight w:val="2721" w:hRule="atLeast"/>
        </w:trPr>
        <w:tc>
          <w:tcPr>
            <w:tcW w:w="8400" w:type="dxa"/>
            <w:gridSpan w:val="8"/>
          </w:tcPr>
          <w:p w:rsidR="00635D9B" w:rsidRPr="00BD69A1" w:rsidRDefault="00635D9B" w:rsidP="00635D9B">
            <w:pPr>
              <w:spacing w:beforeLines="50" w:before="156"/>
              <w:rPr>
                <w:rFonts w:ascii="宋体" w:hAnsi="宋体" w:cs="宋体"/>
                <w:color w:val="000000"/>
                <w:kern w:val="0"/>
                <w:sz w:val="24"/>
              </w:rPr>
            </w:pPr>
            <w:r w:rsidRPr="00BD69A1">
              <w:rPr>
                <w:rFonts w:ascii="Times New Roman" w:hAnsi="Times New Roman" w:cs="宋体" w:hint="eastAsia" w:eastAsia="宋体"/>
                <w:b w:val="0"/>
                <w:color w:val="000000"/>
                <w:kern w:val="0"/>
                <w:sz w:val="21"/>
              </w:rPr>
              <w:lastRenderedPageBreak/>
              <w:t>指导教师意见</w:t>
            </w:r>
          </w:p>
          <w:p w:rsidR="00635D9B" w:rsidRPr="00BD69A1" w:rsidRDefault="00635D9B" w:rsidP="00635D9B">
            <w:pPr>
              <w:spacing w:beforeLines="50" w:before="156"/>
              <w:jc w:val="center"/>
              <w:rPr>
                <w:sz w:val="24"/>
              </w:rPr>
            </w:pPr>
          </w:p>
          <w:p w:rsidR="00635D9B" w:rsidRPr="00BD69A1" w:rsidRDefault="00635D9B" w:rsidP="00635D9B">
            <w:pPr>
              <w:spacing w:beforeLines="50" w:before="156"/>
              <w:jc w:val="center"/>
              <w:rPr>
                <w:sz w:val="24"/>
              </w:rPr>
            </w:pPr>
          </w:p>
          <w:p w:rsidR="00635D9B" w:rsidRPr="00BD69A1" w:rsidRDefault="00635D9B" w:rsidP="00635D9B">
            <w:pPr>
              <w:spacing w:beforeLines="50" w:before="156"/>
              <w:jc w:val="center"/>
              <w:rPr>
                <w:sz w:val="24"/>
              </w:rPr>
            </w:pPr>
          </w:p>
          <w:p w:rsidR="00635D9B" w:rsidRPr="00BD69A1" w:rsidRDefault="00635D9B" w:rsidP="00635D9B">
            <w:pPr>
              <w:spacing w:beforeLines="50" w:before="156"/>
              <w:jc w:val="center"/>
              <w:rPr>
                <w:sz w:val="24"/>
              </w:rPr>
            </w:pPr>
            <w:r w:rsidRPr="00BD69A1">
              <w:rPr>
                <w:rFonts w:hint="eastAsia" w:ascii="Times New Roman" w:hAnsi="Times New Roman" w:eastAsia="宋体"/>
                <w:b w:val="0"/>
                <w:sz w:val="21"/>
              </w:rPr>
              <w:t xml:space="preserve">                         </w:t>
            </w:r>
            <w:r w:rsidRPr="00BD69A1">
              <w:rPr>
                <w:rFonts w:hint="eastAsia" w:ascii="Times New Roman" w:hAnsi="Times New Roman" w:eastAsia="宋体"/>
                <w:b w:val="0"/>
                <w:sz w:val="21"/>
              </w:rPr>
              <w:t>指导教师签字：</w:t>
            </w:r>
          </w:p>
          <w:p w:rsidR="00635D9B" w:rsidRPr="00BD69A1" w:rsidRDefault="00635D9B" w:rsidP="00635D9B">
            <w:pPr>
              <w:spacing w:beforeLines="50" w:before="156"/>
              <w:jc w:val="center"/>
              <w:rPr>
                <w:sz w:val="24"/>
              </w:rPr>
            </w:pPr>
            <w:r w:rsidRPr="00BD69A1">
              <w:rPr>
                <w:rFonts w:hint="eastAsia" w:ascii="Times New Roman" w:hAnsi="Times New Roman" w:eastAsia="宋体"/>
                <w:b w:val="0"/>
                <w:sz w:val="21"/>
              </w:rPr>
              <w:t xml:space="preserve">                                                    </w:t>
            </w:r>
            <w:r w:rsidRPr="00BD69A1">
              <w:rPr>
                <w:rFonts w:hint="eastAsia" w:ascii="Times New Roman" w:hAnsi="Times New Roman" w:eastAsia="宋体"/>
                <w:b w:val="0"/>
                <w:sz w:val="21"/>
              </w:rPr>
              <w:t>年</w:t>
            </w:r>
            <w:r w:rsidRPr="00BD69A1">
              <w:rPr>
                <w:rFonts w:hint="eastAsia" w:ascii="Times New Roman" w:hAnsi="Times New Roman" w:eastAsia="宋体"/>
                <w:b w:val="0"/>
                <w:sz w:val="21"/>
              </w:rPr>
              <w:t xml:space="preserve">    </w:t>
            </w:r>
            <w:r w:rsidRPr="00BD69A1">
              <w:rPr>
                <w:rFonts w:hint="eastAsia" w:ascii="Times New Roman" w:hAnsi="Times New Roman" w:eastAsia="宋体"/>
                <w:b w:val="0"/>
                <w:sz w:val="21"/>
              </w:rPr>
              <w:t>月</w:t>
            </w:r>
            <w:r w:rsidRPr="00BD69A1">
              <w:rPr>
                <w:rFonts w:hint="eastAsia" w:ascii="Times New Roman" w:hAnsi="Times New Roman" w:eastAsia="宋体"/>
                <w:b w:val="0"/>
                <w:sz w:val="21"/>
              </w:rPr>
              <w:t xml:space="preserve">    </w:t>
            </w:r>
            <w:r w:rsidRPr="00BD69A1">
              <w:rPr>
                <w:rFonts w:hint="eastAsia" w:ascii="Times New Roman" w:hAnsi="Times New Roman" w:eastAsia="宋体"/>
                <w:b w:val="0"/>
                <w:sz w:val="21"/>
              </w:rPr>
              <w:t>日</w:t>
            </w:r>
          </w:p>
        </w:tc>
      </w:tr>
      <w:tr w:rsidR="00635D9B" w:rsidRPr="0026459E" w:rsidTr="00BD69A1">
        <w:trPr>
          <w:trHeight w:val="2721" w:hRule="atLeast"/>
          <w:cantSplit/>
        </w:trPr>
        <w:tc>
          <w:tcPr>
            <w:tcW w:w="8400" w:type="dxa"/>
            <w:gridSpan w:val="8"/>
          </w:tcPr>
          <w:p w:rsidR="00635D9B" w:rsidRPr="00F73AE0" w:rsidRDefault="00635D9B" w:rsidP="00635D9B">
            <w:pPr>
              <w:spacing w:beforeLines="50" w:before="156"/>
              <w:rPr>
                <w:sz w:val="24"/>
              </w:rPr>
            </w:pPr>
            <w:r w:rsidRPr="00F73AE0">
              <w:rPr>
                <w:rFonts w:ascii="Times New Roman" w:hAnsi="Times New Roman" w:cs="宋体" w:hint="eastAsia" w:eastAsia="宋体"/>
                <w:b w:val="0"/>
                <w:color w:val="000000"/>
                <w:kern w:val="0"/>
                <w:sz w:val="21"/>
              </w:rPr>
              <w:t>专家组评审意见</w:t>
            </w:r>
          </w:p>
          <w:p w:rsidR="00635D9B" w:rsidRPr="00F73AE0" w:rsidRDefault="00635D9B" w:rsidP="00635D9B">
            <w:pPr>
              <w:spacing w:beforeLines="50" w:before="156"/>
              <w:jc w:val="center"/>
              <w:rPr>
                <w:sz w:val="24"/>
              </w:rPr>
            </w:pPr>
          </w:p>
          <w:p w:rsidR="00635D9B" w:rsidRPr="00F73AE0" w:rsidRDefault="00635D9B" w:rsidP="00635D9B">
            <w:pPr>
              <w:spacing w:beforeLines="50" w:before="156"/>
              <w:jc w:val="center"/>
              <w:rPr>
                <w:sz w:val="24"/>
              </w:rPr>
            </w:pPr>
          </w:p>
          <w:p w:rsidR="00635D9B" w:rsidRPr="00F73AE0" w:rsidRDefault="00635D9B" w:rsidP="00635D9B">
            <w:pPr>
              <w:spacing w:beforeLines="50" w:before="156"/>
              <w:jc w:val="center"/>
              <w:rPr>
                <w:sz w:val="24"/>
              </w:rPr>
            </w:pPr>
          </w:p>
          <w:p w:rsidR="00635D9B" w:rsidRPr="00F73AE0" w:rsidRDefault="00635D9B" w:rsidP="00635D9B">
            <w:pPr>
              <w:spacing w:beforeLines="50" w:before="156"/>
              <w:jc w:val="center"/>
              <w:rPr>
                <w:sz w:val="24"/>
              </w:rPr>
            </w:pPr>
            <w:r w:rsidRPr="00F73AE0">
              <w:rPr>
                <w:rFonts w:hint="eastAsia" w:ascii="Times New Roman" w:hAnsi="Times New Roman" w:eastAsia="宋体"/>
                <w:b w:val="0"/>
                <w:sz w:val="21"/>
              </w:rPr>
              <w:t xml:space="preserve">                      </w:t>
            </w:r>
            <w:r w:rsidRPr="00F73AE0">
              <w:rPr>
                <w:rFonts w:hint="eastAsia" w:ascii="Times New Roman" w:hAnsi="Times New Roman" w:eastAsia="宋体"/>
                <w:b w:val="0"/>
                <w:sz w:val="21"/>
              </w:rPr>
              <w:t>专家组组长签字：</w:t>
            </w:r>
          </w:p>
          <w:p w:rsidR="00635D9B" w:rsidRPr="0026459E" w:rsidRDefault="00635D9B" w:rsidP="00635D9B">
            <w:pPr>
              <w:spacing w:beforeLines="50" w:before="156"/>
              <w:jc w:val="center"/>
              <w:rPr>
                <w:sz w:val="24"/>
                <w:highlight w:val="yellow"/>
              </w:rPr>
            </w:pPr>
            <w:r w:rsidRPr="00F73AE0">
              <w:rPr>
                <w:rFonts w:hint="eastAsia" w:ascii="Times New Roman" w:hAnsi="Times New Roman" w:eastAsia="宋体"/>
                <w:b w:val="0"/>
                <w:sz w:val="21"/>
              </w:rPr>
              <w:t xml:space="preserve">                                                    </w:t>
            </w:r>
            <w:r w:rsidRPr="00F73AE0">
              <w:rPr>
                <w:rFonts w:hint="eastAsia" w:ascii="Times New Roman" w:hAnsi="Times New Roman" w:eastAsia="宋体"/>
                <w:b w:val="0"/>
                <w:sz w:val="21"/>
              </w:rPr>
              <w:t>年</w:t>
            </w:r>
            <w:r w:rsidRPr="00F73AE0">
              <w:rPr>
                <w:rFonts w:hint="eastAsia" w:ascii="Times New Roman" w:hAnsi="Times New Roman" w:eastAsia="宋体"/>
                <w:b w:val="0"/>
                <w:sz w:val="21"/>
              </w:rPr>
              <w:t xml:space="preserve">    </w:t>
            </w:r>
            <w:r w:rsidRPr="00F73AE0">
              <w:rPr>
                <w:rFonts w:hint="eastAsia" w:ascii="Times New Roman" w:hAnsi="Times New Roman" w:eastAsia="宋体"/>
                <w:b w:val="0"/>
                <w:sz w:val="21"/>
              </w:rPr>
              <w:t>月</w:t>
            </w:r>
            <w:r w:rsidRPr="00F73AE0">
              <w:rPr>
                <w:rFonts w:hint="eastAsia" w:ascii="Times New Roman" w:hAnsi="Times New Roman" w:eastAsia="宋体"/>
                <w:b w:val="0"/>
                <w:sz w:val="21"/>
              </w:rPr>
              <w:t xml:space="preserve">    </w:t>
            </w:r>
            <w:r w:rsidRPr="00F73AE0">
              <w:rPr>
                <w:rFonts w:hint="eastAsia" w:ascii="Times New Roman" w:hAnsi="Times New Roman" w:eastAsia="宋体"/>
                <w:b w:val="0"/>
                <w:sz w:val="21"/>
              </w:rPr>
              <w:t>日</w:t>
            </w:r>
          </w:p>
        </w:tc>
      </w:tr>
    </w:tbl>
    <w:p w:rsidR="00D575EF" w:rsidRPr="00BD69A1" w:rsidRDefault="00BD69A1">
      <w:r w:rsidRPr="0022016B">
        <w:rPr>
          <w:rFonts w:hint="eastAsia"/>
          <w:szCs w:val="21"/>
        </w:rPr>
        <w:t>填写说明：</w:t>
      </w:r>
      <w:r w:rsidRPr="0022016B">
        <w:rPr>
          <w:szCs w:val="21"/>
        </w:rPr>
        <w:t>本报告书可打印</w:t>
      </w:r>
      <w:r w:rsidRPr="0022016B">
        <w:rPr>
          <w:szCs w:val="21"/>
        </w:rPr>
        <w:t>,</w:t>
      </w:r>
      <w:r w:rsidRPr="0022016B">
        <w:rPr>
          <w:szCs w:val="21"/>
        </w:rPr>
        <w:t>签名须手写</w:t>
      </w:r>
      <w:r w:rsidRPr="0022016B">
        <w:rPr>
          <w:szCs w:val="21"/>
        </w:rPr>
        <w:t>,</w:t>
      </w:r>
      <w:r w:rsidRPr="0022016B">
        <w:rPr>
          <w:szCs w:val="21"/>
        </w:rPr>
        <w:t>如表格容量不够</w:t>
      </w:r>
      <w:r w:rsidRPr="0022016B">
        <w:rPr>
          <w:szCs w:val="21"/>
        </w:rPr>
        <w:t>,</w:t>
      </w:r>
      <w:r w:rsidRPr="0022016B">
        <w:rPr>
          <w:szCs w:val="21"/>
        </w:rPr>
        <w:t>可根据内容增加页数</w:t>
      </w:r>
      <w:r w:rsidRPr="0022016B">
        <w:rPr>
          <w:szCs w:val="21"/>
        </w:rPr>
        <w:t>,</w:t>
      </w:r>
      <w:r w:rsidRPr="0022016B">
        <w:rPr>
          <w:szCs w:val="21"/>
        </w:rPr>
        <w:t>但不得随意删减项目</w:t>
      </w:r>
      <w:r w:rsidRPr="0022016B">
        <w:rPr>
          <w:szCs w:val="21"/>
        </w:rPr>
        <w:t>.</w:t>
      </w:r>
    </w:p>
    <w:sectPr w:rsidR="00D575EF" w:rsidRPr="00BD69A1" w:rsidSect="00BD69A1">
      <w:headerReference w:type="default" r:id="rId7"/>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A1B66" w:rsidRDefault="005A1B66">
      <w:r>
        <w:separator/>
      </w:r>
    </w:p>
  </w:endnote>
  <w:endnote w:type="continuationSeparator" w:id="0">
    <w:p w:rsidR="005A1B66" w:rsidRDefault="005A1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40" w:line="220" w:lineRule="exact"/>
      <w:ind w:firstLine="0"/>
      <w:jc w:val="center"/>
      <w:snapToGrid w:val="0"/>
    </w:pPr>
    <w:r>
      <w:rPr>
        <w:rFonts w:ascii="Times New Roman" w:hAnsi="Times New Roman" w:eastAsia="宋体"/>
        <w:b w:val="0"/>
        <w:sz w:val="18"/>
      </w:rPr>
      <w:t xml:space="preserve">第 </w:t>
    </w:r>
    <w:r>
      <w:rPr>
        <w:rFonts w:ascii="Times New Roman" w:hAnsi="Times New Roman" w:eastAsia="宋体"/>
        <w:b w:val="0"/>
        <w:sz w:val="18"/>
      </w:rPr>
    </w:r>
    <w:fldSimple w:instr="PAGE"/>
    <w:r>
      <w:rPr>
        <w:rFonts w:ascii="Times New Roman" w:hAnsi="Times New Roman" w:eastAsia="宋体"/>
        <w:b w:val="0"/>
        <w:sz w:val="18"/>
      </w:rPr>
      <w:t xml:space="preserve"> 页 / 共 </w:t>
    </w:r>
    <w:r>
      <w:rPr>
        <w:rFonts w:ascii="Times New Roman" w:hAnsi="Times New Roman" w:eastAsia="宋体"/>
        <w:b w:val="0"/>
        <w:sz w:val="18"/>
      </w:rPr>
    </w:r>
    <w:fldSimple w:instr="NUMPAGES"/>
    <w:r>
      <w:rPr>
        <w:rFonts w:ascii="Times New Roman" w:hAnsi="Times New Roman" w:eastAsia="宋体"/>
        <w:b w:val="0"/>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A1B66" w:rsidRDefault="005A1B66">
      <w:r>
        <w:separator/>
      </w:r>
    </w:p>
  </w:footnote>
  <w:footnote w:type="continuationSeparator" w:id="0">
    <w:p w:rsidR="005A1B66" w:rsidRDefault="005A1B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6459E" w:rsidRDefault="0026459E" w:rsidP="0026459E">
    <w:pPr>
      <w:pStyle w:val="a3"/>
      <w:jc w:val="right"/>
    </w:pPr>
    <w:r w:rsidRPr="0026459E">
      <w:rPr>
        <w:noProof/>
      </w:rPr>
      <w:drawing>
        <wp:inline distT="0" distB="0" distL="0" distR="0">
          <wp:extent cx="2952750" cy="548180"/>
          <wp:effectExtent l="0" t="0" r="0" b="0"/>
          <wp:docPr id="1" name="图片 1" descr="C:\Users\shirl\AppData\Local\Temp\WeChat Files\654fb1f69f40b0e3163ada893093b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irl\AppData\Local\Temp\WeChat Files\654fb1f69f40b0e3163ada893093b7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96637" cy="556328"/>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D69A1"/>
    <w:rsid w:val="000629A5"/>
    <w:rsid w:val="0006377E"/>
    <w:rsid w:val="00075ECF"/>
    <w:rsid w:val="001F1867"/>
    <w:rsid w:val="00203D08"/>
    <w:rsid w:val="0026459E"/>
    <w:rsid w:val="002D23E3"/>
    <w:rsid w:val="002F41ED"/>
    <w:rsid w:val="00305658"/>
    <w:rsid w:val="00305FAD"/>
    <w:rsid w:val="003919A6"/>
    <w:rsid w:val="003D02DC"/>
    <w:rsid w:val="003E50D8"/>
    <w:rsid w:val="005A1B66"/>
    <w:rsid w:val="005D68E1"/>
    <w:rsid w:val="00635D9B"/>
    <w:rsid w:val="00644307"/>
    <w:rsid w:val="00664F7B"/>
    <w:rsid w:val="00666305"/>
    <w:rsid w:val="0067005B"/>
    <w:rsid w:val="00693831"/>
    <w:rsid w:val="00713571"/>
    <w:rsid w:val="00744814"/>
    <w:rsid w:val="00814576"/>
    <w:rsid w:val="0084031B"/>
    <w:rsid w:val="00857B1E"/>
    <w:rsid w:val="008E78B4"/>
    <w:rsid w:val="009A3CC2"/>
    <w:rsid w:val="00A825FB"/>
    <w:rsid w:val="00BB2182"/>
    <w:rsid w:val="00BD69A1"/>
    <w:rsid w:val="00D02C7D"/>
    <w:rsid w:val="00D575EF"/>
    <w:rsid w:val="00D85D62"/>
    <w:rsid w:val="00D87A26"/>
    <w:rsid w:val="00EF19CF"/>
    <w:rsid w:val="00F22F5C"/>
    <w:rsid w:val="00F40483"/>
    <w:rsid w:val="00F61FB0"/>
    <w:rsid w:val="00F73AE0"/>
    <w:rsid w:val="00FE03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425DF8"/>
  <w15:docId w15:val="{0EACA260-86C5-4E96-A5E9-08719FA14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75EF"/>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13571"/>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713571"/>
    <w:rPr>
      <w:kern w:val="2"/>
      <w:sz w:val="18"/>
      <w:szCs w:val="18"/>
    </w:rPr>
  </w:style>
  <w:style w:type="paragraph" w:styleId="a5">
    <w:name w:val="footer"/>
    <w:basedOn w:val="a"/>
    <w:link w:val="a6"/>
    <w:uiPriority w:val="99"/>
    <w:unhideWhenUsed/>
    <w:rsid w:val="00713571"/>
    <w:pPr>
      <w:tabs>
        <w:tab w:val="center" w:pos="4153"/>
        <w:tab w:val="right" w:pos="8306"/>
      </w:tabs>
      <w:snapToGrid w:val="0"/>
      <w:jc w:val="left"/>
    </w:pPr>
    <w:rPr>
      <w:sz w:val="18"/>
      <w:szCs w:val="18"/>
    </w:rPr>
  </w:style>
  <w:style w:type="character" w:customStyle="1" w:styleId="a6">
    <w:name w:val="页脚 字符"/>
    <w:link w:val="a5"/>
    <w:uiPriority w:val="99"/>
    <w:rsid w:val="0071357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A6E9C-CC02-43F7-B346-63615E97C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Pages>
  <Words>99</Words>
  <Characters>570</Characters>
  <Application>Microsoft Office Word</Application>
  <DocSecurity>0</DocSecurity>
  <Lines>4</Lines>
  <Paragraphs>1</Paragraphs>
  <ScaleCrop>false</ScaleCrop>
  <Company>SWJTU</Company>
  <LinksUpToDate>false</LinksUpToDate>
  <CharactersWithSpaces>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黄俊凯</dc:creator>
  <cp:lastModifiedBy>Song Wang</cp:lastModifiedBy>
  <cp:revision>9</cp:revision>
  <dcterms:created xsi:type="dcterms:W3CDTF">2021-01-04T08:19:00Z</dcterms:created>
  <dcterms:modified xsi:type="dcterms:W3CDTF">2026-10-29T15:02:00Z</dcterms:modified>
  <dc:title>A Study on a Large-Model-Based Intelligent Question-Answering System for the Overhead Contact System Field</dc:title>
  <dc:subject>西南交通大学-利兹学院本科毕业设计（论文）开题报告（附件九）</dc:subject>
  <dc:description>Original Attachment 9 retained; opinion/signature fields intentionally blank.</dc:description>
</cp:coreProperties>
</file>