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rPr>
        <w:t>WORKING DRAFT — 13 October 2026 — Not submitted or approved</w:t>
      </w:r>
    </w:p>
    <w:p w14:paraId="3E4C9FF4" w14:textId="77777777" w:rsidR="003D43FD" w:rsidRDefault="00000000">
      <w:pPr>
        <w:rPr>
          <w:rFonts w:ascii="Trebuchet MS" w:eastAsia="Trebuchet MS" w:hAnsi="Trebuchet MS" w:cs="Trebuchet MS"/>
          <w:b/>
          <w:bCs/>
          <w:sz w:val="32"/>
          <w:szCs w:val="32"/>
        </w:rPr>
      </w:pPr>
      <w:r>
        <w:rPr>
          <w:rFonts w:ascii="Arial" w:eastAsia="Arial" w:hAnsi="Arial" w:cs="Arial"/>
          <w:b/>
          <w:bCs/>
          <w:sz w:val="28"/>
          <w:szCs w:val="28"/>
        </w:rPr>
        <w:t>ELEC3801   Individual Engineering</w:t>
      </w:r>
      <w:r>
        <w:rPr>
          <w:rFonts w:ascii="Arial" w:eastAsia="Arial" w:hAnsi="Arial" w:cs="Arial"/>
          <w:b/>
          <w:bCs/>
          <w:color w:val="000000"/>
          <w:sz w:val="28"/>
          <w:szCs w:val="28"/>
        </w:rPr>
        <w:t xml:space="preserve"> Project</w:t>
      </w:r>
    </w:p>
    <w:p w14:paraId="1CA12278" w14:textId="77777777" w:rsidR="003D43FD" w:rsidRDefault="003D43FD">
      <w:pPr>
        <w:rPr>
          <w:rFonts w:ascii="Arial" w:eastAsia="Arial" w:hAnsi="Arial" w:cs="Arial"/>
          <w:sz w:val="48"/>
          <w:szCs w:val="48"/>
        </w:rPr>
      </w:pPr>
    </w:p>
    <w:p w14:paraId="6CB40C5D" w14:textId="77777777" w:rsidR="003D43FD" w:rsidRDefault="003D43FD">
      <w:pPr>
        <w:rPr>
          <w:rFonts w:ascii="Arial" w:eastAsia="Arial" w:hAnsi="Arial" w:cs="Arial"/>
          <w:sz w:val="48"/>
          <w:szCs w:val="48"/>
        </w:rPr>
      </w:pPr>
    </w:p>
    <w:p w14:paraId="524B4385" w14:textId="77777777" w:rsidR="003D43FD" w:rsidRDefault="003D43FD">
      <w:pPr>
        <w:rPr>
          <w:rFonts w:ascii="Arial" w:eastAsia="Arial" w:hAnsi="Arial" w:cs="Arial"/>
          <w:sz w:val="48"/>
          <w:szCs w:val="48"/>
        </w:rPr>
      </w:pPr>
    </w:p>
    <w:p w14:paraId="2C6A2959" w14:textId="77777777" w:rsidR="003D43FD" w:rsidRDefault="00000000">
      <w:pPr>
        <w:jc w:val="center"/>
        <w:rPr>
          <w:rFonts w:ascii="Trebuchet MS" w:eastAsia="Trebuchet MS" w:hAnsi="Trebuchet MS" w:cs="Trebuchet MS"/>
          <w:color w:val="008000"/>
          <w:sz w:val="20"/>
          <w:szCs w:val="20"/>
        </w:rPr>
      </w:pPr>
      <w:r>
        <w:rPr>
          <w:rFonts w:ascii="Arial" w:eastAsia="Arial" w:hAnsi="Arial" w:cs="Arial"/>
          <w:sz w:val="48"/>
          <w:szCs w:val="48"/>
        </w:rPr>
        <w:t>Project Proposal Form</w:t>
      </w:r>
    </w:p>
    <w:p w14:paraId="7FC1019C" w14:textId="77777777" w:rsidR="003D43FD" w:rsidRDefault="003D43FD">
      <w:pPr>
        <w:jc w:val="center"/>
        <w:rPr>
          <w:rFonts w:ascii="Arial" w:eastAsia="Arial" w:hAnsi="Arial" w:cs="Arial"/>
          <w:sz w:val="48"/>
          <w:szCs w:val="48"/>
        </w:rPr>
      </w:pPr>
    </w:p>
    <w:p w14:paraId="2A67CC69" w14:textId="77777777" w:rsidR="003D43FD" w:rsidRDefault="00000000">
      <w:pPr>
        <w:jc w:val="center"/>
        <w:rPr>
          <w:rFonts w:ascii="Arial" w:eastAsia="Arial" w:hAnsi="Arial" w:cs="Arial"/>
          <w:sz w:val="20"/>
          <w:szCs w:val="20"/>
        </w:rPr>
      </w:pPr>
      <w:r>
        <w:rPr>
          <w:rFonts w:ascii="Arial" w:eastAsia="Arial" w:hAnsi="Arial" w:cs="Arial"/>
          <w:sz w:val="48"/>
          <w:szCs w:val="48"/>
        </w:rPr>
        <w:t>2</w:t>
      </w:r>
      <w:r>
        <w:rPr>
          <w:rFonts w:ascii="Arial" w:eastAsia="Arial" w:hAnsi="Arial" w:cs="Arial"/>
          <w:color w:val="000000"/>
          <w:sz w:val="48"/>
          <w:szCs w:val="48"/>
        </w:rPr>
        <w:t>02</w:t>
      </w:r>
      <w:r>
        <w:rPr>
          <w:rFonts w:ascii="Arial" w:eastAsia="Arial" w:hAnsi="Arial" w:cs="Arial"/>
          <w:sz w:val="48"/>
          <w:szCs w:val="48"/>
        </w:rPr>
        <w:t>6</w:t>
      </w:r>
      <w:r>
        <w:rPr>
          <w:rFonts w:ascii="Arial" w:eastAsia="Arial" w:hAnsi="Arial" w:cs="Arial"/>
          <w:color w:val="000000"/>
          <w:sz w:val="48"/>
          <w:szCs w:val="48"/>
        </w:rPr>
        <w:t>-2</w:t>
      </w:r>
      <w:r>
        <w:rPr>
          <w:rFonts w:ascii="Arial" w:eastAsia="Arial" w:hAnsi="Arial" w:cs="Arial"/>
          <w:sz w:val="48"/>
          <w:szCs w:val="48"/>
        </w:rPr>
        <w:t>7</w:t>
      </w:r>
    </w:p>
    <w:p w14:paraId="6B19B308" w14:textId="77777777" w:rsidR="003D43FD" w:rsidRDefault="003D43FD">
      <w:pPr>
        <w:rPr>
          <w:rFonts w:ascii="Arial" w:eastAsia="Arial" w:hAnsi="Arial" w:cs="Arial"/>
          <w:sz w:val="20"/>
          <w:szCs w:val="20"/>
        </w:rPr>
      </w:pPr>
    </w:p>
    <w:p w14:paraId="53F62068" w14:textId="77777777" w:rsidR="003D43FD" w:rsidRDefault="003D43FD">
      <w:pPr>
        <w:rPr>
          <w:rFonts w:ascii="Arial" w:eastAsia="Arial" w:hAnsi="Arial" w:cs="Arial"/>
          <w:sz w:val="20"/>
          <w:szCs w:val="20"/>
        </w:rPr>
      </w:pPr>
    </w:p>
    <w:p w14:paraId="24462234" w14:textId="77777777" w:rsidR="003D43FD" w:rsidRDefault="003D43FD">
      <w:pPr>
        <w:rPr>
          <w:rFonts w:ascii="Arial" w:eastAsia="Arial" w:hAnsi="Arial" w:cs="Arial"/>
          <w:sz w:val="20"/>
          <w:szCs w:val="20"/>
        </w:rPr>
      </w:pPr>
    </w:p>
    <w:p w14:paraId="319AF85D" w14:textId="77777777" w:rsidR="003D43FD" w:rsidRDefault="00000000">
      <w:pPr>
        <w:rPr>
          <w:rFonts w:ascii="Arial" w:eastAsia="Arial" w:hAnsi="Arial" w:cs="Arial"/>
        </w:rPr>
      </w:pPr>
      <w:bookmarkStart w:id="0" w:name="_heading=h.gjdgxs" w:colFirst="0" w:colLast="0"/>
      <w:bookmarkEnd w:id="0"/>
      <w:r>
        <w:rPr>
          <w:rFonts w:ascii="Arial" w:eastAsia="Arial" w:hAnsi="Arial" w:cs="Arial"/>
        </w:rPr>
        <w:t xml:space="preserve">This form must be completed by the student and submitted online on Minerva </w:t>
      </w:r>
      <w:r>
        <w:rPr>
          <w:rFonts w:ascii="Arial" w:eastAsia="Arial" w:hAnsi="Arial" w:cs="Arial"/>
          <w:b/>
          <w:bCs/>
        </w:rPr>
        <w:t xml:space="preserve">by 14:00 on Thursday of Week 7. </w:t>
      </w:r>
      <w:r>
        <w:rPr>
          <w:rFonts w:ascii="Arial" w:eastAsia="Arial" w:hAnsi="Arial" w:cs="Arial"/>
        </w:rPr>
        <w:t xml:space="preserve">A link to submit this form will be available on the Module’s Minerva page. </w:t>
      </w:r>
    </w:p>
    <w:p w14:paraId="2136C89A" w14:textId="77777777" w:rsidR="003D43FD" w:rsidRDefault="003D43FD">
      <w:pPr>
        <w:rPr>
          <w:rFonts w:ascii="Arial" w:eastAsia="Arial" w:hAnsi="Arial" w:cs="Arial"/>
        </w:rPr>
      </w:pPr>
    </w:p>
    <w:p w14:paraId="0500AC05" w14:textId="14288AA2" w:rsidR="003D43FD" w:rsidRDefault="00000000" w:rsidP="00476420">
      <w:pPr>
        <w:rPr>
          <w:rFonts w:ascii="Arial" w:eastAsia="Arial" w:hAnsi="Arial" w:cs="Arial"/>
          <w:sz w:val="20"/>
          <w:szCs w:val="20"/>
        </w:rPr>
      </w:pPr>
      <w:r>
        <w:rPr>
          <w:rFonts w:ascii="Arial" w:eastAsia="Arial" w:hAnsi="Arial" w:cs="Arial"/>
        </w:rPr>
        <w:t xml:space="preserve">Guidelines for completing this form are in Section 2 (Project Proposal) of the module handbook. The proposal is worth 10% of the module mark and is assessed by your Supervisor and Assessor against the rubric in Appendix 2 of the handbook: aims, objectives and scope (40%); societal, environmental and ethical considerations (20%); and project planning and risk management (40%).</w:t>
      </w:r>
    </w:p>
    <w:p w14:paraId="05D40001" w14:textId="77777777" w:rsidR="003D43FD" w:rsidRDefault="003D43FD">
      <w:pPr>
        <w:rPr>
          <w:rFonts w:ascii="Arial" w:eastAsia="Arial" w:hAnsi="Arial" w:cs="Arial"/>
          <w:sz w:val="20"/>
          <w:szCs w:val="20"/>
        </w:rPr>
      </w:pPr>
    </w:p>
    <w:p w14:paraId="3110E514" w14:textId="77777777" w:rsidR="003D43FD" w:rsidRDefault="003D43FD">
      <w:pPr>
        <w:rPr>
          <w:rFonts w:ascii="Arial" w:eastAsia="Arial" w:hAnsi="Arial" w:cs="Arial"/>
          <w:sz w:val="20"/>
          <w:szCs w:val="20"/>
        </w:rPr>
      </w:pPr>
    </w:p>
    <w:p w14:paraId="70310B60" w14:textId="77777777" w:rsidR="003D43FD" w:rsidRDefault="003D43FD">
      <w:pPr>
        <w:rPr>
          <w:rFonts w:ascii="Arial" w:eastAsia="Arial" w:hAnsi="Arial" w:cs="Arial"/>
          <w:sz w:val="20"/>
          <w:szCs w:val="20"/>
        </w:rPr>
      </w:pPr>
    </w:p>
    <w:p w14:paraId="248E5D49" w14:textId="77777777" w:rsidR="003D43FD" w:rsidRDefault="003D43FD">
      <w:pPr>
        <w:rPr>
          <w:rFonts w:ascii="Arial" w:eastAsia="Arial" w:hAnsi="Arial" w:cs="Arial"/>
          <w:sz w:val="8"/>
          <w:szCs w:val="8"/>
        </w:rPr>
      </w:pPr>
    </w:p>
    <w:tbl>
      <w:tblPr>
        <w:tblStyle w:val="a"/>
        <w:tblW w:w="10317" w:type="dxa"/>
        <w:tblInd w:w="108" w:type="dxa"/>
        <w:tblBorders>
          <w:top w:val="single" w:sz="12" w:space="0" w:color="000000"/>
          <w:left w:val="single" w:sz="12" w:space="0" w:color="000000"/>
          <w:bottom w:val="single" w:sz="12" w:space="0" w:color="000000"/>
          <w:right w:val="single" w:sz="12" w:space="0" w:color="000000"/>
          <w:insideH w:val="single" w:sz="8" w:space="0" w:color="808080"/>
          <w:insideV w:val="single" w:sz="4" w:space="0" w:color="FFFFFF"/>
        </w:tblBorders>
        <w:tblLayout w:type="fixed"/>
        <w:tblLook w:val="0000" w:firstRow="0" w:lastRow="0" w:firstColumn="0" w:lastColumn="0" w:noHBand="0" w:noVBand="0"/>
      </w:tblPr>
      <w:tblGrid>
        <w:gridCol w:w="2127"/>
        <w:gridCol w:w="8190"/>
      </w:tblGrid>
      <w:tr w:rsidR="003D43FD" w14:paraId="2B4322E8" w14:textId="77777777">
        <w:trPr>
          <w:trHeight w:hRule="auto"/>
        </w:trPr>
        <w:tc>
          <w:tcPr>
            <w:tcW w:w="2127" w:type="dxa"/>
            <w:tcMar>
              <w:top w:w="170" w:type="dxa"/>
            </w:tcMar>
          </w:tcPr>
          <w:p w14:paraId="049D734B" w14:textId="77777777" w:rsidR="003D43FD" w:rsidRDefault="00000000">
            <w:pPr>
              <w:spacing w:after="100"/>
              <w:jc w:val="right"/>
              <w:rPr>
                <w:rFonts w:ascii="Arial" w:eastAsia="Arial" w:hAnsi="Arial" w:cs="Arial"/>
                <w:sz w:val="20"/>
                <w:szCs w:val="20"/>
              </w:rPr>
            </w:pPr>
            <w:r>
              <w:rPr>
                <w:rFonts w:ascii="Calibri" w:eastAsia="Arial" w:hAnsi="Calibri" w:cs="Arial"/>
                <w:sz w:val="20"/>
                <w:szCs w:val="20"/>
              </w:rPr>
              <w:t xml:space="preserve">Name and SID:   </w:t>
            </w:r>
          </w:p>
        </w:tc>
        <w:tc>
          <w:tcPr>
            <w:tcW w:w="8190" w:type="dxa"/>
            <w:tcMar>
              <w:top w:w="170" w:type="dxa"/>
            </w:tcMar>
          </w:tcPr>
          <w:p>
            <w:pPr>
              <w:spacing w:after="100"/>
            </w:pPr>
            <w:r>
              <w:rPr>
                <w:rFonts w:ascii="Calibri" w:hAnsi="Calibri"/>
                <w:sz w:val="20"/>
              </w:rPr>
              <w:t>[TO BE COMPLETED BY STUDENT]</w:t>
            </w:r>
          </w:p>
        </w:tc>
      </w:tr>
      <w:tr w:rsidR="003D43FD" w14:paraId="55051538" w14:textId="77777777">
        <w:trPr>
          <w:trHeight w:hRule="auto"/>
        </w:trPr>
        <w:tc>
          <w:tcPr>
            <w:tcW w:w="2127" w:type="dxa"/>
            <w:tcMar>
              <w:top w:w="170" w:type="dxa"/>
            </w:tcMar>
          </w:tcPr>
          <w:p w14:paraId="499EE59D" w14:textId="77777777" w:rsidR="003D43FD" w:rsidRDefault="00000000">
            <w:pPr>
              <w:spacing w:after="100"/>
              <w:jc w:val="right"/>
              <w:rPr>
                <w:rFonts w:ascii="Arial" w:eastAsia="Arial" w:hAnsi="Arial" w:cs="Arial"/>
                <w:sz w:val="20"/>
                <w:szCs w:val="20"/>
              </w:rPr>
            </w:pPr>
            <w:r>
              <w:rPr>
                <w:rFonts w:ascii="Calibri" w:eastAsia="Arial" w:hAnsi="Calibri" w:cs="Arial"/>
                <w:sz w:val="20"/>
                <w:szCs w:val="20"/>
              </w:rPr>
              <w:t>Degree programme:</w:t>
            </w:r>
          </w:p>
        </w:tc>
        <w:tc>
          <w:tcPr>
            <w:tcW w:w="8190" w:type="dxa"/>
            <w:tcMar>
              <w:top w:w="170" w:type="dxa"/>
            </w:tcMar>
          </w:tcPr>
          <w:p>
            <w:pPr>
              <w:spacing w:after="100"/>
            </w:pPr>
            <w:r>
              <w:rPr>
                <w:rFonts w:ascii="Calibri" w:hAnsi="Calibri"/>
                <w:sz w:val="20"/>
              </w:rPr>
              <w:t>[TO BE COMPLETED BY STUDENT]</w:t>
            </w:r>
          </w:p>
        </w:tc>
      </w:tr>
      <w:tr w:rsidR="003D43FD" w14:paraId="49B2B398" w14:textId="77777777">
        <w:trPr>
          <w:trHeight w:hRule="auto"/>
        </w:trPr>
        <w:tc>
          <w:tcPr>
            <w:tcW w:w="2127" w:type="dxa"/>
            <w:tcMar>
              <w:top w:w="170" w:type="dxa"/>
            </w:tcMar>
          </w:tcPr>
          <w:p w14:paraId="3F0BEA46" w14:textId="77777777" w:rsidR="003D43FD" w:rsidRDefault="00000000">
            <w:pPr>
              <w:spacing w:after="100"/>
              <w:jc w:val="right"/>
              <w:rPr>
                <w:rFonts w:ascii="Arial" w:eastAsia="Arial" w:hAnsi="Arial" w:cs="Arial"/>
                <w:sz w:val="20"/>
                <w:szCs w:val="20"/>
              </w:rPr>
            </w:pPr>
            <w:r>
              <w:rPr>
                <w:rFonts w:ascii="Calibri" w:eastAsia="Arial" w:hAnsi="Calibri" w:cs="Arial"/>
                <w:sz w:val="20"/>
                <w:szCs w:val="20"/>
              </w:rPr>
              <w:t>Supervisor’s name:</w:t>
            </w:r>
          </w:p>
        </w:tc>
        <w:tc>
          <w:tcPr>
            <w:tcW w:w="8190" w:type="dxa"/>
            <w:tcMar>
              <w:top w:w="170" w:type="dxa"/>
            </w:tcMar>
          </w:tcPr>
          <w:p>
            <w:pPr>
              <w:spacing w:after="100"/>
            </w:pPr>
            <w:r>
              <w:rPr>
                <w:rFonts w:ascii="Calibri" w:hAnsi="Calibri"/>
                <w:sz w:val="20"/>
              </w:rPr>
              <w:t>[TO BE COMPLETED BY STUDENT]</w:t>
            </w:r>
          </w:p>
        </w:tc>
      </w:tr>
      <w:tr w:rsidR="003D43FD" w14:paraId="6F50C5AB" w14:textId="77777777">
        <w:trPr>
          <w:trHeight w:hRule="auto"/>
        </w:trPr>
        <w:tc>
          <w:tcPr>
            <w:tcW w:w="2127" w:type="dxa"/>
            <w:tcMar>
              <w:top w:w="170" w:type="dxa"/>
            </w:tcMar>
          </w:tcPr>
          <w:p w14:paraId="67A0AD87" w14:textId="77777777" w:rsidR="003D43FD" w:rsidRDefault="00000000">
            <w:pPr>
              <w:spacing w:after="100"/>
              <w:jc w:val="right"/>
              <w:rPr>
                <w:rFonts w:ascii="Arial" w:eastAsia="Arial" w:hAnsi="Arial" w:cs="Arial"/>
                <w:sz w:val="20"/>
                <w:szCs w:val="20"/>
              </w:rPr>
            </w:pPr>
            <w:r>
              <w:rPr>
                <w:rFonts w:ascii="Calibri" w:eastAsia="Arial" w:hAnsi="Calibri" w:cs="Arial"/>
                <w:sz w:val="20"/>
                <w:szCs w:val="20"/>
              </w:rPr>
              <w:t>Project title:</w:t>
            </w:r>
          </w:p>
        </w:tc>
        <w:tc>
          <w:tcPr>
            <w:tcW w:w="8190" w:type="dxa"/>
            <w:tcMar>
              <w:top w:w="170" w:type="dxa"/>
            </w:tcMar>
          </w:tcPr>
          <w:p>
            <w:pPr>
              <w:spacing w:after="100"/>
            </w:pPr>
            <w:r>
              <w:rPr>
                <w:rFonts w:ascii="Calibri" w:hAnsi="Calibri"/>
                <w:sz w:val="20"/>
              </w:rPr>
              <w:t>A Study on a Large-Model-Based Intelligent Question-Answering System for the Overhead Contact System Field</w:t>
            </w:r>
          </w:p>
        </w:tc>
      </w:tr>
    </w:tbl>
    <w:p w14:paraId="08BC1AB3" w14:textId="77777777" w:rsidR="003D43FD" w:rsidRDefault="003D43FD">
      <w:pPr>
        <w:rPr>
          <w:rFonts w:ascii="Arial" w:eastAsia="Arial" w:hAnsi="Arial" w:cs="Arial"/>
          <w:sz w:val="20"/>
          <w:szCs w:val="20"/>
        </w:rPr>
      </w:pPr>
    </w:p>
    <w:p w14:paraId="3358F5F5" w14:textId="77777777" w:rsidR="003D43FD" w:rsidRDefault="003D43FD">
      <w:pPr>
        <w:rPr>
          <w:rFonts w:ascii="Arial" w:eastAsia="Arial" w:hAnsi="Arial" w:cs="Arial"/>
          <w:sz w:val="20"/>
          <w:szCs w:val="20"/>
        </w:rPr>
      </w:pPr>
    </w:p>
    <w:p w14:paraId="76E082EE" w14:textId="77777777" w:rsidR="003D43FD" w:rsidRDefault="003D43FD">
      <w:pPr>
        <w:rPr>
          <w:rFonts w:ascii="Arial" w:eastAsia="Arial" w:hAnsi="Arial" w:cs="Arial"/>
          <w:sz w:val="20"/>
          <w:szCs w:val="20"/>
        </w:rPr>
        <w:sectPr w:rsidR="003D43FD">
          <w:footerReference w:type="default" r:id="rId8"/>
          <w:pgSz w:w="11907" w:h="16840"/>
          <w:pgMar w:top="1260" w:right="720" w:bottom="720" w:left="720" w:header="709" w:footer="709" w:gutter="0"/>
          <w:pgNumType w:start="1"/>
          <w:cols w:space="720"/>
        </w:sectPr>
      </w:pPr>
    </w:p>
    <w:p w14:paraId="1E0BD6E1" w14:textId="77777777" w:rsidR="003D43FD" w:rsidRDefault="00000000">
      <w:pPr>
        <w:rPr>
          <w:rFonts w:ascii="Arial" w:eastAsia="Arial" w:hAnsi="Arial" w:cs="Arial"/>
          <w:b/>
          <w:bCs/>
          <w:sz w:val="22"/>
          <w:szCs w:val="22"/>
        </w:rPr>
      </w:pPr>
      <w:r>
        <w:rPr>
          <w:rFonts w:ascii="Arial" w:eastAsia="Arial" w:hAnsi="Arial" w:cs="Arial"/>
          <w:b/>
          <w:bCs/>
          <w:sz w:val="22"/>
          <w:szCs w:val="22"/>
        </w:rPr>
        <w:lastRenderedPageBreak/>
        <w:t>Section 1: Project Description</w:t>
      </w:r>
    </w:p>
    <w:p w14:paraId="473F374D" w14:textId="77777777" w:rsidR="003D43FD" w:rsidRDefault="003D43FD">
      <w:pPr>
        <w:rPr>
          <w:rFonts w:ascii="Arial" w:eastAsia="Arial" w:hAnsi="Arial" w:cs="Arial"/>
          <w:sz w:val="8"/>
          <w:szCs w:val="8"/>
        </w:rPr>
      </w:pPr>
    </w:p>
    <w:p w14:paraId="5F395C56" w14:textId="77777777" w:rsidR="003D43FD" w:rsidRDefault="00000000">
      <w:pPr>
        <w:rPr>
          <w:rFonts w:ascii="Arial" w:eastAsia="Arial" w:hAnsi="Arial" w:cs="Arial"/>
          <w:i/>
          <w:iCs/>
          <w:sz w:val="20"/>
          <w:szCs w:val="20"/>
        </w:rPr>
      </w:pPr>
      <w:r>
        <w:rPr>
          <w:rFonts w:ascii="Arial" w:eastAsia="Arial" w:hAnsi="Arial" w:cs="Arial"/>
          <w:i/>
          <w:iCs/>
          <w:sz w:val="20"/>
          <w:szCs w:val="20"/>
        </w:rPr>
        <w:t xml:space="preserve">Describe</w:t>
      </w:r>
      <w:r>
        <w:rPr>
          <w:rFonts w:ascii="Arial" w:eastAsia="Arial" w:hAnsi="Arial" w:cs="Arial"/>
          <w:i/>
          <w:iCs/>
          <w:sz w:val="20"/>
          <w:szCs w:val="20"/>
        </w:rPr>
        <w:t xml:space="preserve"> the </w:t>
      </w:r>
      <w:r>
        <w:rPr>
          <w:rFonts w:ascii="Arial" w:eastAsia="Arial" w:hAnsi="Arial" w:cs="Arial"/>
          <w:i/>
          <w:iCs/>
          <w:sz w:val="20"/>
          <w:szCs w:val="20"/>
        </w:rPr>
        <w:t xml:space="preserve">background</w:t>
      </w:r>
      <w:r>
        <w:rPr>
          <w:rFonts w:ascii="Arial" w:eastAsia="Arial" w:hAnsi="Arial" w:cs="Arial"/>
          <w:i/>
          <w:iCs/>
          <w:sz w:val="20"/>
          <w:szCs w:val="20"/>
        </w:rPr>
        <w:t xml:space="preserve">, </w:t>
      </w:r>
      <w:r>
        <w:rPr>
          <w:rFonts w:ascii="Arial" w:eastAsia="Arial" w:hAnsi="Arial" w:cs="Arial"/>
          <w:i/>
          <w:iCs/>
          <w:sz w:val="20"/>
          <w:szCs w:val="20"/>
        </w:rPr>
        <w:t xml:space="preserve">problem, aim</w:t>
      </w:r>
      <w:r>
        <w:rPr>
          <w:rFonts w:ascii="Arial" w:eastAsia="Arial" w:hAnsi="Arial" w:cs="Arial"/>
          <w:i/>
          <w:iCs/>
          <w:sz w:val="20"/>
          <w:szCs w:val="20"/>
        </w:rPr>
        <w:t xml:space="preserve"> and objectives of your project (max</w:t>
      </w:r>
      <w:r>
        <w:rPr>
          <w:rFonts w:ascii="Arial" w:eastAsia="Arial" w:hAnsi="Arial" w:cs="Arial"/>
          <w:i/>
          <w:iCs/>
          <w:sz w:val="20"/>
          <w:szCs w:val="20"/>
        </w:rPr>
        <w:t xml:space="preserve">.</w:t>
      </w:r>
      <w:r>
        <w:rPr>
          <w:rFonts w:ascii="Arial" w:eastAsia="Arial" w:hAnsi="Arial" w:cs="Arial"/>
          <w:i/>
          <w:iCs/>
          <w:sz w:val="20"/>
          <w:szCs w:val="20"/>
        </w:rPr>
        <w:t xml:space="preserve"> 750 words</w:t>
      </w:r>
      <w:r>
        <w:rPr>
          <w:rFonts w:ascii="Arial" w:eastAsia="Arial" w:hAnsi="Arial" w:cs="Arial"/>
          <w:i/>
          <w:iCs/>
          <w:sz w:val="20"/>
          <w:szCs w:val="20"/>
        </w:rPr>
        <w:t xml:space="preserve">, excluding the reference list</w:t>
      </w:r>
      <w:r>
        <w:rPr>
          <w:rFonts w:ascii="Arial" w:eastAsia="Arial" w:hAnsi="Arial" w:cs="Arial"/>
          <w:i/>
          <w:iCs/>
          <w:sz w:val="20"/>
          <w:szCs w:val="20"/>
        </w:rPr>
        <w:t xml:space="preserve">):</w:t>
      </w:r>
    </w:p>
    <w:p>
      <w:pPr>
        <w:rPr/>
      </w:pPr>
      <w:r>
        <w:rPr>
          <w:rFonts w:ascii="Arial" w:eastAsia="Arial" w:hAnsi="Arial" w:cs="Arial"/>
          <w:i/>
          <w:iCs/>
          <w:sz w:val="20"/>
          <w:szCs w:val="20"/>
        </w:rPr>
        <w:t xml:space="preserve">Include: the problem statement and overall aim; specific, measurable objectives; testable success criteria; your technical approach, described as an integrated system with its key components and interfaces; any knowledge gaps you need to fill; and a short list of five to seven references (IEEE style).</w:t>
      </w:r>
    </w:p>
    <w:p w14:paraId="36984781" w14:textId="77777777" w:rsidR="003D43FD" w:rsidRDefault="003D43FD">
      <w:pPr>
        <w:rPr>
          <w:rFonts w:ascii="Arial" w:eastAsia="Arial" w:hAnsi="Arial" w:cs="Arial"/>
          <w:sz w:val="8"/>
          <w:szCs w:val="8"/>
        </w:rPr>
      </w:pPr>
    </w:p>
    <w:tbl>
      <w:tblPr>
        <w:tblStyle w:val="a0"/>
        <w:tblW w:w="1032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329"/>
      </w:tblGrid>
      <w:tr>
        <w:trPr>
          <w:trHeight w:hRule="auto"/>
        </w:trPr>
        <w:tc>
          <w:tcPr>
            <w:tcW w:type="dxa" w:w="10329"/>
          </w:tcPr>
          <w:p>
            <w:pPr>
              <w:spacing w:after="100"/>
            </w:pPr>
          </w:p>
          <w:p>
            <w:pPr>
              <w:keepNext/>
              <w:spacing w:after="100"/>
            </w:pPr>
            <w:r>
              <w:rPr>
                <w:rFonts w:ascii="Calibri" w:hAnsi="Calibri"/>
                <w:b/>
                <w:sz w:val="20"/>
              </w:rPr>
              <w:t>Background and problem</w:t>
            </w:r>
          </w:p>
          <w:p>
            <w:pPr>
              <w:spacing w:after="100"/>
            </w:pPr>
            <w:r>
              <w:rPr>
                <w:rFonts w:ascii="Calibri" w:hAnsi="Calibri"/>
                <w:sz w:val="20"/>
              </w:rPr>
              <w:t>Overhead contact system information in the supplied project collection is distributed across technical standards, specifications and multiple document versions. This project addresses the difficulty of locating relevant clauses and checking which document supports an answer. Its intended users are students and engineers consulting Chinese-language standards. The prototype will support document consultation; it will not certify compliance or replace engineering judgement.</w:t>
            </w:r>
          </w:p>
          <w:p>
            <w:pPr>
              <w:spacing w:after="100"/>
            </w:pPr>
            <w:r>
              <w:rPr>
                <w:rFonts w:ascii="Calibri" w:hAnsi="Calibri"/>
                <w:sz w:val="20"/>
              </w:rPr>
              <w:t>Retrieval-augmented generation (RAG) combines retrieved evidence with language generation [1]. BM25 provides a lexical retrieval baseline [2], while dense retrieval provides a complementary representation-based approach [3]. However, the effectiveness of these methods on this particular collection remains to be measured. Query rewriting motivates resolving short follow-up questions before retrieval [4]. Research on irrelevant context [5] and multidimensional RAG evaluation [6] motivates testing evidence quality as well as answer quality. These studies inform the design; they do not establish its effectiveness for railway standards.</w:t>
            </w:r>
          </w:p>
          <w:p>
            <w:pPr>
              <w:keepNext/>
              <w:spacing w:after="100"/>
            </w:pPr>
            <w:r>
              <w:rPr>
                <w:rFonts w:ascii="Calibri" w:hAnsi="Calibri"/>
                <w:b/>
                <w:sz w:val="20"/>
              </w:rPr>
              <w:t>Aim and research questions</w:t>
            </w:r>
          </w:p>
          <w:p>
            <w:pPr>
              <w:spacing w:after="100"/>
            </w:pPr>
            <w:r>
              <w:rPr>
                <w:rFonts w:ascii="Calibri" w:hAnsi="Calibri"/>
                <w:sz w:val="20"/>
              </w:rPr>
              <w:t>The aim is to develop and evaluate a traceable question-answering prototype for a curated collection of overhead contact system standards. RQ1 asks whether hybrid retrieval improves evidence retrieval over BM25-only and dense-only retrieval. RQ2 asks whether explicit standard identifiers and edition years reduce wrong-version citations. RQ3 asks whether evidence checks reduce unsupported answers without excessive refusal of answerable questions.</w:t>
            </w:r>
          </w:p>
          <w:p>
            <w:pPr>
              <w:keepNext/>
              <w:spacing w:after="100"/>
            </w:pPr>
            <w:r>
              <w:rPr>
                <w:rFonts w:ascii="Calibri" w:hAnsi="Calibri"/>
                <w:b/>
                <w:sz w:val="20"/>
              </w:rPr>
              <w:t>Objectives and proposed success criteria</w:t>
            </w:r>
          </w:p>
          <w:p>
            <w:pPr>
              <w:spacing w:after="100"/>
            </w:pPr>
            <w:r>
              <w:rPr>
                <w:rFonts w:ascii="Calibri" w:hAnsi="Calibri"/>
                <w:sz w:val="20"/>
              </w:rPr>
              <w:t>O1 — By Week 11, curate 20–30 usable, non-duplicate documents with file identifiers, standard/edition metadata, extraction reports and source locations. The initial 25-file audit is a candidate pool, not a completed corpus; unsuitable files will be replaced. All selected documents must have a recorded use-permission decision before external processing.</w:t>
            </w:r>
          </w:p>
          <w:p>
            <w:pPr>
              <w:spacing w:after="100"/>
            </w:pPr>
            <w:r>
              <w:rPr>
                <w:rFonts w:ascii="Calibri" w:hAnsi="Calibri"/>
                <w:sz w:val="20"/>
              </w:rPr>
              <w:t>O2 — By Week 15, implement ingestion, retrieval, generation, source display and simple follow-up handling. Every displayed citation must resolve to a stored passage and document location. PDF citations will use file-page numbers; DOCX citations will use paragraph or table locations. Missing requested editions must not silently fall back to another edition.</w:t>
            </w:r>
          </w:p>
          <w:p>
            <w:pPr>
              <w:spacing w:after="100"/>
            </w:pPr>
            <w:r>
              <w:rPr>
                <w:rFonts w:ascii="Calibri" w:hAnsi="Calibri"/>
                <w:sz w:val="20"/>
              </w:rPr>
              <w:t>O3 — Construct 100 manually checked questions, reserving 20 for development and 80 for testing, with reference answers and evidence locations for answerable questions. Linked follow-ups and paraphrases will remain in the same split. Freeze the corpus, labels and configuration before final evaluation.</w:t>
            </w:r>
          </w:p>
          <w:p>
            <w:pPr>
              <w:spacing w:after="100"/>
            </w:pPr>
            <w:r>
              <w:rPr>
                <w:rFonts w:ascii="Calibri" w:hAnsi="Calibri"/>
                <w:sz w:val="20"/>
              </w:rPr>
              <w:t>O4 — By Week 19, compare the three retrieval modes and ablate edition handling and evidence checks. Proposed targets are Recall@5 of at least 0.80, answer correctness of at least 0.80, citation support of at least 0.90, refusal recall of at least 0.80 on unanswerable questions, and false refusal of at most 0.10 on answerable questions. Report denominators, errors and uncertainty. Targets are provisional design goals, not expected findings; negative results will be reported.</w:t>
            </w:r>
          </w:p>
          <w:p>
            <w:pPr>
              <w:spacing w:after="100"/>
            </w:pPr>
            <w:r>
              <w:rPr>
                <w:rFonts w:ascii="Calibri" w:hAnsi="Calibri"/>
                <w:sz w:val="20"/>
              </w:rPr>
              <w:t>O5 — Deliver reproducible configurations, evaluation outputs, a local demonstration, the assessed report and a demonstration video by Week 24. Record retrieval, generation and total latency, including API failures, without promising an unmeasured response-time target.</w:t>
            </w:r>
          </w:p>
          <w:p>
            <w:pPr>
              <w:keepNext/>
              <w:spacing w:after="100"/>
            </w:pPr>
            <w:r>
              <w:rPr>
                <w:rFonts w:ascii="Calibri" w:hAnsi="Calibri"/>
                <w:b/>
                <w:sz w:val="20"/>
              </w:rPr>
              <w:t>Integrated technical approach and boundaries</w:t>
            </w:r>
          </w:p>
          <w:p>
            <w:pPr>
              <w:spacing w:after="100"/>
            </w:pPr>
            <w:r>
              <w:rPr>
                <w:rFonts w:ascii="Calibri" w:hAnsi="Calibri"/>
                <w:sz w:val="20"/>
              </w:rPr>
              <w:t>The offline pipeline will parse text-based PDF/DOCX files, retain provenance, split text into passages, obtain online embeddings and build a local index. The online pipeline will resolve simple follow-up context, interpret standard/edition constraints, retrieve passages with BM25 and/or vector similarity, check evidence, then request a cited answer or explain insufficient evidence. Interfaces will pass passage text, stable identifiers, source locations and scores; the response will expose answer status, citations and timings. A local demonstration interface and batch evaluator will share the same pipeline.</w:t>
            </w:r>
          </w:p>
          <w:p>
            <w:pPr>
              <w:spacing w:after="100"/>
            </w:pPr>
            <w:r>
              <w:rPr>
                <w:rFonts w:ascii="Calibri" w:hAnsi="Calibri"/>
                <w:sz w:val="20"/>
              </w:rPr>
              <w:t>The supplied Python reference implementation will remain identifiable as the baseline. My planned contribution is corpus curation, edition-aware retrieval, evidence checking and controlled evaluation. Training a foundation model, drawing interpretation, production deployment and multi-user access are excluded. Knowledge gaps include extraction quality, retrieval calibration, assessment consistency and API cost estimation. Early feasibility checks, development-only tuning and a documented annotation rubric will address these gaps.</w:t>
            </w:r>
          </w:p>
          <w:p>
            <w:pPr>
              <w:keepNext/>
              <w:spacing w:after="100"/>
            </w:pPr>
            <w:r>
              <w:rPr>
                <w:rFonts w:ascii="Calibri" w:hAnsi="Calibri"/>
                <w:b/>
                <w:sz w:val="20"/>
              </w:rPr>
              <w:t>References</w:t>
            </w:r>
          </w:p>
          <w:p>
            <w:pPr>
              <w:spacing w:after="100"/>
            </w:pPr>
            <w:r>
              <w:rPr>
                <w:rFonts w:ascii="Calibri" w:hAnsi="Calibri"/>
                <w:sz w:val="20"/>
              </w:rPr>
              <w:t xml:space="preserve">[1] P. Lewis et al., “Retrieval-Augmented Generation for Knowledge-Intensive NLP Tasks,” in Advances in Neural Information Processing Systems, vol. 33, 2020. </w:t>
            </w:r>
            <w:hyperlink r:id="rId13">
              <w:r>
                <w:rPr>
                  <w:rStyle w:val="Hyperlink"/>
                </w:rPr>
                <w:t>Publisher record</w:t>
              </w:r>
            </w:hyperlink>
            <w:r>
              <w:rPr>
                <w:rFonts w:ascii="Calibri" w:hAnsi="Calibri"/>
                <w:sz w:val="20"/>
              </w:rPr>
              <w:t>.</w:t>
            </w:r>
          </w:p>
          <w:p>
            <w:pPr>
              <w:spacing w:after="100"/>
            </w:pPr>
            <w:r>
              <w:rPr>
                <w:rFonts w:ascii="Calibri" w:hAnsi="Calibri"/>
                <w:sz w:val="20"/>
              </w:rPr>
              <w:t xml:space="preserve">[2] S. Robertson and H. Zaragoza, “The Probabilistic Relevance Framework: BM25 and Beyond,” Foundations and Trends in Information Retrieval, vol. 3, no. 4, pp. 333–389, 2009, doi: 10.1561/1500000019. </w:t>
            </w:r>
            <w:hyperlink r:id="rId14">
              <w:r>
                <w:rPr>
                  <w:rStyle w:val="Hyperlink"/>
                </w:rPr>
                <w:t>Publisher full text</w:t>
              </w:r>
            </w:hyperlink>
            <w:r>
              <w:rPr>
                <w:rFonts w:ascii="Calibri" w:hAnsi="Calibri"/>
                <w:sz w:val="20"/>
              </w:rPr>
              <w:t>.</w:t>
            </w:r>
          </w:p>
          <w:p>
            <w:pPr>
              <w:spacing w:after="100"/>
            </w:pPr>
            <w:r>
              <w:rPr>
                <w:rFonts w:ascii="Calibri" w:hAnsi="Calibri"/>
                <w:sz w:val="20"/>
              </w:rPr>
              <w:t xml:space="preserve">[3] V. Karpukhin et al., “Dense Passage Retrieval for Open-Domain Question Answering,” in Proceedings of EMNLP, 2020, pp. 6769–6781, doi: 10.18653/v1/2020.emnlp-main.550. </w:t>
            </w:r>
            <w:hyperlink r:id="rId15">
              <w:r>
                <w:rPr>
                  <w:rStyle w:val="Hyperlink"/>
                </w:rPr>
                <w:t>Publisher record</w:t>
              </w:r>
            </w:hyperlink>
            <w:r>
              <w:rPr>
                <w:rFonts w:ascii="Calibri" w:hAnsi="Calibri"/>
                <w:sz w:val="20"/>
              </w:rPr>
              <w:t>.</w:t>
            </w:r>
          </w:p>
          <w:p>
            <w:pPr>
              <w:spacing w:after="100"/>
            </w:pPr>
            <w:r>
              <w:rPr>
                <w:rFonts w:ascii="Calibri" w:hAnsi="Calibri"/>
                <w:sz w:val="20"/>
              </w:rPr>
              <w:t xml:space="preserve">[4] X. Ma, Y. Gong, P. He, H. Zhao, and N. Duan, “Query Rewriting in Retrieval-Augmented Large Language Models,” in Proceedings of EMNLP, 2023, pp. 5303–5315, doi: 10.18653/v1/2023.emnlp-main.322. </w:t>
            </w:r>
            <w:hyperlink r:id="rId16">
              <w:r>
                <w:rPr>
                  <w:rStyle w:val="Hyperlink"/>
                </w:rPr>
                <w:t>Publisher record</w:t>
              </w:r>
            </w:hyperlink>
            <w:r>
              <w:rPr>
                <w:rFonts w:ascii="Calibri" w:hAnsi="Calibri"/>
                <w:sz w:val="20"/>
              </w:rPr>
              <w:t>.</w:t>
            </w:r>
          </w:p>
          <w:p>
            <w:pPr>
              <w:spacing w:after="100"/>
            </w:pPr>
            <w:r>
              <w:rPr>
                <w:rFonts w:ascii="Calibri" w:hAnsi="Calibri"/>
                <w:sz w:val="20"/>
              </w:rPr>
              <w:t xml:space="preserve">[5] F. Shi et al., “Large Language Models Can Be Easily Distracted by Irrelevant Context,” in Proceedings of ICML, PMLR, vol. 202, 2023, pp. 31210–31227. </w:t>
            </w:r>
            <w:hyperlink r:id="rId17">
              <w:r>
                <w:rPr>
                  <w:rStyle w:val="Hyperlink"/>
                </w:rPr>
                <w:t>Publisher record</w:t>
              </w:r>
            </w:hyperlink>
            <w:r>
              <w:rPr>
                <w:rFonts w:ascii="Calibri" w:hAnsi="Calibri"/>
                <w:sz w:val="20"/>
              </w:rPr>
              <w:t>.</w:t>
            </w:r>
          </w:p>
          <w:p>
            <w:pPr>
              <w:spacing w:after="100"/>
            </w:pPr>
            <w:r>
              <w:rPr>
                <w:rFonts w:ascii="Calibri" w:hAnsi="Calibri"/>
                <w:sz w:val="20"/>
              </w:rPr>
              <w:t xml:space="preserve">[6] S. Es, J. James, L. Espinosa Anke, and S. Schockaert, “RAGAs: Automated Evaluation of Retrieval Augmented Generation,” in Proceedings of EACL: System Demonstrations, 2024, pp. 150–158, doi: 10.18653/v1/2024.eacl-demo.16. </w:t>
            </w:r>
            <w:hyperlink r:id="rId18">
              <w:r>
                <w:rPr>
                  <w:rStyle w:val="Hyperlink"/>
                </w:rPr>
                <w:t>Publisher record</w:t>
              </w:r>
            </w:hyperlink>
            <w:r>
              <w:rPr>
                <w:rFonts w:ascii="Calibri" w:hAnsi="Calibri"/>
                <w:sz w:val="20"/>
              </w:rPr>
              <w:t>.</w:t>
            </w:r>
          </w:p>
        </w:tc>
      </w:tr>
    </w:tbl>
    <w:p w14:paraId="73E9C726" w14:textId="77777777" w:rsidR="003D43FD" w:rsidRDefault="003D43FD">
      <w:pPr>
        <w:rPr>
          <w:rFonts w:ascii="Arial" w:eastAsia="Arial" w:hAnsi="Arial" w:cs="Arial"/>
          <w:sz w:val="20"/>
          <w:szCs w:val="20"/>
        </w:rPr>
        <w:sectPr w:rsidR="003D43FD">
          <w:pgSz w:w="11907" w:h="16840"/>
          <w:pgMar w:top="1260" w:right="720" w:bottom="720" w:left="720" w:header="709" w:footer="709" w:gutter="0"/>
          <w:cols w:space="720"/>
        </w:sectPr>
      </w:pPr>
    </w:p>
    <w:p w14:paraId="6A89E4F4" w14:textId="77777777" w:rsidR="003D43FD" w:rsidRDefault="00000000">
      <w:pPr>
        <w:rPr>
          <w:rFonts w:ascii="Arial" w:eastAsia="Arial" w:hAnsi="Arial" w:cs="Arial"/>
          <w:b/>
          <w:bCs/>
          <w:sz w:val="22"/>
          <w:szCs w:val="22"/>
        </w:rPr>
      </w:pPr>
      <w:r>
        <w:rPr>
          <w:rFonts w:ascii="Arial" w:eastAsia="Arial" w:hAnsi="Arial" w:cs="Arial"/>
          <w:b/>
          <w:bCs/>
          <w:sz w:val="22"/>
          <w:szCs w:val="22"/>
        </w:rPr>
        <w:t xml:space="preserve">Section 2: Gantt </w:t>
      </w:r>
      <w:r>
        <w:rPr>
          <w:rFonts w:ascii="Arial" w:eastAsia="Arial" w:hAnsi="Arial" w:cs="Arial"/>
          <w:b/>
          <w:bCs/>
          <w:sz w:val="22"/>
          <w:szCs w:val="22"/>
        </w:rPr>
        <w:t xml:space="preserve">Chart</w:t>
      </w:r>
    </w:p>
    <w:p w14:paraId="47215110" w14:textId="77777777" w:rsidR="003D43FD" w:rsidRDefault="003D43FD">
      <w:pPr>
        <w:rPr>
          <w:rFonts w:ascii="Arial" w:eastAsia="Arial" w:hAnsi="Arial" w:cs="Arial"/>
          <w:sz w:val="8"/>
          <w:szCs w:val="8"/>
        </w:rPr>
      </w:pPr>
    </w:p>
    <w:p w14:paraId="642FA648" w14:textId="77777777" w:rsidR="003D43FD" w:rsidRDefault="00000000">
      <w:pPr>
        <w:rPr>
          <w:rFonts w:ascii="Arial" w:eastAsia="Arial" w:hAnsi="Arial" w:cs="Arial"/>
          <w:i/>
          <w:iCs/>
          <w:sz w:val="20"/>
          <w:szCs w:val="20"/>
        </w:rPr>
      </w:pPr>
      <w:r>
        <w:rPr>
          <w:rFonts w:ascii="Arial" w:eastAsia="Arial" w:hAnsi="Arial" w:cs="Arial"/>
          <w:i/>
          <w:iCs/>
          <w:sz w:val="20"/>
          <w:szCs w:val="20"/>
        </w:rPr>
        <w:t xml:space="preserve">Your Gantt chart should show tasks and sub-tasks with clear timescales, milestones (e.g. “Architecture approved”) and the dependencies between tasks, covering the whole project up to the final submission in Week 24:</w:t>
      </w:r>
    </w:p>
    <w:p w14:paraId="130AFF56" w14:textId="77777777" w:rsidR="003D43FD" w:rsidRDefault="003D43FD">
      <w:pPr>
        <w:rPr>
          <w:rFonts w:ascii="Arial" w:eastAsia="Arial" w:hAnsi="Arial" w:cs="Arial"/>
          <w:sz w:val="8"/>
          <w:szCs w:val="8"/>
        </w:rPr>
      </w:pPr>
    </w:p>
    <w:tbl>
      <w:tblPr>
        <w:tblStyle w:val="a1"/>
        <w:tblW w:w="1530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00"/>
      </w:tblGrid>
      <w:tr>
        <w:trPr>
          <w:trHeight w:hRule="auto"/>
        </w:trPr>
        <w:tc>
          <w:tcPr>
            <w:tcW w:type="dxa" w:w="15300"/>
          </w:tcPr>
          <w:p>
            <w:pPr>
              <w:spacing w:after="100"/>
            </w:pPr>
          </w:p>
          <w:p>
            <w:pPr>
              <w:spacing w:after="100"/>
            </w:pPr>
            <w:r>
              <w:rPr>
                <w:rFonts w:ascii="Calibri" w:hAnsi="Calibri"/>
                <w:sz w:val="20"/>
              </w:rPr>
              <w:t>Use the accompanying Gantt chart and task/dependency table. The schedule uses course weeks, not ISO calendar weeks. Week 5 is the planning anchor; the student's current course week is to be confirmed. Holidays and examination weeks must be reconciled with the module calendar. Final submission is Thursday of Week 24 at 14:00 UK time; viva preparation continues to Weeks 25–27.</w:t>
            </w:r>
          </w:p>
          <w:p>
            <w:pPr>
              <w:spacing w:after="100"/>
            </w:pPr>
            <w:r>
              <w:rPr>
                <w:rFonts w:ascii="Calibri" w:hAnsi="Calibri"/>
                <w:sz w:val="20"/>
              </w:rPr>
              <w:drawing>
                <wp:inline xmlns:a="http://schemas.openxmlformats.org/drawingml/2006/main" xmlns:pic="http://schemas.openxmlformats.org/drawingml/2006/picture">
                  <wp:extent cx="5486400" cy="4428781"/>
                  <wp:docPr id="7" name="Picture 7"/>
                  <wp:cNvGraphicFramePr>
                    <a:graphicFrameLocks noChangeAspect="1"/>
                  </wp:cNvGraphicFramePr>
                  <a:graphic>
                    <a:graphicData uri="http://schemas.openxmlformats.org/drawingml/2006/picture">
                      <pic:pic>
                        <pic:nvPicPr>
                          <pic:cNvPr id="0" name="gantt.png"/>
                          <pic:cNvPicPr/>
                        </pic:nvPicPr>
                        <pic:blipFill>
                          <a:blip r:embed="rId19"/>
                          <a:stretch>
                            <a:fillRect/>
                          </a:stretch>
                        </pic:blipFill>
                        <pic:spPr>
                          <a:xfrm>
                            <a:off x="0" y="0"/>
                            <a:ext cx="5486400" cy="4428781"/>
                          </a:xfrm>
                          <a:prstGeom prst="rect"/>
                        </pic:spPr>
                      </pic:pic>
                    </a:graphicData>
                  </a:graphic>
                </wp:inline>
              </w:drawing>
            </w:r>
          </w:p>
          <w:p>
            <w:pPr>
              <w:spacing w:after="100"/>
            </w:pPr>
            <w:r>
              <w:rPr>
                <w:rFonts w:ascii="Calibri" w:hAnsi="Calibri"/>
                <w:sz w:val="20"/>
              </w:rPr>
              <w:t>Milestones: M1 proposal reviewed for Week 7 submission; M2 curated corpus and baseline by Week 11; M3 enhancements integrated by Week 15; M4 evaluation completed by Week 19; M5 report draft by Week 22; M6 final submission by Week 24. Approvals and completion will be recorded only when they occur.</w:t>
            </w:r>
          </w:p>
          <w:p>
            <w:pPr>
              <w:spacing w:after="100"/>
            </w:pPr>
            <w:r>
              <w:rPr>
                <w:rFonts w:ascii="Calibri" w:hAnsi="Calibri"/>
                <w:sz w:val="20"/>
              </w:rPr>
              <w:t>The detailed dependency table and effort allocations are maintained in 进度计划.csv. Weekly journals, meeting records, risk updates and ten Review Documents run throughout the project.</w:t>
            </w:r>
          </w:p>
          <w:p>
            <w:pPr>
              <w:spacing w:after="100"/>
            </w:pPr>
            <w:r>
              <w:rPr>
                <w:rFonts w:ascii="Calibri" w:hAnsi="Calibri"/>
                <w:b/>
                <w:sz w:val="20"/>
              </w:rPr>
              <w:t>Task dependencies and effort (planned)</w:t>
            </w:r>
          </w:p>
          <w:tbl>
            <w:tblPr>
              <w:tblStyle w:val="TableGrid"/>
              <w:tblW w:type="auto" w:w="0"/>
              <w:tblLook w:firstColumn="1" w:firstRow="1" w:lastColumn="0" w:lastRow="0" w:noHBand="0" w:noVBand="1" w:val="04A0"/>
            </w:tblPr>
            <w:tblGrid>
              <w:gridCol w:w="3060"/>
              <w:gridCol w:w="3060"/>
              <w:gridCol w:w="3060"/>
              <w:gridCol w:w="3060"/>
              <w:gridCol w:w="3060"/>
            </w:tblGrid>
            <w:tr>
              <w:trPr>
                <w:trHeight w:hRule="auto"/>
              </w:trPr>
              <w:tc>
                <w:tcPr>
                  <w:tcW w:type="dxa" w:w="3060"/>
                </w:tcPr>
                <w:p>
                  <w:pPr>
                    <w:spacing w:after="100"/>
                  </w:pPr>
                  <w:r>
                    <w:rPr>
                      <w:rFonts w:ascii="Calibri" w:hAnsi="Calibri"/>
                      <w:sz w:val="20"/>
                    </w:rPr>
                    <w:t>ID / task</w:t>
                  </w:r>
                </w:p>
              </w:tc>
              <w:tc>
                <w:tcPr>
                  <w:tcW w:type="dxa" w:w="3060"/>
                </w:tcPr>
                <w:p>
                  <w:pPr>
                    <w:spacing w:after="100"/>
                  </w:pPr>
                  <w:r>
                    <w:rPr>
                      <w:rFonts w:ascii="Calibri" w:hAnsi="Calibri"/>
                      <w:sz w:val="20"/>
                    </w:rPr>
                    <w:t>Weeks</w:t>
                  </w:r>
                </w:p>
              </w:tc>
              <w:tc>
                <w:tcPr>
                  <w:tcW w:type="dxa" w:w="3060"/>
                </w:tcPr>
                <w:p>
                  <w:pPr>
                    <w:spacing w:after="100"/>
                  </w:pPr>
                  <w:r>
                    <w:rPr>
                      <w:rFonts w:ascii="Calibri" w:hAnsi="Calibri"/>
                      <w:sz w:val="20"/>
                    </w:rPr>
                    <w:t>Depends on</w:t>
                  </w:r>
                </w:p>
              </w:tc>
              <w:tc>
                <w:tcPr>
                  <w:tcW w:type="dxa" w:w="3060"/>
                </w:tcPr>
                <w:p>
                  <w:pPr>
                    <w:spacing w:after="100"/>
                  </w:pPr>
                  <w:r>
                    <w:rPr>
                      <w:rFonts w:ascii="Calibri" w:hAnsi="Calibri"/>
                      <w:sz w:val="20"/>
                    </w:rPr>
                    <w:t>Hours</w:t>
                  </w:r>
                </w:p>
              </w:tc>
              <w:tc>
                <w:tcPr>
                  <w:tcW w:type="dxa" w:w="3060"/>
                </w:tcPr>
                <w:p>
                  <w:pPr>
                    <w:spacing w:after="100"/>
                  </w:pPr>
                  <w:r>
                    <w:rPr>
                      <w:rFonts w:ascii="Calibri" w:hAnsi="Calibri"/>
                      <w:sz w:val="20"/>
                    </w:rPr>
                    <w:t>Output / milestone</w:t>
                  </w:r>
                </w:p>
              </w:tc>
            </w:tr>
            <w:tr>
              <w:trPr>
                <w:trHeight w:hRule="auto"/>
              </w:trPr>
              <w:tc>
                <w:tcPr>
                  <w:tcW w:type="dxa" w:w="3060"/>
                </w:tcPr>
                <w:p>
                  <w:pPr>
                    <w:spacing w:after="100"/>
                  </w:pPr>
                  <w:r>
                    <w:rPr>
                      <w:rFonts w:ascii="Calibri" w:hAnsi="Calibri"/>
                      <w:sz w:val="20"/>
                    </w:rPr>
                    <w:t>T01 Scope and success criteria</w:t>
                  </w:r>
                </w:p>
              </w:tc>
              <w:tc>
                <w:tcPr>
                  <w:tcW w:type="dxa" w:w="3060"/>
                </w:tcPr>
                <w:p>
                  <w:pPr>
                    <w:spacing w:after="100"/>
                  </w:pPr>
                  <w:r>
                    <w:rPr>
                      <w:rFonts w:ascii="Calibri" w:hAnsi="Calibri"/>
                      <w:sz w:val="20"/>
                    </w:rPr>
                    <w:t>5–6</w:t>
                  </w:r>
                </w:p>
              </w:tc>
              <w:tc>
                <w:tcPr>
                  <w:tcW w:type="dxa" w:w="3060"/>
                </w:tcPr>
                <w:p>
                  <w:pPr>
                    <w:spacing w:after="100"/>
                  </w:pPr>
                  <w:r>
                    <w:rPr>
                      <w:rFonts w:ascii="Calibri" w:hAnsi="Calibri"/>
                      <w:sz w:val="20"/>
                    </w:rPr>
                    <w:t>—</w:t>
                  </w:r>
                </w:p>
              </w:tc>
              <w:tc>
                <w:tcPr>
                  <w:tcW w:type="dxa" w:w="3060"/>
                </w:tcPr>
                <w:p>
                  <w:pPr>
                    <w:spacing w:after="100"/>
                  </w:pPr>
                  <w:r>
                    <w:rPr>
                      <w:rFonts w:ascii="Calibri" w:hAnsi="Calibri"/>
                      <w:sz w:val="20"/>
                    </w:rPr>
                    <w:t>14</w:t>
                  </w:r>
                </w:p>
              </w:tc>
              <w:tc>
                <w:tcPr>
                  <w:tcW w:type="dxa" w:w="3060"/>
                </w:tcPr>
                <w:p>
                  <w:pPr>
                    <w:spacing w:after="100"/>
                  </w:pPr>
                  <w:r>
                    <w:rPr>
                      <w:rFonts w:ascii="Calibri" w:hAnsi="Calibri"/>
                      <w:sz w:val="20"/>
                    </w:rPr>
                    <w:t>Requirements and research questions</w:t>
                  </w:r>
                </w:p>
              </w:tc>
            </w:tr>
            <w:tr>
              <w:trPr>
                <w:trHeight w:hRule="auto"/>
              </w:trPr>
              <w:tc>
                <w:tcPr>
                  <w:tcW w:type="dxa" w:w="3060"/>
                </w:tcPr>
                <w:p>
                  <w:pPr>
                    <w:spacing w:after="100"/>
                  </w:pPr>
                  <w:r>
                    <w:rPr>
                      <w:rFonts w:ascii="Calibri" w:hAnsi="Calibri"/>
                      <w:sz w:val="20"/>
                    </w:rPr>
                    <w:t>T02 Literature review</w:t>
                  </w:r>
                </w:p>
              </w:tc>
              <w:tc>
                <w:tcPr>
                  <w:tcW w:type="dxa" w:w="3060"/>
                </w:tcPr>
                <w:p>
                  <w:pPr>
                    <w:spacing w:after="100"/>
                  </w:pPr>
                  <w:r>
                    <w:rPr>
                      <w:rFonts w:ascii="Calibri" w:hAnsi="Calibri"/>
                      <w:sz w:val="20"/>
                    </w:rPr>
                    <w:t>5–10</w:t>
                  </w:r>
                </w:p>
              </w:tc>
              <w:tc>
                <w:tcPr>
                  <w:tcW w:type="dxa" w:w="3060"/>
                </w:tcPr>
                <w:p>
                  <w:pPr>
                    <w:spacing w:after="100"/>
                  </w:pPr>
                  <w:r>
                    <w:rPr>
                      <w:rFonts w:ascii="Calibri" w:hAnsi="Calibri"/>
                      <w:sz w:val="20"/>
                    </w:rPr>
                    <w:t>—</w:t>
                  </w:r>
                </w:p>
              </w:tc>
              <w:tc>
                <w:tcPr>
                  <w:tcW w:type="dxa" w:w="3060"/>
                </w:tcPr>
                <w:p>
                  <w:pPr>
                    <w:spacing w:after="100"/>
                  </w:pPr>
                  <w:r>
                    <w:rPr>
                      <w:rFonts w:ascii="Calibri" w:hAnsi="Calibri"/>
                      <w:sz w:val="20"/>
                    </w:rPr>
                    <w:t>32</w:t>
                  </w:r>
                </w:p>
              </w:tc>
              <w:tc>
                <w:tcPr>
                  <w:tcW w:type="dxa" w:w="3060"/>
                </w:tcPr>
                <w:p>
                  <w:pPr>
                    <w:spacing w:after="100"/>
                  </w:pPr>
                  <w:r>
                    <w:rPr>
                      <w:rFonts w:ascii="Calibri" w:hAnsi="Calibri"/>
                      <w:sz w:val="20"/>
                    </w:rPr>
                    <w:t>Reading notes and literature comparison</w:t>
                  </w:r>
                </w:p>
              </w:tc>
            </w:tr>
            <w:tr>
              <w:trPr>
                <w:trHeight w:hRule="auto"/>
              </w:trPr>
              <w:tc>
                <w:tcPr>
                  <w:tcW w:type="dxa" w:w="3060"/>
                </w:tcPr>
                <w:p>
                  <w:pPr>
                    <w:spacing w:after="100"/>
                  </w:pPr>
                  <w:r>
                    <w:rPr>
                      <w:rFonts w:ascii="Calibri" w:hAnsi="Calibri"/>
                      <w:sz w:val="20"/>
                    </w:rPr>
                    <w:t>T03 Sample audit and permissions</w:t>
                  </w:r>
                </w:p>
              </w:tc>
              <w:tc>
                <w:tcPr>
                  <w:tcW w:type="dxa" w:w="3060"/>
                </w:tcPr>
                <w:p>
                  <w:pPr>
                    <w:spacing w:after="100"/>
                  </w:pPr>
                  <w:r>
                    <w:rPr>
                      <w:rFonts w:ascii="Calibri" w:hAnsi="Calibri"/>
                      <w:sz w:val="20"/>
                    </w:rPr>
                    <w:t>5–7</w:t>
                  </w:r>
                </w:p>
              </w:tc>
              <w:tc>
                <w:tcPr>
                  <w:tcW w:type="dxa" w:w="3060"/>
                </w:tcPr>
                <w:p>
                  <w:pPr>
                    <w:spacing w:after="100"/>
                  </w:pPr>
                  <w:r>
                    <w:rPr>
                      <w:rFonts w:ascii="Calibri" w:hAnsi="Calibri"/>
                      <w:sz w:val="20"/>
                    </w:rPr>
                    <w:t>—</w:t>
                  </w:r>
                </w:p>
              </w:tc>
              <w:tc>
                <w:tcPr>
                  <w:tcW w:type="dxa" w:w="3060"/>
                </w:tcPr>
                <w:p>
                  <w:pPr>
                    <w:spacing w:after="100"/>
                  </w:pPr>
                  <w:r>
                    <w:rPr>
                      <w:rFonts w:ascii="Calibri" w:hAnsi="Calibri"/>
                      <w:sz w:val="20"/>
                    </w:rPr>
                    <w:t>18</w:t>
                  </w:r>
                </w:p>
              </w:tc>
              <w:tc>
                <w:tcPr>
                  <w:tcW w:type="dxa" w:w="3060"/>
                </w:tcPr>
                <w:p>
                  <w:pPr>
                    <w:spacing w:after="100"/>
                  </w:pPr>
                  <w:r>
                    <w:rPr>
                      <w:rFonts w:ascii="Calibri" w:hAnsi="Calibri"/>
                      <w:sz w:val="20"/>
                    </w:rPr>
                    <w:t>Candidate audit and permission register</w:t>
                  </w:r>
                </w:p>
              </w:tc>
            </w:tr>
            <w:tr>
              <w:trPr>
                <w:trHeight w:hRule="auto"/>
              </w:trPr>
              <w:tc>
                <w:tcPr>
                  <w:tcW w:type="dxa" w:w="3060"/>
                </w:tcPr>
                <w:p>
                  <w:pPr>
                    <w:spacing w:after="100"/>
                  </w:pPr>
                  <w:r>
                    <w:rPr>
                      <w:rFonts w:ascii="Calibri" w:hAnsi="Calibri"/>
                      <w:sz w:val="20"/>
                    </w:rPr>
                    <w:t>T04 Proposal and supervisor review</w:t>
                  </w:r>
                </w:p>
              </w:tc>
              <w:tc>
                <w:tcPr>
                  <w:tcW w:type="dxa" w:w="3060"/>
                </w:tcPr>
                <w:p>
                  <w:pPr>
                    <w:spacing w:after="100"/>
                  </w:pPr>
                  <w:r>
                    <w:rPr>
                      <w:rFonts w:ascii="Calibri" w:hAnsi="Calibri"/>
                      <w:sz w:val="20"/>
                    </w:rPr>
                    <w:t>7–7</w:t>
                  </w:r>
                </w:p>
              </w:tc>
              <w:tc>
                <w:tcPr>
                  <w:tcW w:type="dxa" w:w="3060"/>
                </w:tcPr>
                <w:p>
                  <w:pPr>
                    <w:spacing w:after="100"/>
                  </w:pPr>
                  <w:r>
                    <w:rPr>
                      <w:rFonts w:ascii="Calibri" w:hAnsi="Calibri"/>
                      <w:sz w:val="20"/>
                    </w:rPr>
                    <w:t>T01;T03</w:t>
                  </w:r>
                </w:p>
              </w:tc>
              <w:tc>
                <w:tcPr>
                  <w:tcW w:type="dxa" w:w="3060"/>
                </w:tcPr>
                <w:p>
                  <w:pPr>
                    <w:spacing w:after="100"/>
                  </w:pPr>
                  <w:r>
                    <w:rPr>
                      <w:rFonts w:ascii="Calibri" w:hAnsi="Calibri"/>
                      <w:sz w:val="20"/>
                    </w:rPr>
                    <w:t>16</w:t>
                  </w:r>
                </w:p>
              </w:tc>
              <w:tc>
                <w:tcPr>
                  <w:tcW w:type="dxa" w:w="3060"/>
                </w:tcPr>
                <w:p>
                  <w:pPr>
                    <w:spacing w:after="100"/>
                  </w:pPr>
                  <w:r>
                    <w:rPr>
                      <w:rFonts w:ascii="Calibri" w:hAnsi="Calibri"/>
                      <w:sz w:val="20"/>
                    </w:rPr>
                    <w:t>Proposal submitted / M1</w:t>
                  </w:r>
                </w:p>
              </w:tc>
            </w:tr>
            <w:tr>
              <w:trPr>
                <w:trHeight w:hRule="auto"/>
              </w:trPr>
              <w:tc>
                <w:tcPr>
                  <w:tcW w:type="dxa" w:w="3060"/>
                </w:tcPr>
                <w:p>
                  <w:pPr>
                    <w:spacing w:after="100"/>
                  </w:pPr>
                  <w:r>
                    <w:rPr>
                      <w:rFonts w:ascii="Calibri" w:hAnsi="Calibri"/>
                      <w:sz w:val="20"/>
                    </w:rPr>
                    <w:t>T05 Reproduce reference baseline</w:t>
                  </w:r>
                </w:p>
              </w:tc>
              <w:tc>
                <w:tcPr>
                  <w:tcW w:type="dxa" w:w="3060"/>
                </w:tcPr>
                <w:p>
                  <w:pPr>
                    <w:spacing w:after="100"/>
                  </w:pPr>
                  <w:r>
                    <w:rPr>
                      <w:rFonts w:ascii="Calibri" w:hAnsi="Calibri"/>
                      <w:sz w:val="20"/>
                    </w:rPr>
                    <w:t>8–9</w:t>
                  </w:r>
                </w:p>
              </w:tc>
              <w:tc>
                <w:tcPr>
                  <w:tcW w:type="dxa" w:w="3060"/>
                </w:tcPr>
                <w:p>
                  <w:pPr>
                    <w:spacing w:after="100"/>
                  </w:pPr>
                  <w:r>
                    <w:rPr>
                      <w:rFonts w:ascii="Calibri" w:hAnsi="Calibri"/>
                      <w:sz w:val="20"/>
                    </w:rPr>
                    <w:t>T04</w:t>
                  </w:r>
                </w:p>
              </w:tc>
              <w:tc>
                <w:tcPr>
                  <w:tcW w:type="dxa" w:w="3060"/>
                </w:tcPr>
                <w:p>
                  <w:pPr>
                    <w:spacing w:after="100"/>
                  </w:pPr>
                  <w:r>
                    <w:rPr>
                      <w:rFonts w:ascii="Calibri" w:hAnsi="Calibri"/>
                      <w:sz w:val="20"/>
                    </w:rPr>
                    <w:t>24</w:t>
                  </w:r>
                </w:p>
              </w:tc>
              <w:tc>
                <w:tcPr>
                  <w:tcW w:type="dxa" w:w="3060"/>
                </w:tcPr>
                <w:p>
                  <w:pPr>
                    <w:spacing w:after="100"/>
                  </w:pPr>
                  <w:r>
                    <w:rPr>
                      <w:rFonts w:ascii="Calibri" w:hAnsi="Calibri"/>
                      <w:sz w:val="20"/>
                    </w:rPr>
                    <w:t>Offline checks and permitted API pilot</w:t>
                  </w:r>
                </w:p>
              </w:tc>
            </w:tr>
            <w:tr>
              <w:trPr>
                <w:trHeight w:hRule="auto"/>
              </w:trPr>
              <w:tc>
                <w:tcPr>
                  <w:tcW w:type="dxa" w:w="3060"/>
                </w:tcPr>
                <w:p>
                  <w:pPr>
                    <w:spacing w:after="100"/>
                  </w:pPr>
                  <w:r>
                    <w:rPr>
                      <w:rFonts w:ascii="Calibri" w:hAnsi="Calibri"/>
                      <w:sz w:val="20"/>
                    </w:rPr>
                    <w:t>T06 Curate corpus and build index</w:t>
                  </w:r>
                </w:p>
              </w:tc>
              <w:tc>
                <w:tcPr>
                  <w:tcW w:type="dxa" w:w="3060"/>
                </w:tcPr>
                <w:p>
                  <w:pPr>
                    <w:spacing w:after="100"/>
                  </w:pPr>
                  <w:r>
                    <w:rPr>
                      <w:rFonts w:ascii="Calibri" w:hAnsi="Calibri"/>
                      <w:sz w:val="20"/>
                    </w:rPr>
                    <w:t>8–11</w:t>
                  </w:r>
                </w:p>
              </w:tc>
              <w:tc>
                <w:tcPr>
                  <w:tcW w:type="dxa" w:w="3060"/>
                </w:tcPr>
                <w:p>
                  <w:pPr>
                    <w:spacing w:after="100"/>
                  </w:pPr>
                  <w:r>
                    <w:rPr>
                      <w:rFonts w:ascii="Calibri" w:hAnsi="Calibri"/>
                      <w:sz w:val="20"/>
                    </w:rPr>
                    <w:t>T03;T04</w:t>
                  </w:r>
                </w:p>
              </w:tc>
              <w:tc>
                <w:tcPr>
                  <w:tcW w:type="dxa" w:w="3060"/>
                </w:tcPr>
                <w:p>
                  <w:pPr>
                    <w:spacing w:after="100"/>
                  </w:pPr>
                  <w:r>
                    <w:rPr>
                      <w:rFonts w:ascii="Calibri" w:hAnsi="Calibri"/>
                      <w:sz w:val="20"/>
                    </w:rPr>
                    <w:t>32</w:t>
                  </w:r>
                </w:p>
              </w:tc>
              <w:tc>
                <w:tcPr>
                  <w:tcW w:type="dxa" w:w="3060"/>
                </w:tcPr>
                <w:p>
                  <w:pPr>
                    <w:spacing w:after="100"/>
                  </w:pPr>
                  <w:r>
                    <w:rPr>
                      <w:rFonts w:ascii="Calibri" w:hAnsi="Calibri"/>
                      <w:sz w:val="20"/>
                    </w:rPr>
                    <w:t>20-30 usable documents and index / M2</w:t>
                  </w:r>
                </w:p>
              </w:tc>
            </w:tr>
            <w:tr>
              <w:trPr>
                <w:trHeight w:hRule="auto"/>
              </w:trPr>
              <w:tc>
                <w:tcPr>
                  <w:tcW w:type="dxa" w:w="3060"/>
                </w:tcPr>
                <w:p>
                  <w:pPr>
                    <w:spacing w:after="100"/>
                  </w:pPr>
                  <w:r>
                    <w:rPr>
                      <w:rFonts w:ascii="Calibri" w:hAnsi="Calibri"/>
                      <w:sz w:val="20"/>
                    </w:rPr>
                    <w:t>T07 Author and check benchmark</w:t>
                  </w:r>
                </w:p>
              </w:tc>
              <w:tc>
                <w:tcPr>
                  <w:tcW w:type="dxa" w:w="3060"/>
                </w:tcPr>
                <w:p>
                  <w:pPr>
                    <w:spacing w:after="100"/>
                  </w:pPr>
                  <w:r>
                    <w:rPr>
                      <w:rFonts w:ascii="Calibri" w:hAnsi="Calibri"/>
                      <w:sz w:val="20"/>
                    </w:rPr>
                    <w:t>9–11</w:t>
                  </w:r>
                </w:p>
              </w:tc>
              <w:tc>
                <w:tcPr>
                  <w:tcW w:type="dxa" w:w="3060"/>
                </w:tcPr>
                <w:p>
                  <w:pPr>
                    <w:spacing w:after="100"/>
                  </w:pPr>
                  <w:r>
                    <w:rPr>
                      <w:rFonts w:ascii="Calibri" w:hAnsi="Calibri"/>
                      <w:sz w:val="20"/>
                    </w:rPr>
                    <w:t>T03</w:t>
                  </w:r>
                </w:p>
              </w:tc>
              <w:tc>
                <w:tcPr>
                  <w:tcW w:type="dxa" w:w="3060"/>
                </w:tcPr>
                <w:p>
                  <w:pPr>
                    <w:spacing w:after="100"/>
                  </w:pPr>
                  <w:r>
                    <w:rPr>
                      <w:rFonts w:ascii="Calibri" w:hAnsi="Calibri"/>
                      <w:sz w:val="20"/>
                    </w:rPr>
                    <w:t>28</w:t>
                  </w:r>
                </w:p>
              </w:tc>
              <w:tc>
                <w:tcPr>
                  <w:tcW w:type="dxa" w:w="3060"/>
                </w:tcPr>
                <w:p>
                  <w:pPr>
                    <w:spacing w:after="100"/>
                  </w:pPr>
                  <w:r>
                    <w:rPr>
                      <w:rFonts w:ascii="Calibri" w:hAnsi="Calibri"/>
                      <w:sz w:val="20"/>
                    </w:rPr>
                    <w:t>100 reviewed questions and grouped split</w:t>
                  </w:r>
                </w:p>
              </w:tc>
            </w:tr>
            <w:tr>
              <w:trPr>
                <w:trHeight w:hRule="auto"/>
              </w:trPr>
              <w:tc>
                <w:tcPr>
                  <w:tcW w:type="dxa" w:w="3060"/>
                </w:tcPr>
                <w:p>
                  <w:pPr>
                    <w:spacing w:after="100"/>
                  </w:pPr>
                  <w:r>
                    <w:rPr>
                      <w:rFonts w:ascii="Calibri" w:hAnsi="Calibri"/>
                      <w:sz w:val="20"/>
                    </w:rPr>
                    <w:t>T08 Implement edition handling</w:t>
                  </w:r>
                </w:p>
              </w:tc>
              <w:tc>
                <w:tcPr>
                  <w:tcW w:type="dxa" w:w="3060"/>
                </w:tcPr>
                <w:p>
                  <w:pPr>
                    <w:spacing w:after="100"/>
                  </w:pPr>
                  <w:r>
                    <w:rPr>
                      <w:rFonts w:ascii="Calibri" w:hAnsi="Calibri"/>
                      <w:sz w:val="20"/>
                    </w:rPr>
                    <w:t>12–13</w:t>
                  </w:r>
                </w:p>
              </w:tc>
              <w:tc>
                <w:tcPr>
                  <w:tcW w:type="dxa" w:w="3060"/>
                </w:tcPr>
                <w:p>
                  <w:pPr>
                    <w:spacing w:after="100"/>
                  </w:pPr>
                  <w:r>
                    <w:rPr>
                      <w:rFonts w:ascii="Calibri" w:hAnsi="Calibri"/>
                      <w:sz w:val="20"/>
                    </w:rPr>
                    <w:t>T05;T06</w:t>
                  </w:r>
                </w:p>
              </w:tc>
              <w:tc>
                <w:tcPr>
                  <w:tcW w:type="dxa" w:w="3060"/>
                </w:tcPr>
                <w:p>
                  <w:pPr>
                    <w:spacing w:after="100"/>
                  </w:pPr>
                  <w:r>
                    <w:rPr>
                      <w:rFonts w:ascii="Calibri" w:hAnsi="Calibri"/>
                      <w:sz w:val="20"/>
                    </w:rPr>
                    <w:t>24</w:t>
                  </w:r>
                </w:p>
              </w:tc>
              <w:tc>
                <w:tcPr>
                  <w:tcW w:type="dxa" w:w="3060"/>
                </w:tcPr>
                <w:p>
                  <w:pPr>
                    <w:spacing w:after="100"/>
                  </w:pPr>
                  <w:r>
                    <w:rPr>
                      <w:rFonts w:ascii="Calibri" w:hAnsi="Calibri"/>
                      <w:sz w:val="20"/>
                    </w:rPr>
                    <w:t>Edition constraints and tests</w:t>
                  </w:r>
                </w:p>
              </w:tc>
            </w:tr>
            <w:tr>
              <w:trPr>
                <w:trHeight w:hRule="auto"/>
              </w:trPr>
              <w:tc>
                <w:tcPr>
                  <w:tcW w:type="dxa" w:w="3060"/>
                </w:tcPr>
                <w:p>
                  <w:pPr>
                    <w:spacing w:after="100"/>
                  </w:pPr>
                  <w:r>
                    <w:rPr>
                      <w:rFonts w:ascii="Calibri" w:hAnsi="Calibri"/>
                      <w:sz w:val="20"/>
                    </w:rPr>
                    <w:t>T09 Implement evidence checks</w:t>
                  </w:r>
                </w:p>
              </w:tc>
              <w:tc>
                <w:tcPr>
                  <w:tcW w:type="dxa" w:w="3060"/>
                </w:tcPr>
                <w:p>
                  <w:pPr>
                    <w:spacing w:after="100"/>
                  </w:pPr>
                  <w:r>
                    <w:rPr>
                      <w:rFonts w:ascii="Calibri" w:hAnsi="Calibri"/>
                      <w:sz w:val="20"/>
                    </w:rPr>
                    <w:t>13–14</w:t>
                  </w:r>
                </w:p>
              </w:tc>
              <w:tc>
                <w:tcPr>
                  <w:tcW w:type="dxa" w:w="3060"/>
                </w:tcPr>
                <w:p>
                  <w:pPr>
                    <w:spacing w:after="100"/>
                  </w:pPr>
                  <w:r>
                    <w:rPr>
                      <w:rFonts w:ascii="Calibri" w:hAnsi="Calibri"/>
                      <w:sz w:val="20"/>
                    </w:rPr>
                    <w:t>T05;T06</w:t>
                  </w:r>
                </w:p>
              </w:tc>
              <w:tc>
                <w:tcPr>
                  <w:tcW w:type="dxa" w:w="3060"/>
                </w:tcPr>
                <w:p>
                  <w:pPr>
                    <w:spacing w:after="100"/>
                  </w:pPr>
                  <w:r>
                    <w:rPr>
                      <w:rFonts w:ascii="Calibri" w:hAnsi="Calibri"/>
                      <w:sz w:val="20"/>
                    </w:rPr>
                    <w:t>24</w:t>
                  </w:r>
                </w:p>
              </w:tc>
              <w:tc>
                <w:tcPr>
                  <w:tcW w:type="dxa" w:w="3060"/>
                </w:tcPr>
                <w:p>
                  <w:pPr>
                    <w:spacing w:after="100"/>
                  </w:pPr>
                  <w:r>
                    <w:rPr>
                      <w:rFonts w:ascii="Calibri" w:hAnsi="Calibri"/>
                      <w:sz w:val="20"/>
                    </w:rPr>
                    <w:t>Refusal and citation validation</w:t>
                  </w:r>
                </w:p>
              </w:tc>
            </w:tr>
            <w:tr>
              <w:trPr>
                <w:trHeight w:hRule="auto"/>
              </w:trPr>
              <w:tc>
                <w:tcPr>
                  <w:tcW w:type="dxa" w:w="3060"/>
                </w:tcPr>
                <w:p>
                  <w:pPr>
                    <w:spacing w:after="100"/>
                  </w:pPr>
                  <w:r>
                    <w:rPr>
                      <w:rFonts w:ascii="Calibri" w:hAnsi="Calibri"/>
                      <w:sz w:val="20"/>
                    </w:rPr>
                    <w:t>T10 Follow-ups and integration</w:t>
                  </w:r>
                </w:p>
              </w:tc>
              <w:tc>
                <w:tcPr>
                  <w:tcW w:type="dxa" w:w="3060"/>
                </w:tcPr>
                <w:p>
                  <w:pPr>
                    <w:spacing w:after="100"/>
                  </w:pPr>
                  <w:r>
                    <w:rPr>
                      <w:rFonts w:ascii="Calibri" w:hAnsi="Calibri"/>
                      <w:sz w:val="20"/>
                    </w:rPr>
                    <w:t>14–15</w:t>
                  </w:r>
                </w:p>
              </w:tc>
              <w:tc>
                <w:tcPr>
                  <w:tcW w:type="dxa" w:w="3060"/>
                </w:tcPr>
                <w:p>
                  <w:pPr>
                    <w:spacing w:after="100"/>
                  </w:pPr>
                  <w:r>
                    <w:rPr>
                      <w:rFonts w:ascii="Calibri" w:hAnsi="Calibri"/>
                      <w:sz w:val="20"/>
                    </w:rPr>
                    <w:t>T08</w:t>
                  </w:r>
                </w:p>
              </w:tc>
              <w:tc>
                <w:tcPr>
                  <w:tcW w:type="dxa" w:w="3060"/>
                </w:tcPr>
                <w:p>
                  <w:pPr>
                    <w:spacing w:after="100"/>
                  </w:pPr>
                  <w:r>
                    <w:rPr>
                      <w:rFonts w:ascii="Calibri" w:hAnsi="Calibri"/>
                      <w:sz w:val="20"/>
                    </w:rPr>
                    <w:t>16</w:t>
                  </w:r>
                </w:p>
              </w:tc>
              <w:tc>
                <w:tcPr>
                  <w:tcW w:type="dxa" w:w="3060"/>
                </w:tcPr>
                <w:p>
                  <w:pPr>
                    <w:spacing w:after="100"/>
                  </w:pPr>
                  <w:r>
                    <w:rPr>
                      <w:rFonts w:ascii="Calibri" w:hAnsi="Calibri"/>
                      <w:sz w:val="20"/>
                    </w:rPr>
                    <w:t>Local demo and integration tests / M3</w:t>
                  </w:r>
                </w:p>
              </w:tc>
            </w:tr>
            <w:tr>
              <w:trPr>
                <w:trHeight w:hRule="auto"/>
              </w:trPr>
              <w:tc>
                <w:tcPr>
                  <w:tcW w:type="dxa" w:w="3060"/>
                </w:tcPr>
                <w:p>
                  <w:pPr>
                    <w:spacing w:after="100"/>
                  </w:pPr>
                  <w:r>
                    <w:rPr>
                      <w:rFonts w:ascii="Calibri" w:hAnsi="Calibri"/>
                      <w:sz w:val="20"/>
                    </w:rPr>
                    <w:t>T11 Development-only tuning and freeze</w:t>
                  </w:r>
                </w:p>
              </w:tc>
              <w:tc>
                <w:tcPr>
                  <w:tcW w:type="dxa" w:w="3060"/>
                </w:tcPr>
                <w:p>
                  <w:pPr>
                    <w:spacing w:after="100"/>
                  </w:pPr>
                  <w:r>
                    <w:rPr>
                      <w:rFonts w:ascii="Calibri" w:hAnsi="Calibri"/>
                      <w:sz w:val="20"/>
                    </w:rPr>
                    <w:t>15–16</w:t>
                  </w:r>
                </w:p>
              </w:tc>
              <w:tc>
                <w:tcPr>
                  <w:tcW w:type="dxa" w:w="3060"/>
                </w:tcPr>
                <w:p>
                  <w:pPr>
                    <w:spacing w:after="100"/>
                  </w:pPr>
                  <w:r>
                    <w:rPr>
                      <w:rFonts w:ascii="Calibri" w:hAnsi="Calibri"/>
                      <w:sz w:val="20"/>
                    </w:rPr>
                    <w:t>T07;T09;T10</w:t>
                  </w:r>
                </w:p>
              </w:tc>
              <w:tc>
                <w:tcPr>
                  <w:tcW w:type="dxa" w:w="3060"/>
                </w:tcPr>
                <w:p>
                  <w:pPr>
                    <w:spacing w:after="100"/>
                  </w:pPr>
                  <w:r>
                    <w:rPr>
                      <w:rFonts w:ascii="Calibri" w:hAnsi="Calibri"/>
                      <w:sz w:val="20"/>
                    </w:rPr>
                    <w:t>16</w:t>
                  </w:r>
                </w:p>
              </w:tc>
              <w:tc>
                <w:tcPr>
                  <w:tcW w:type="dxa" w:w="3060"/>
                </w:tcPr>
                <w:p>
                  <w:pPr>
                    <w:spacing w:after="100"/>
                  </w:pPr>
                  <w:r>
                    <w:rPr>
                      <w:rFonts w:ascii="Calibri" w:hAnsi="Calibri"/>
                      <w:sz w:val="20"/>
                    </w:rPr>
                    <w:t>Frozen corpus labels and configuration</w:t>
                  </w:r>
                </w:p>
              </w:tc>
            </w:tr>
            <w:tr>
              <w:trPr>
                <w:trHeight w:hRule="auto"/>
              </w:trPr>
              <w:tc>
                <w:tcPr>
                  <w:tcW w:type="dxa" w:w="3060"/>
                </w:tcPr>
                <w:p>
                  <w:pPr>
                    <w:spacing w:after="100"/>
                  </w:pPr>
                  <w:r>
                    <w:rPr>
                      <w:rFonts w:ascii="Calibri" w:hAnsi="Calibri"/>
                      <w:sz w:val="20"/>
                    </w:rPr>
                    <w:t>T12 Controlled evaluation and analysis</w:t>
                  </w:r>
                </w:p>
              </w:tc>
              <w:tc>
                <w:tcPr>
                  <w:tcW w:type="dxa" w:w="3060"/>
                </w:tcPr>
                <w:p>
                  <w:pPr>
                    <w:spacing w:after="100"/>
                  </w:pPr>
                  <w:r>
                    <w:rPr>
                      <w:rFonts w:ascii="Calibri" w:hAnsi="Calibri"/>
                      <w:sz w:val="20"/>
                    </w:rPr>
                    <w:t>17–19</w:t>
                  </w:r>
                </w:p>
              </w:tc>
              <w:tc>
                <w:tcPr>
                  <w:tcW w:type="dxa" w:w="3060"/>
                </w:tcPr>
                <w:p>
                  <w:pPr>
                    <w:spacing w:after="100"/>
                  </w:pPr>
                  <w:r>
                    <w:rPr>
                      <w:rFonts w:ascii="Calibri" w:hAnsi="Calibri"/>
                      <w:sz w:val="20"/>
                    </w:rPr>
                    <w:t>T11</w:t>
                  </w:r>
                </w:p>
              </w:tc>
              <w:tc>
                <w:tcPr>
                  <w:tcW w:type="dxa" w:w="3060"/>
                </w:tcPr>
                <w:p>
                  <w:pPr>
                    <w:spacing w:after="100"/>
                  </w:pPr>
                  <w:r>
                    <w:rPr>
                      <w:rFonts w:ascii="Calibri" w:hAnsi="Calibri"/>
                      <w:sz w:val="20"/>
                    </w:rPr>
                    <w:t>32</w:t>
                  </w:r>
                </w:p>
              </w:tc>
              <w:tc>
                <w:tcPr>
                  <w:tcW w:type="dxa" w:w="3060"/>
                </w:tcPr>
                <w:p>
                  <w:pPr>
                    <w:spacing w:after="100"/>
                  </w:pPr>
                  <w:r>
                    <w:rPr>
                      <w:rFonts w:ascii="Calibri" w:hAnsi="Calibri"/>
                      <w:sz w:val="20"/>
                    </w:rPr>
                    <w:t>Comparison ablation and case analysis / M4</w:t>
                  </w:r>
                </w:p>
              </w:tc>
            </w:tr>
            <w:tr>
              <w:trPr>
                <w:trHeight w:hRule="auto"/>
              </w:trPr>
              <w:tc>
                <w:tcPr>
                  <w:tcW w:type="dxa" w:w="3060"/>
                </w:tcPr>
                <w:p>
                  <w:pPr>
                    <w:spacing w:after="100"/>
                  </w:pPr>
                  <w:r>
                    <w:rPr>
                      <w:rFonts w:ascii="Calibri" w:hAnsi="Calibri"/>
                      <w:sz w:val="20"/>
                    </w:rPr>
                    <w:t>T13 Report and outcome evidence</w:t>
                  </w:r>
                </w:p>
              </w:tc>
              <w:tc>
                <w:tcPr>
                  <w:tcW w:type="dxa" w:w="3060"/>
                </w:tcPr>
                <w:p>
                  <w:pPr>
                    <w:spacing w:after="100"/>
                  </w:pPr>
                  <w:r>
                    <w:rPr>
                      <w:rFonts w:ascii="Calibri" w:hAnsi="Calibri"/>
                      <w:sz w:val="20"/>
                    </w:rPr>
                    <w:t>20–22</w:t>
                  </w:r>
                </w:p>
              </w:tc>
              <w:tc>
                <w:tcPr>
                  <w:tcW w:type="dxa" w:w="3060"/>
                </w:tcPr>
                <w:p>
                  <w:pPr>
                    <w:spacing w:after="100"/>
                  </w:pPr>
                  <w:r>
                    <w:rPr>
                      <w:rFonts w:ascii="Calibri" w:hAnsi="Calibri"/>
                      <w:sz w:val="20"/>
                    </w:rPr>
                    <w:t>T12</w:t>
                  </w:r>
                </w:p>
              </w:tc>
              <w:tc>
                <w:tcPr>
                  <w:tcW w:type="dxa" w:w="3060"/>
                </w:tcPr>
                <w:p>
                  <w:pPr>
                    <w:spacing w:after="100"/>
                  </w:pPr>
                  <w:r>
                    <w:rPr>
                      <w:rFonts w:ascii="Calibri" w:hAnsi="Calibri"/>
                      <w:sz w:val="20"/>
                    </w:rPr>
                    <w:t>36</w:t>
                  </w:r>
                </w:p>
              </w:tc>
              <w:tc>
                <w:tcPr>
                  <w:tcW w:type="dxa" w:w="3060"/>
                </w:tcPr>
                <w:p>
                  <w:pPr>
                    <w:spacing w:after="100"/>
                  </w:pPr>
                  <w:r>
                    <w:rPr>
                      <w:rFonts w:ascii="Calibri" w:hAnsi="Calibri"/>
                      <w:sz w:val="20"/>
                    </w:rPr>
                    <w:t>Seven-page report draft / M5</w:t>
                  </w:r>
                </w:p>
              </w:tc>
            </w:tr>
            <w:tr>
              <w:trPr>
                <w:trHeight w:hRule="auto"/>
              </w:trPr>
              <w:tc>
                <w:tcPr>
                  <w:tcW w:type="dxa" w:w="3060"/>
                </w:tcPr>
                <w:p>
                  <w:pPr>
                    <w:spacing w:after="100"/>
                  </w:pPr>
                  <w:r>
                    <w:rPr>
                      <w:rFonts w:ascii="Calibri" w:hAnsi="Calibri"/>
                      <w:sz w:val="20"/>
                    </w:rPr>
                    <w:t>T14 Video and submission preparation</w:t>
                  </w:r>
                </w:p>
              </w:tc>
              <w:tc>
                <w:tcPr>
                  <w:tcW w:type="dxa" w:w="3060"/>
                </w:tcPr>
                <w:p>
                  <w:pPr>
                    <w:spacing w:after="100"/>
                  </w:pPr>
                  <w:r>
                    <w:rPr>
                      <w:rFonts w:ascii="Calibri" w:hAnsi="Calibri"/>
                      <w:sz w:val="20"/>
                    </w:rPr>
                    <w:t>22–23</w:t>
                  </w:r>
                </w:p>
              </w:tc>
              <w:tc>
                <w:tcPr>
                  <w:tcW w:type="dxa" w:w="3060"/>
                </w:tcPr>
                <w:p>
                  <w:pPr>
                    <w:spacing w:after="100"/>
                  </w:pPr>
                  <w:r>
                    <w:rPr>
                      <w:rFonts w:ascii="Calibri" w:hAnsi="Calibri"/>
                      <w:sz w:val="20"/>
                    </w:rPr>
                    <w:t>T12</w:t>
                  </w:r>
                </w:p>
              </w:tc>
              <w:tc>
                <w:tcPr>
                  <w:tcW w:type="dxa" w:w="3060"/>
                </w:tcPr>
                <w:p>
                  <w:pPr>
                    <w:spacing w:after="100"/>
                  </w:pPr>
                  <w:r>
                    <w:rPr>
                      <w:rFonts w:ascii="Calibri" w:hAnsi="Calibri"/>
                      <w:sz w:val="20"/>
                    </w:rPr>
                    <w:t>12</w:t>
                  </w:r>
                </w:p>
              </w:tc>
              <w:tc>
                <w:tcPr>
                  <w:tcW w:type="dxa" w:w="3060"/>
                </w:tcPr>
                <w:p>
                  <w:pPr>
                    <w:spacing w:after="100"/>
                  </w:pPr>
                  <w:r>
                    <w:rPr>
                      <w:rFonts w:ascii="Calibri" w:hAnsi="Calibri"/>
                      <w:sz w:val="20"/>
                    </w:rPr>
                    <w:t>Video and checked access link</w:t>
                  </w:r>
                </w:p>
              </w:tc>
            </w:tr>
            <w:tr>
              <w:trPr>
                <w:trHeight w:hRule="auto"/>
              </w:trPr>
              <w:tc>
                <w:tcPr>
                  <w:tcW w:type="dxa" w:w="3060"/>
                </w:tcPr>
                <w:p>
                  <w:pPr>
                    <w:spacing w:after="100"/>
                  </w:pPr>
                  <w:r>
                    <w:rPr>
                      <w:rFonts w:ascii="Calibri" w:hAnsi="Calibri"/>
                      <w:sz w:val="20"/>
                    </w:rPr>
                    <w:t>T15 Final review and submission</w:t>
                  </w:r>
                </w:p>
              </w:tc>
              <w:tc>
                <w:tcPr>
                  <w:tcW w:type="dxa" w:w="3060"/>
                </w:tcPr>
                <w:p>
                  <w:pPr>
                    <w:spacing w:after="100"/>
                  </w:pPr>
                  <w:r>
                    <w:rPr>
                      <w:rFonts w:ascii="Calibri" w:hAnsi="Calibri"/>
                      <w:sz w:val="20"/>
                    </w:rPr>
                    <w:t>23–24</w:t>
                  </w:r>
                </w:p>
              </w:tc>
              <w:tc>
                <w:tcPr>
                  <w:tcW w:type="dxa" w:w="3060"/>
                </w:tcPr>
                <w:p>
                  <w:pPr>
                    <w:spacing w:after="100"/>
                  </w:pPr>
                  <w:r>
                    <w:rPr>
                      <w:rFonts w:ascii="Calibri" w:hAnsi="Calibri"/>
                      <w:sz w:val="20"/>
                    </w:rPr>
                    <w:t>T13;T14</w:t>
                  </w:r>
                </w:p>
              </w:tc>
              <w:tc>
                <w:tcPr>
                  <w:tcW w:type="dxa" w:w="3060"/>
                </w:tcPr>
                <w:p>
                  <w:pPr>
                    <w:spacing w:after="100"/>
                  </w:pPr>
                  <w:r>
                    <w:rPr>
                      <w:rFonts w:ascii="Calibri" w:hAnsi="Calibri"/>
                      <w:sz w:val="20"/>
                    </w:rPr>
                    <w:t>16</w:t>
                  </w:r>
                </w:p>
              </w:tc>
              <w:tc>
                <w:tcPr>
                  <w:tcW w:type="dxa" w:w="3060"/>
                </w:tcPr>
                <w:p>
                  <w:pPr>
                    <w:spacing w:after="100"/>
                  </w:pPr>
                  <w:r>
                    <w:rPr>
                      <w:rFonts w:ascii="Calibri" w:hAnsi="Calibri"/>
                      <w:sz w:val="20"/>
                    </w:rPr>
                    <w:t>Report portfolio and video submitted / M6</w:t>
                  </w:r>
                </w:p>
              </w:tc>
            </w:tr>
            <w:tr>
              <w:trPr>
                <w:trHeight w:hRule="auto"/>
              </w:trPr>
              <w:tc>
                <w:tcPr>
                  <w:tcW w:type="dxa" w:w="3060"/>
                </w:tcPr>
                <w:p>
                  <w:pPr>
                    <w:spacing w:after="100"/>
                  </w:pPr>
                  <w:r>
                    <w:rPr>
                      <w:rFonts w:ascii="Calibri" w:hAnsi="Calibri"/>
                      <w:sz w:val="20"/>
                    </w:rPr>
                    <w:t>T16 Journals reviews and supervision</w:t>
                  </w:r>
                </w:p>
              </w:tc>
              <w:tc>
                <w:tcPr>
                  <w:tcW w:type="dxa" w:w="3060"/>
                </w:tcPr>
                <w:p>
                  <w:pPr>
                    <w:spacing w:after="100"/>
                  </w:pPr>
                  <w:r>
                    <w:rPr>
                      <w:rFonts w:ascii="Calibri" w:hAnsi="Calibri"/>
                      <w:sz w:val="20"/>
                    </w:rPr>
                    <w:t>5–24</w:t>
                  </w:r>
                </w:p>
              </w:tc>
              <w:tc>
                <w:tcPr>
                  <w:tcW w:type="dxa" w:w="3060"/>
                </w:tcPr>
                <w:p>
                  <w:pPr>
                    <w:spacing w:after="100"/>
                  </w:pPr>
                  <w:r>
                    <w:rPr>
                      <w:rFonts w:ascii="Calibri" w:hAnsi="Calibri"/>
                      <w:sz w:val="20"/>
                    </w:rPr>
                    <w:t>—</w:t>
                  </w:r>
                </w:p>
              </w:tc>
              <w:tc>
                <w:tcPr>
                  <w:tcW w:type="dxa" w:w="3060"/>
                </w:tcPr>
                <w:p>
                  <w:pPr>
                    <w:spacing w:after="100"/>
                  </w:pPr>
                  <w:r>
                    <w:rPr>
                      <w:rFonts w:ascii="Calibri" w:hAnsi="Calibri"/>
                      <w:sz w:val="20"/>
                    </w:rPr>
                    <w:t>60</w:t>
                  </w:r>
                </w:p>
              </w:tc>
              <w:tc>
                <w:tcPr>
                  <w:tcW w:type="dxa" w:w="3060"/>
                </w:tcPr>
                <w:p>
                  <w:pPr>
                    <w:spacing w:after="100"/>
                  </w:pPr>
                  <w:r>
                    <w:rPr>
                      <w:rFonts w:ascii="Calibri" w:hAnsi="Calibri"/>
                      <w:sz w:val="20"/>
                    </w:rPr>
                    <w:t>Weekly records and 10 Review Documents</w:t>
                  </w:r>
                </w:p>
              </w:tc>
            </w:tr>
            <w:tr>
              <w:trPr>
                <w:trHeight w:hRule="auto"/>
              </w:trPr>
              <w:tc>
                <w:tcPr>
                  <w:tcW w:type="dxa" w:w="3060"/>
                </w:tcPr>
                <w:p>
                  <w:pPr>
                    <w:spacing w:after="100"/>
                  </w:pPr>
                  <w:r>
                    <w:rPr>
                      <w:rFonts w:ascii="Calibri" w:hAnsi="Calibri"/>
                      <w:sz w:val="20"/>
                    </w:rPr>
                    <w:t>T17 Viva preparation and defence</w:t>
                  </w:r>
                </w:p>
              </w:tc>
              <w:tc>
                <w:tcPr>
                  <w:tcW w:type="dxa" w:w="3060"/>
                </w:tcPr>
                <w:p>
                  <w:pPr>
                    <w:spacing w:after="100"/>
                  </w:pPr>
                  <w:r>
                    <w:rPr>
                      <w:rFonts w:ascii="Calibri" w:hAnsi="Calibri"/>
                      <w:sz w:val="20"/>
                    </w:rPr>
                    <w:t>25–27</w:t>
                  </w:r>
                </w:p>
              </w:tc>
              <w:tc>
                <w:tcPr>
                  <w:tcW w:type="dxa" w:w="3060"/>
                </w:tcPr>
                <w:p>
                  <w:pPr>
                    <w:spacing w:after="100"/>
                  </w:pPr>
                  <w:r>
                    <w:rPr>
                      <w:rFonts w:ascii="Calibri" w:hAnsi="Calibri"/>
                      <w:sz w:val="20"/>
                    </w:rPr>
                    <w:t>T15</w:t>
                  </w:r>
                </w:p>
              </w:tc>
              <w:tc>
                <w:tcPr>
                  <w:tcW w:type="dxa" w:w="3060"/>
                </w:tcPr>
                <w:p>
                  <w:pPr>
                    <w:spacing w:after="100"/>
                  </w:pPr>
                  <w:r>
                    <w:rPr>
                      <w:rFonts w:ascii="Calibri" w:hAnsi="Calibri"/>
                      <w:sz w:val="20"/>
                    </w:rPr>
                    <w:t>28</w:t>
                  </w:r>
                </w:p>
              </w:tc>
              <w:tc>
                <w:tcPr>
                  <w:tcW w:type="dxa" w:w="3060"/>
                </w:tcPr>
                <w:p>
                  <w:pPr>
                    <w:spacing w:after="100"/>
                  </w:pPr>
                  <w:r>
                    <w:rPr>
                      <w:rFonts w:ascii="Calibri" w:hAnsi="Calibri"/>
                      <w:sz w:val="20"/>
                    </w:rPr>
                    <w:t>Presentation and oral examination</w:t>
                  </w:r>
                </w:p>
              </w:tc>
            </w:tr>
          </w:tbl>
          <w:p>
            <w:pPr>
              <w:spacing w:after="100"/>
            </w:pPr>
          </w:p>
          <w:p>
            <w:pPr>
              <w:spacing w:after="100"/>
            </w:pPr>
            <w:r>
              <w:rPr>
                <w:rFonts w:ascii="Calibri" w:hAnsi="Calibri"/>
                <w:sz w:val="20"/>
              </w:rPr>
              <w:t>Planning allowance: 400 hours to final submission, plus 28 hours reserved for viva. Dependencies within the same week mean that the predecessor milestone is completed before the dependent work starts. Week 5 is an assumed start; align dates with the actual course calendar.</w:t>
            </w:r>
          </w:p>
        </w:tc>
      </w:tr>
    </w:tbl>
    <w:p w14:paraId="6E6F5582" w14:textId="77777777" w:rsidR="003D43FD" w:rsidRDefault="003D43FD">
      <w:pPr>
        <w:rPr>
          <w:rFonts w:ascii="Arial" w:eastAsia="Arial" w:hAnsi="Arial" w:cs="Arial"/>
          <w:b/>
          <w:bCs/>
          <w:sz w:val="22"/>
          <w:szCs w:val="22"/>
        </w:rPr>
        <w:sectPr w:rsidR="003D43FD">
          <w:pgSz w:w="16840" w:h="11907" w:orient="landscape"/>
          <w:pgMar w:top="1260" w:right="720" w:bottom="720" w:left="720" w:header="709" w:footer="709" w:gutter="0"/>
          <w:cols w:space="720"/>
        </w:sectPr>
      </w:pPr>
    </w:p>
    <w:p w14:paraId="40305E87" w14:textId="77777777" w:rsidR="003D43FD" w:rsidRDefault="00000000">
      <w:pPr>
        <w:rPr>
          <w:rFonts w:ascii="Arial" w:eastAsia="Arial" w:hAnsi="Arial" w:cs="Arial"/>
          <w:b/>
          <w:bCs/>
          <w:sz w:val="22"/>
          <w:szCs w:val="22"/>
        </w:rPr>
      </w:pPr>
      <w:r>
        <w:rPr>
          <w:rFonts w:ascii="Arial" w:eastAsia="Arial" w:hAnsi="Arial" w:cs="Arial"/>
          <w:b/>
          <w:bCs/>
          <w:sz w:val="22"/>
          <w:szCs w:val="22"/>
        </w:rPr>
        <w:t>Section 3: Preliminary Resources Estimate</w:t>
      </w:r>
    </w:p>
    <w:p w14:paraId="1AA73617" w14:textId="77777777" w:rsidR="003D43FD" w:rsidRDefault="003D43FD">
      <w:pPr>
        <w:rPr>
          <w:rFonts w:ascii="Arial" w:eastAsia="Arial" w:hAnsi="Arial" w:cs="Arial"/>
          <w:sz w:val="8"/>
          <w:szCs w:val="8"/>
        </w:rPr>
      </w:pPr>
    </w:p>
    <w:p w14:paraId="1BD2CA0E" w14:textId="77777777" w:rsidR="003D43FD" w:rsidRDefault="00000000">
      <w:pPr>
        <w:rPr>
          <w:rFonts w:ascii="Arial" w:eastAsia="Arial" w:hAnsi="Arial" w:cs="Arial"/>
          <w:i/>
          <w:iCs/>
          <w:sz w:val="20"/>
          <w:szCs w:val="20"/>
        </w:rPr>
      </w:pPr>
      <w:r>
        <w:rPr>
          <w:rFonts w:ascii="Arial" w:eastAsia="Arial" w:hAnsi="Arial" w:cs="Arial"/>
          <w:i/>
          <w:iCs/>
          <w:sz w:val="20"/>
          <w:szCs w:val="20"/>
        </w:rPr>
        <w:t>Please supply as much information as you can (at this stage) about the resources you are likely to need.</w:t>
      </w:r>
    </w:p>
    <w:p w14:paraId="009E2952" w14:textId="77777777" w:rsidR="003D43FD" w:rsidRDefault="003D43FD">
      <w:pPr>
        <w:rPr>
          <w:rFonts w:ascii="Arial" w:eastAsia="Arial" w:hAnsi="Arial" w:cs="Arial"/>
          <w:sz w:val="8"/>
          <w:szCs w:val="8"/>
        </w:rPr>
      </w:pPr>
    </w:p>
    <w:tbl>
      <w:tblPr>
        <w:tblStyle w:val="a2"/>
        <w:tblW w:w="10317" w:type="dxa"/>
        <w:tblInd w:w="108" w:type="dxa"/>
        <w:tblBorders>
          <w:top w:val="single" w:sz="12" w:space="0" w:color="000000"/>
          <w:left w:val="single" w:sz="12" w:space="0" w:color="000000"/>
          <w:bottom w:val="single" w:sz="12" w:space="0" w:color="000000"/>
          <w:right w:val="single" w:sz="12" w:space="0" w:color="000000"/>
          <w:insideH w:val="single" w:sz="8" w:space="0" w:color="808080"/>
          <w:insideV w:val="single" w:sz="8" w:space="0" w:color="808080"/>
        </w:tblBorders>
        <w:tblLayout w:type="fixed"/>
        <w:tblLook w:val="0000" w:firstRow="0" w:lastRow="0" w:firstColumn="0" w:lastColumn="0" w:noHBand="0" w:noVBand="0"/>
      </w:tblPr>
      <w:tblGrid>
        <w:gridCol w:w="10317"/>
      </w:tblGrid>
      <w:tr>
        <w:trPr>
          <w:trHeight w:hRule="auto"/>
        </w:trPr>
        <w:tc>
          <w:tcPr>
            <w:tcW w:type="dxa" w:w="10317"/>
          </w:tcPr>
          <w:p>
            <w:pPr>
              <w:spacing w:after="100"/>
            </w:pPr>
          </w:p>
          <w:tbl>
            <w:tblPr>
              <w:tblStyle w:val="TableGrid"/>
              <w:tblW w:type="auto" w:w="0"/>
              <w:tblLook w:firstColumn="1" w:firstRow="1" w:lastColumn="0" w:lastRow="0" w:noHBand="0" w:noVBand="1" w:val="04A0"/>
            </w:tblPr>
            <w:tblGrid>
              <w:gridCol w:w="2579"/>
              <w:gridCol w:w="2579"/>
              <w:gridCol w:w="2579"/>
              <w:gridCol w:w="2579"/>
            </w:tblGrid>
            <w:tr>
              <w:trPr>
                <w:trHeight w:hRule="auto"/>
              </w:trPr>
              <w:tc>
                <w:tcPr>
                  <w:tcW w:type="dxa" w:w="2579"/>
                </w:tcPr>
                <w:p>
                  <w:pPr>
                    <w:spacing w:after="100"/>
                  </w:pPr>
                  <w:r>
                    <w:rPr>
                      <w:rFonts w:ascii="Calibri" w:hAnsi="Calibri"/>
                      <w:b/>
                      <w:sz w:val="20"/>
                    </w:rPr>
                    <w:t>Resource</w:t>
                  </w:r>
                </w:p>
              </w:tc>
              <w:tc>
                <w:tcPr>
                  <w:tcW w:type="dxa" w:w="2579"/>
                </w:tcPr>
                <w:p>
                  <w:pPr>
                    <w:spacing w:after="100"/>
                  </w:pPr>
                  <w:r>
                    <w:rPr>
                      <w:rFonts w:ascii="Calibri" w:hAnsi="Calibri"/>
                      <w:b/>
                      <w:sz w:val="20"/>
                    </w:rPr>
                    <w:t>Choice and justification</w:t>
                  </w:r>
                </w:p>
              </w:tc>
              <w:tc>
                <w:tcPr>
                  <w:tcW w:type="dxa" w:w="2579"/>
                </w:tcPr>
                <w:p>
                  <w:pPr>
                    <w:spacing w:after="100"/>
                  </w:pPr>
                  <w:r>
                    <w:rPr>
                      <w:rFonts w:ascii="Calibri" w:hAnsi="Calibri"/>
                      <w:b/>
                      <w:sz w:val="20"/>
                    </w:rPr>
                    <w:t>Estimated incremental cost / lead time</w:t>
                  </w:r>
                </w:p>
              </w:tc>
              <w:tc>
                <w:tcPr>
                  <w:tcW w:type="dxa" w:w="2579"/>
                </w:tcPr>
                <w:p>
                  <w:pPr>
                    <w:spacing w:after="100"/>
                  </w:pPr>
                  <w:r>
                    <w:rPr>
                      <w:rFonts w:ascii="Calibri" w:hAnsi="Calibri"/>
                      <w:b/>
                      <w:sz w:val="20"/>
                    </w:rPr>
                    <w:t>Limitation or alternative</w:t>
                  </w:r>
                </w:p>
              </w:tc>
            </w:tr>
            <w:tr>
              <w:trPr>
                <w:trHeight w:hRule="auto"/>
              </w:trPr>
              <w:tc>
                <w:tcPr>
                  <w:tcW w:type="dxa" w:w="2579"/>
                </w:tcPr>
                <w:p>
                  <w:pPr>
                    <w:spacing w:after="100"/>
                  </w:pPr>
                  <w:r>
                    <w:rPr>
                      <w:rFonts w:ascii="Calibri" w:hAnsi="Calibri"/>
                      <w:sz w:val="20"/>
                    </w:rPr>
                    <w:t>Existing computer and storage</w:t>
                  </w:r>
                </w:p>
              </w:tc>
              <w:tc>
                <w:tcPr>
                  <w:tcW w:type="dxa" w:w="2579"/>
                </w:tcPr>
                <w:p>
                  <w:pPr>
                    <w:spacing w:after="100"/>
                  </w:pPr>
                  <w:r>
                    <w:rPr>
                      <w:rFonts w:ascii="Calibri" w:hAnsi="Calibri"/>
                      <w:sz w:val="20"/>
                    </w:rPr>
                    <w:t>Use the existing computer for parsing and a small local index; no model training is planned.</w:t>
                  </w:r>
                </w:p>
              </w:tc>
              <w:tc>
                <w:tcPr>
                  <w:tcW w:type="dxa" w:w="2579"/>
                </w:tcPr>
                <w:p>
                  <w:pPr>
                    <w:spacing w:after="100"/>
                  </w:pPr>
                  <w:r>
                    <w:rPr>
                      <w:rFonts w:ascii="Calibri" w:hAnsi="Calibri"/>
                      <w:sz w:val="20"/>
                    </w:rPr>
                    <w:t>£0 new hardware planned; available, capacity still to be measured.</w:t>
                  </w:r>
                </w:p>
              </w:tc>
              <w:tc>
                <w:tcPr>
                  <w:tcW w:type="dxa" w:w="2579"/>
                </w:tcPr>
                <w:p>
                  <w:pPr>
                    <w:spacing w:after="100"/>
                  </w:pPr>
                  <w:r>
                    <w:rPr>
                      <w:rFonts w:ascii="Calibri" w:hAnsi="Calibri"/>
                      <w:sz w:val="20"/>
                    </w:rPr>
                    <w:t>A larger corpus could exceed memory; start with the curated subset.</w:t>
                  </w:r>
                </w:p>
              </w:tc>
            </w:tr>
            <w:tr>
              <w:trPr>
                <w:trHeight w:hRule="auto"/>
              </w:trPr>
              <w:tc>
                <w:tcPr>
                  <w:tcW w:type="dxa" w:w="2579"/>
                </w:tcPr>
                <w:p>
                  <w:pPr>
                    <w:spacing w:after="100"/>
                  </w:pPr>
                  <w:r>
                    <w:rPr>
                      <w:rFonts w:ascii="Calibri" w:hAnsi="Calibri"/>
                      <w:sz w:val="20"/>
                    </w:rPr>
                    <w:t>Python environment and libraries</w:t>
                  </w:r>
                </w:p>
              </w:tc>
              <w:tc>
                <w:tcPr>
                  <w:tcW w:type="dxa" w:w="2579"/>
                </w:tcPr>
                <w:p>
                  <w:pPr>
                    <w:spacing w:after="100"/>
                  </w:pPr>
                  <w:r>
                    <w:rPr>
                      <w:rFonts w:ascii="Calibri" w:hAnsi="Calibri"/>
                      <w:sz w:val="20"/>
                    </w:rPr>
                    <w:t>Reuse the supplied implementation and isolate dependencies; retain attribution and check licences before distribution.</w:t>
                  </w:r>
                </w:p>
              </w:tc>
              <w:tc>
                <w:tcPr>
                  <w:tcW w:type="dxa" w:w="2579"/>
                </w:tcPr>
                <w:p>
                  <w:pPr>
                    <w:spacing w:after="100"/>
                  </w:pPr>
                  <w:r>
                    <w:rPr>
                      <w:rFonts w:ascii="Calibri" w:hAnsi="Calibri"/>
                      <w:sz w:val="20"/>
                    </w:rPr>
                    <w:t>£0 software purchase planned; allow one working day for setup.</w:t>
                  </w:r>
                </w:p>
              </w:tc>
              <w:tc>
                <w:tcPr>
                  <w:tcW w:type="dxa" w:w="2579"/>
                </w:tcPr>
                <w:p>
                  <w:pPr>
                    <w:spacing w:after="100"/>
                  </w:pPr>
                  <w:r>
                    <w:rPr>
                      <w:rFonts w:ascii="Calibri" w:hAnsi="Calibri"/>
                      <w:sz w:val="20"/>
                    </w:rPr>
                    <w:t>Dependency compatibility and extraction quality require tests.</w:t>
                  </w:r>
                </w:p>
              </w:tc>
            </w:tr>
            <w:tr>
              <w:trPr>
                <w:trHeight w:hRule="auto"/>
              </w:trPr>
              <w:tc>
                <w:tcPr>
                  <w:tcW w:type="dxa" w:w="2579"/>
                </w:tcPr>
                <w:p>
                  <w:pPr>
                    <w:spacing w:after="100"/>
                  </w:pPr>
                  <w:r>
                    <w:rPr>
                      <w:rFonts w:ascii="Calibri" w:hAnsi="Calibri"/>
                      <w:sz w:val="20"/>
                    </w:rPr>
                    <w:t>Online embedding and chat APIs</w:t>
                  </w:r>
                </w:p>
              </w:tc>
              <w:tc>
                <w:tcPr>
                  <w:tcW w:type="dxa" w:w="2579"/>
                </w:tcPr>
                <w:p>
                  <w:pPr>
                    <w:spacing w:after="100"/>
                  </w:pPr>
                  <w:r>
                    <w:rPr>
                      <w:rFonts w:ascii="Calibri" w:hAnsi="Calibri"/>
                      <w:sz w:val="20"/>
                    </w:rPr>
                    <w:t>Avoid local model deployment; select compatible services after availability and permitted-use checks.</w:t>
                  </w:r>
                </w:p>
              </w:tc>
              <w:tc>
                <w:tcPr>
                  <w:tcW w:type="dxa" w:w="2579"/>
                </w:tcPr>
                <w:p>
                  <w:pPr>
                    <w:spacing w:after="100"/>
                  </w:pPr>
                  <w:r>
                    <w:rPr>
                      <w:rFonts w:ascii="Calibri" w:hAnsi="Calibri"/>
                      <w:sz w:val="20"/>
                    </w:rPr>
                    <w:t>Proposed total spending ceiling £50, not a supplier quote or approved purchase; allow up to one week for account/access checks.</w:t>
                  </w:r>
                </w:p>
              </w:tc>
              <w:tc>
                <w:tcPr>
                  <w:tcW w:type="dxa" w:w="2579"/>
                </w:tcPr>
                <w:p>
                  <w:pPr>
                    <w:spacing w:after="100"/>
                  </w:pPr>
                  <w:r>
                    <w:rPr>
                      <w:rFonts w:ascii="Calibri" w:hAnsi="Calibri"/>
                      <w:sz w:val="20"/>
                    </w:rPr>
                    <w:t>Provider and prices are not fixed. Estimate calls and token costs before use; cache embeddings and run small pilots.</w:t>
                  </w:r>
                </w:p>
              </w:tc>
            </w:tr>
            <w:tr>
              <w:trPr>
                <w:trHeight w:hRule="auto"/>
              </w:trPr>
              <w:tc>
                <w:tcPr>
                  <w:tcW w:type="dxa" w:w="2579"/>
                </w:tcPr>
                <w:p>
                  <w:pPr>
                    <w:spacing w:after="100"/>
                  </w:pPr>
                  <w:r>
                    <w:rPr>
                      <w:rFonts w:ascii="Calibri" w:hAnsi="Calibri"/>
                      <w:sz w:val="20"/>
                    </w:rPr>
                    <w:t>Local standards collection</w:t>
                  </w:r>
                </w:p>
              </w:tc>
              <w:tc>
                <w:tcPr>
                  <w:tcW w:type="dxa" w:w="2579"/>
                </w:tcPr>
                <w:p>
                  <w:pPr>
                    <w:spacing w:after="100"/>
                  </w:pPr>
                  <w:r>
                    <w:rPr>
                      <w:rFonts w:ascii="Calibri" w:hAnsi="Calibri"/>
                      <w:sz w:val="20"/>
                    </w:rPr>
                    <w:t>Select 20–30 usable documents, record versions and permissions, then manually check answer evidence.</w:t>
                  </w:r>
                </w:p>
              </w:tc>
              <w:tc>
                <w:tcPr>
                  <w:tcW w:type="dxa" w:w="2579"/>
                </w:tcPr>
                <w:p>
                  <w:pPr>
                    <w:spacing w:after="100"/>
                  </w:pPr>
                  <w:r>
                    <w:rPr>
                      <w:rFonts w:ascii="Calibri" w:hAnsi="Calibri"/>
                      <w:sz w:val="20"/>
                    </w:rPr>
                    <w:t>No new acquisition cost assumed; allocate two weeks for selection and permission checks.</w:t>
                  </w:r>
                </w:p>
              </w:tc>
              <w:tc>
                <w:tcPr>
                  <w:tcW w:type="dxa" w:w="2579"/>
                </w:tcPr>
                <w:p>
                  <w:pPr>
                    <w:spacing w:after="100"/>
                  </w:pPr>
                  <w:r>
                    <w:rPr>
                      <w:rFonts w:ascii="Calibri" w:hAnsi="Calibri"/>
                      <w:sz w:val="20"/>
                    </w:rPr>
                    <w:t>Possession does not establish permission to upload or redistribute; use an authorised substitute if necessary.</w:t>
                  </w:r>
                </w:p>
              </w:tc>
            </w:tr>
            <w:tr>
              <w:trPr>
                <w:trHeight w:hRule="auto"/>
              </w:trPr>
              <w:tc>
                <w:tcPr>
                  <w:tcW w:type="dxa" w:w="2579"/>
                </w:tcPr>
                <w:p>
                  <w:pPr>
                    <w:spacing w:after="100"/>
                  </w:pPr>
                  <w:r>
                    <w:rPr>
                      <w:rFonts w:ascii="Calibri" w:hAnsi="Calibri"/>
                      <w:sz w:val="20"/>
                    </w:rPr>
                    <w:t>Versioning and backup</w:t>
                  </w:r>
                </w:p>
              </w:tc>
              <w:tc>
                <w:tcPr>
                  <w:tcW w:type="dxa" w:w="2579"/>
                </w:tcPr>
                <w:p>
                  <w:pPr>
                    <w:spacing w:after="100"/>
                  </w:pPr>
                  <w:r>
                    <w:rPr>
                      <w:rFonts w:ascii="Calibri" w:hAnsi="Calibri"/>
                      <w:sz w:val="20"/>
                    </w:rPr>
                    <w:t>Keep code/configuration history and an approved separate backup of working documents.</w:t>
                  </w:r>
                </w:p>
              </w:tc>
              <w:tc>
                <w:tcPr>
                  <w:tcW w:type="dxa" w:w="2579"/>
                </w:tcPr>
                <w:p>
                  <w:pPr>
                    <w:spacing w:after="100"/>
                  </w:pPr>
                  <w:r>
                    <w:rPr>
                      <w:rFonts w:ascii="Calibri" w:hAnsi="Calibri"/>
                      <w:sz w:val="20"/>
                    </w:rPr>
                    <w:t>£0 if existing storage suffices; set up during Week 5.</w:t>
                  </w:r>
                </w:p>
              </w:tc>
              <w:tc>
                <w:tcPr>
                  <w:tcW w:type="dxa" w:w="2579"/>
                </w:tcPr>
                <w:p>
                  <w:pPr>
                    <w:spacing w:after="100"/>
                  </w:pPr>
                  <w:r>
                    <w:rPr>
                      <w:rFonts w:ascii="Calibri" w:hAnsi="Calibri"/>
                      <w:sz w:val="20"/>
                    </w:rPr>
                    <w:t>Do not place restricted source documents or credentials in a public repository.</w:t>
                  </w:r>
                </w:p>
              </w:tc>
            </w:tr>
          </w:tbl>
          <w:p>
            <w:pPr>
              <w:spacing w:after="100"/>
            </w:pPr>
          </w:p>
          <w:p>
            <w:pPr>
              <w:spacing w:after="100"/>
            </w:pPr>
            <w:r>
              <w:rPr>
                <w:rFonts w:ascii="Calibri" w:hAnsi="Calibri"/>
                <w:sz w:val="20"/>
              </w:rPr>
              <w:t>Budget assumption: the £50 API ceiling is a draft planning allowance requiring student/supervisor agreement before expenditure. No purchase or API call has been made as part of this preparation.</w:t>
            </w:r>
          </w:p>
          <w:p>
            <w:pPr>
              <w:spacing w:after="100"/>
            </w:pPr>
            <w:r>
              <w:rPr>
                <w:rFonts w:ascii="Calibri" w:hAnsi="Calibri"/>
                <w:sz w:val="20"/>
              </w:rPr>
              <w:t>Workshop/access answers, based on the current software-only scope: allocated laboratory bench — No; Mechanical Workshop — No; Electronics Workshop — No; special IT support — No currently anticipated, revisit if network or service access fails; special electronic components — No.</w:t>
            </w:r>
          </w:p>
        </w:tc>
      </w:tr>
    </w:tbl>
    <w:p w14:paraId="49E0C12F" w14:textId="77777777" w:rsidR="003D43FD" w:rsidRDefault="003D43FD">
      <w:pPr>
        <w:rPr>
          <w:rFonts w:ascii="Arial" w:eastAsia="Arial" w:hAnsi="Arial" w:cs="Arial"/>
          <w:sz w:val="8"/>
          <w:szCs w:val="8"/>
        </w:rPr>
      </w:pPr>
    </w:p>
    <w:p w14:paraId="4E600596" w14:textId="77777777" w:rsidR="003D43FD" w:rsidRDefault="003D43FD">
      <w:pPr>
        <w:rPr>
          <w:rFonts w:ascii="Arial" w:eastAsia="Arial" w:hAnsi="Arial" w:cs="Arial"/>
          <w:sz w:val="20"/>
          <w:szCs w:val="20"/>
        </w:rPr>
        <w:sectPr w:rsidR="003D43FD">
          <w:pgSz w:w="11907" w:h="16840"/>
          <w:pgMar w:top="1260" w:right="720" w:bottom="720" w:left="720" w:header="709" w:footer="709" w:gutter="0"/>
          <w:cols w:space="720"/>
        </w:sectPr>
      </w:pPr>
    </w:p>
    <w:p w14:paraId="54C31957" w14:textId="77777777" w:rsidR="003D43FD" w:rsidRDefault="00000000">
      <w:pPr>
        <w:rPr>
          <w:rFonts w:ascii="Arial" w:eastAsia="Arial" w:hAnsi="Arial" w:cs="Arial"/>
          <w:b/>
          <w:bCs/>
          <w:sz w:val="22"/>
          <w:szCs w:val="22"/>
        </w:rPr>
      </w:pPr>
      <w:r>
        <w:rPr>
          <w:rFonts w:ascii="Arial" w:eastAsia="Arial" w:hAnsi="Arial" w:cs="Arial"/>
          <w:b/>
          <w:bCs/>
          <w:sz w:val="22"/>
          <w:szCs w:val="22"/>
        </w:rPr>
        <w:lastRenderedPageBreak/>
        <w:t>Section 4: Professional Practice, Risk, and Compliance</w:t>
      </w:r>
    </w:p>
    <w:p w14:paraId="5BB0143E" w14:textId="77777777" w:rsidR="003D43FD" w:rsidRDefault="003D43FD">
      <w:pPr>
        <w:rPr>
          <w:rFonts w:ascii="Arial" w:eastAsia="Arial" w:hAnsi="Arial" w:cs="Arial"/>
          <w:sz w:val="8"/>
          <w:szCs w:val="8"/>
        </w:rPr>
      </w:pPr>
    </w:p>
    <w:p w14:paraId="0D056F1C" w14:textId="77777777" w:rsidR="003D43FD" w:rsidRDefault="00000000">
      <w:pPr>
        <w:spacing w:line="259" w:lineRule="auto"/>
        <w:rPr>
          <w:rFonts w:ascii="Arial" w:eastAsia="Arial" w:hAnsi="Arial" w:cs="Arial"/>
          <w:i/>
          <w:iCs/>
          <w:sz w:val="20"/>
          <w:szCs w:val="20"/>
        </w:rPr>
      </w:pPr>
      <w:r>
        <w:rPr>
          <w:rFonts w:ascii="Arial" w:eastAsia="Arial" w:hAnsi="Arial" w:cs="Arial"/>
          <w:i/>
          <w:iCs/>
          <w:sz w:val="20"/>
          <w:szCs w:val="20"/>
        </w:rPr>
        <w:t>Before completing this section, please refer to the corresponding part of the handbook.</w:t>
      </w:r>
    </w:p>
    <w:p w14:paraId="24843DD2" w14:textId="77777777" w:rsidR="003D43FD" w:rsidRDefault="003D43FD">
      <w:pPr>
        <w:spacing w:line="259" w:lineRule="auto"/>
        <w:rPr>
          <w:rFonts w:ascii="Arial" w:eastAsia="Arial" w:hAnsi="Arial" w:cs="Arial"/>
          <w:i/>
          <w:iCs/>
        </w:rPr>
      </w:pPr>
    </w:p>
    <w:p w14:paraId="0044610F" w14:textId="77777777" w:rsidR="003D43FD" w:rsidRDefault="00000000">
      <w:pPr>
        <w:spacing w:line="259" w:lineRule="auto"/>
        <w:rPr>
          <w:rFonts w:ascii="Arial" w:eastAsia="Arial" w:hAnsi="Arial" w:cs="Arial"/>
          <w:b/>
          <w:bCs/>
          <w:i/>
          <w:iCs/>
          <w:sz w:val="22"/>
          <w:szCs w:val="22"/>
        </w:rPr>
      </w:pPr>
      <w:r>
        <w:rPr>
          <w:rFonts w:ascii="Arial" w:eastAsia="Arial" w:hAnsi="Arial" w:cs="Arial"/>
          <w:b/>
          <w:bCs/>
          <w:i/>
          <w:iCs/>
          <w:sz w:val="22"/>
          <w:szCs w:val="22"/>
        </w:rPr>
        <w:t>Societal and environmental considerations</w:t>
      </w:r>
    </w:p>
    <w:tbl>
      <w:tblPr>
        <w:tblStyle w:val="a3"/>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spacing w:after="100"/>
            </w:pPr>
          </w:p>
          <w:p>
            <w:pPr>
              <w:spacing w:after="100"/>
            </w:pPr>
            <w:r>
              <w:rPr>
                <w:rFonts w:ascii="Calibri" w:hAnsi="Calibri"/>
                <w:sz w:val="20"/>
              </w:rPr>
              <w:t>Intended benefit: help users find and inspect relevant evidence efficiently. Incorrect numerical requirements, omitted conditions or wrong editions could mislead users. Answers will therefore display their source and edition, identify insufficient evidence, and be presented as consultation support rather than engineering approval. Evaluation will assess factual correctness and source support; no reduction in real engineering incidents is claimed.</w:t>
            </w:r>
          </w:p>
          <w:p>
            <w:pPr>
              <w:spacing w:after="100"/>
            </w:pPr>
            <w:r>
              <w:rPr>
                <w:rFonts w:ascii="Calibri" w:hAnsi="Calibri"/>
                <w:sz w:val="20"/>
              </w:rPr>
              <w:t>Inclusion and accessibility: use readable Chinese text, clear labels, selectable source passages, keyboard-accessible controls and status messages that do not rely on colour alone. Evaluate both standard terminology and paraphrased questions. English-language retrieval and universal accessibility are outside the first evaluation and will be stated as limitations.</w:t>
            </w:r>
          </w:p>
          <w:p>
            <w:pPr>
              <w:spacing w:after="100"/>
            </w:pPr>
            <w:r>
              <w:rPr>
                <w:rFonts w:ascii="Calibri" w:hAnsi="Calibri"/>
                <w:sz w:val="20"/>
              </w:rPr>
              <w:t>Environment: reuse existing hardware, avoid model training, cache unchanged embeddings and bound document size and repeated API runs. Record request/token counts where available as resource-use indicators; do not claim measured carbon savings without a defensible method.</w:t>
            </w:r>
          </w:p>
        </w:tc>
      </w:tr>
    </w:tbl>
    <w:p w14:paraId="396FAC5A" w14:textId="77777777" w:rsidR="003D43FD" w:rsidRDefault="003D43FD">
      <w:pPr>
        <w:spacing w:line="259" w:lineRule="auto"/>
        <w:rPr>
          <w:rFonts w:ascii="Arial" w:eastAsia="Arial" w:hAnsi="Arial" w:cs="Arial"/>
          <w:i/>
          <w:iCs/>
        </w:rPr>
      </w:pPr>
    </w:p>
    <w:p w14:paraId="0C33D469" w14:textId="77777777" w:rsidR="003D43FD" w:rsidRDefault="00000000">
      <w:pPr>
        <w:rPr>
          <w:rFonts w:ascii="Arial" w:eastAsia="Arial" w:hAnsi="Arial" w:cs="Arial"/>
          <w:b/>
          <w:bCs/>
          <w:sz w:val="22"/>
          <w:szCs w:val="22"/>
        </w:rPr>
      </w:pPr>
      <w:r>
        <w:rPr>
          <w:rFonts w:ascii="Arial" w:eastAsia="Arial" w:hAnsi="Arial" w:cs="Arial"/>
          <w:b/>
          <w:bCs/>
          <w:i/>
          <w:iCs/>
          <w:sz w:val="22"/>
          <w:szCs w:val="22"/>
        </w:rPr>
        <w:t>Ethics</w:t>
      </w:r>
      <w:r>
        <w:rPr>
          <w:rFonts w:ascii="Arial" w:eastAsia="Arial" w:hAnsi="Arial" w:cs="Arial"/>
          <w:b/>
          <w:bCs/>
          <w:sz w:val="22"/>
          <w:szCs w:val="22"/>
        </w:rPr>
        <w:t>:</w:t>
      </w:r>
    </w:p>
    <w:p w14:paraId="3B688035" w14:textId="77777777" w:rsidR="003D43FD" w:rsidRDefault="003D43FD">
      <w:pPr>
        <w:rPr>
          <w:rFonts w:ascii="Arial" w:eastAsia="Arial" w:hAnsi="Arial" w:cs="Arial"/>
          <w:sz w:val="8"/>
          <w:szCs w:val="8"/>
        </w:rPr>
      </w:pPr>
    </w:p>
    <w:p w14:paraId="330B56B5" w14:textId="77777777" w:rsidR="003D43FD" w:rsidRDefault="00000000">
      <w:pPr>
        <w:rPr>
          <w:rFonts w:ascii="Arial" w:eastAsia="Arial" w:hAnsi="Arial" w:cs="Arial"/>
          <w:i/>
          <w:iCs/>
          <w:sz w:val="20"/>
          <w:szCs w:val="20"/>
        </w:rPr>
      </w:pPr>
      <w:r>
        <w:rPr>
          <w:rFonts w:ascii="Arial" w:eastAsia="Arial" w:hAnsi="Arial" w:cs="Arial"/>
          <w:i/>
          <w:iCs/>
          <w:sz w:val="20"/>
          <w:szCs w:val="20"/>
        </w:rPr>
        <w:t xml:space="preserve">Please select one of the options below. Please refer to </w:t>
      </w:r>
      <w:hyperlink r:id="rId9">
        <w:r>
          <w:rPr>
            <w:color w:val="0000FF"/>
            <w:sz w:val="20"/>
            <w:szCs w:val="20"/>
            <w:u w:val="single"/>
          </w:rPr>
          <w:t>www.leeds.ac.uk/ethics</w:t>
        </w:r>
      </w:hyperlink>
      <w:r>
        <w:rPr>
          <w:sz w:val="20"/>
          <w:szCs w:val="20"/>
        </w:rPr>
        <w:t xml:space="preserve">  </w:t>
      </w:r>
    </w:p>
    <w:tbl>
      <w:tblPr>
        <w:tblStyle w:val="a4"/>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spacing w:after="100"/>
            </w:pPr>
          </w:p>
          <w:p>
            <w:pPr>
              <w:spacing w:after="100"/>
            </w:pPr>
            <w:r>
              <w:rPr>
                <w:rFonts w:ascii="Calibri" w:hAnsi="Calibri"/>
                <w:sz w:val="20"/>
              </w:rPr>
              <w:t>The planned evaluation uses technical documents and researcher-prepared questions. No participant recruitment, personal-data collection or user study is currently planned. Check document confidentiality, copyright, permitted cloud processing and provider retention conditions before external calls. Do not upload engineering drawings in this phase. Preserve acknowledgement of the supplied reference code and cited literature; maintain a truthful account of original work and assistance.</w:t>
            </w:r>
          </w:p>
          <w:p>
            <w:pPr>
              <w:spacing w:after="100"/>
            </w:pPr>
            <w:r>
              <w:rPr>
                <w:rFonts w:ascii="Calibri" w:hAnsi="Calibri"/>
                <w:sz w:val="20"/>
              </w:rPr>
              <w:t>Ethics declaration: [STUDENT AND SUPERVISOR TO CONFIRM THE APPLICABLE OPTION]. Neither official checkbox is selected in this draft. If the scope changes to involve participants or personal data, discuss the required review before that work begins.</w:t>
            </w:r>
          </w:p>
          <w:p>
            <w:pPr>
              <w:spacing w:after="100"/>
            </w:pPr>
            <w:r>
              <w:rPr>
                <w:rFonts w:ascii="Calibri" w:hAnsi="Calibri"/>
                <w:sz w:val="20"/>
              </w:rPr>
              <w:t>☐ No review required — student/supervisor to confirm.</w:t>
            </w:r>
          </w:p>
          <w:p>
            <w:pPr>
              <w:spacing w:after="100"/>
            </w:pPr>
            <w:r>
              <w:rPr>
                <w:rFonts w:ascii="Calibri" w:hAnsi="Calibri"/>
                <w:sz w:val="20"/>
              </w:rPr>
              <w:t>☐ Review required — student/supervisor to confirm.</w:t>
            </w:r>
          </w:p>
        </w:tc>
      </w:tr>
    </w:tbl>
    <w:p w14:paraId="53186141" w14:textId="77777777" w:rsidR="003D43FD" w:rsidRDefault="003D43FD"/>
    <w:p w14:paraId="6957ECF4" w14:textId="77777777" w:rsidR="003D43FD" w:rsidRDefault="00000000">
      <w:pPr>
        <w:spacing w:line="259" w:lineRule="auto"/>
        <w:rPr>
          <w:rFonts w:ascii="Arial" w:eastAsia="Arial" w:hAnsi="Arial" w:cs="Arial"/>
          <w:b/>
          <w:bCs/>
          <w:i/>
          <w:iCs/>
          <w:sz w:val="22"/>
          <w:szCs w:val="22"/>
        </w:rPr>
      </w:pPr>
      <w:r>
        <w:rPr>
          <w:rFonts w:ascii="Arial" w:eastAsia="Arial" w:hAnsi="Arial" w:cs="Arial"/>
          <w:b/>
          <w:bCs/>
          <w:i/>
          <w:iCs/>
          <w:sz w:val="22"/>
          <w:szCs w:val="22"/>
        </w:rPr>
        <w:t xml:space="preserve">Risk Register </w:t>
      </w:r>
    </w:p>
    <w:tbl>
      <w:tblPr>
        <w:tblStyle w:val="a5"/>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spacing w:after="100"/>
            </w:pPr>
          </w:p>
          <w:p>
            <w:pPr>
              <w:spacing w:after="100"/>
            </w:pPr>
            <w:r>
              <w:rPr>
                <w:rFonts w:ascii="Calibri" w:hAnsi="Calibri"/>
                <w:sz w:val="20"/>
              </w:rPr>
              <w:t>Likelihood and impact use qualitative Low / Medium / High ratings at proposal stage; these are estimates to be reviewed at supervision meetings.</w:t>
            </w:r>
          </w:p>
          <w:tbl>
            <w:tblPr>
              <w:tblStyle w:val="TableGrid"/>
              <w:tblW w:type="auto" w:w="0"/>
              <w:tblLook w:firstColumn="1" w:firstRow="1" w:lastColumn="0" w:lastRow="0" w:noHBand="0" w:noVBand="1" w:val="04A0"/>
            </w:tblPr>
            <w:tblGrid>
              <w:gridCol w:w="2579"/>
              <w:gridCol w:w="2579"/>
              <w:gridCol w:w="2579"/>
              <w:gridCol w:w="2579"/>
            </w:tblGrid>
            <w:tr>
              <w:trPr>
                <w:trHeight w:hRule="auto"/>
              </w:trPr>
              <w:tc>
                <w:tcPr>
                  <w:tcW w:type="dxa" w:w="2579"/>
                </w:tcPr>
                <w:p>
                  <w:pPr>
                    <w:spacing w:after="100"/>
                  </w:pPr>
                  <w:r>
                    <w:rPr>
                      <w:rFonts w:ascii="Calibri" w:hAnsi="Calibri"/>
                      <w:b/>
                      <w:sz w:val="20"/>
                    </w:rPr>
                    <w:t>Risk</w:t>
                  </w:r>
                </w:p>
              </w:tc>
              <w:tc>
                <w:tcPr>
                  <w:tcW w:type="dxa" w:w="2579"/>
                </w:tcPr>
                <w:p>
                  <w:pPr>
                    <w:spacing w:after="100"/>
                  </w:pPr>
                  <w:r>
                    <w:rPr>
                      <w:rFonts w:ascii="Calibri" w:hAnsi="Calibri"/>
                      <w:b/>
                      <w:sz w:val="20"/>
                    </w:rPr>
                    <w:t>Likelihood</w:t>
                  </w:r>
                </w:p>
              </w:tc>
              <w:tc>
                <w:tcPr>
                  <w:tcW w:type="dxa" w:w="2579"/>
                </w:tcPr>
                <w:p>
                  <w:pPr>
                    <w:spacing w:after="100"/>
                  </w:pPr>
                  <w:r>
                    <w:rPr>
                      <w:rFonts w:ascii="Calibri" w:hAnsi="Calibri"/>
                      <w:b/>
                      <w:sz w:val="20"/>
                    </w:rPr>
                    <w:t>Impact</w:t>
                  </w:r>
                </w:p>
              </w:tc>
              <w:tc>
                <w:tcPr>
                  <w:tcW w:type="dxa" w:w="2579"/>
                </w:tcPr>
                <w:p>
                  <w:pPr>
                    <w:spacing w:after="100"/>
                  </w:pPr>
                  <w:r>
                    <w:rPr>
                      <w:rFonts w:ascii="Calibri" w:hAnsi="Calibri"/>
                      <w:b/>
                      <w:sz w:val="20"/>
                    </w:rPr>
                    <w:t>Mitigation and schedule consequence</w:t>
                  </w:r>
                </w:p>
              </w:tc>
            </w:tr>
            <w:tr>
              <w:trPr>
                <w:trHeight w:hRule="auto"/>
              </w:trPr>
              <w:tc>
                <w:tcPr>
                  <w:tcW w:type="dxa" w:w="2579"/>
                </w:tcPr>
                <w:p>
                  <w:pPr>
                    <w:spacing w:after="100"/>
                  </w:pPr>
                  <w:r>
                    <w:rPr>
                      <w:rFonts w:ascii="Calibri" w:hAnsi="Calibri"/>
                      <w:sz w:val="20"/>
                    </w:rPr>
                    <w:t>Scanned or poorly extracted documents</w:t>
                  </w:r>
                </w:p>
              </w:tc>
              <w:tc>
                <w:tcPr>
                  <w:tcW w:type="dxa" w:w="2579"/>
                </w:tcPr>
                <w:p>
                  <w:pPr>
                    <w:spacing w:after="100"/>
                  </w:pPr>
                  <w:r>
                    <w:rPr>
                      <w:rFonts w:ascii="Calibri" w:hAnsi="Calibri"/>
                      <w:sz w:val="20"/>
                    </w:rPr>
                    <w:t>High</w:t>
                  </w:r>
                </w:p>
              </w:tc>
              <w:tc>
                <w:tcPr>
                  <w:tcW w:type="dxa" w:w="2579"/>
                </w:tcPr>
                <w:p>
                  <w:pPr>
                    <w:spacing w:after="100"/>
                  </w:pPr>
                  <w:r>
                    <w:rPr>
                      <w:rFonts w:ascii="Calibri" w:hAnsi="Calibri"/>
                      <w:sz w:val="20"/>
                    </w:rPr>
                    <w:t>High</w:t>
                  </w:r>
                </w:p>
              </w:tc>
              <w:tc>
                <w:tcPr>
                  <w:tcW w:type="dxa" w:w="2579"/>
                </w:tcPr>
                <w:p>
                  <w:pPr>
                    <w:spacing w:after="100"/>
                  </w:pPr>
                  <w:r>
                    <w:rPr>
                      <w:rFonts w:ascii="Calibri" w:hAnsi="Calibri"/>
                      <w:sz w:val="20"/>
                    </w:rPr>
                    <w:t>Audit candidates before building the corpus; prefer verified text-bearing counterparts; replace unusable files in Weeks 8–10. OCR remains outside the first implementation.</w:t>
                  </w:r>
                </w:p>
              </w:tc>
            </w:tr>
            <w:tr>
              <w:trPr>
                <w:trHeight w:hRule="auto"/>
              </w:trPr>
              <w:tc>
                <w:tcPr>
                  <w:tcW w:type="dxa" w:w="2579"/>
                </w:tcPr>
                <w:p>
                  <w:pPr>
                    <w:spacing w:after="100"/>
                  </w:pPr>
                  <w:r>
                    <w:rPr>
                      <w:rFonts w:ascii="Calibri" w:hAnsi="Calibri"/>
                      <w:sz w:val="20"/>
                    </w:rPr>
                    <w:t>Incorrect edition metadata or duplicate documents</w:t>
                  </w:r>
                </w:p>
              </w:tc>
              <w:tc>
                <w:tcPr>
                  <w:tcW w:type="dxa" w:w="2579"/>
                </w:tcPr>
                <w:p>
                  <w:pPr>
                    <w:spacing w:after="100"/>
                  </w:pPr>
                  <w:r>
                    <w:rPr>
                      <w:rFonts w:ascii="Calibri" w:hAnsi="Calibri"/>
                      <w:sz w:val="20"/>
                    </w:rPr>
                    <w:t>High</w:t>
                  </w:r>
                </w:p>
              </w:tc>
              <w:tc>
                <w:tcPr>
                  <w:tcW w:type="dxa" w:w="2579"/>
                </w:tcPr>
                <w:p>
                  <w:pPr>
                    <w:spacing w:after="100"/>
                  </w:pPr>
                  <w:r>
                    <w:rPr>
                      <w:rFonts w:ascii="Calibri" w:hAnsi="Calibri"/>
                      <w:sz w:val="20"/>
                    </w:rPr>
                    <w:t>High</w:t>
                  </w:r>
                </w:p>
              </w:tc>
              <w:tc>
                <w:tcPr>
                  <w:tcW w:type="dxa" w:w="2579"/>
                </w:tcPr>
                <w:p>
                  <w:pPr>
                    <w:spacing w:after="100"/>
                  </w:pPr>
                  <w:r>
                    <w:rPr>
                      <w:rFonts w:ascii="Calibri" w:hAnsi="Calibri"/>
                      <w:sz w:val="20"/>
                    </w:rPr>
                    <w:t>Verify identifiers against document pages, record hashes and retain explicit edition labels; test missing-edition cases before Week 15.</w:t>
                  </w:r>
                </w:p>
              </w:tc>
            </w:tr>
            <w:tr>
              <w:trPr>
                <w:trHeight w:hRule="auto"/>
              </w:trPr>
              <w:tc>
                <w:tcPr>
                  <w:tcW w:type="dxa" w:w="2579"/>
                </w:tcPr>
                <w:p>
                  <w:pPr>
                    <w:spacing w:after="100"/>
                  </w:pPr>
                  <w:r>
                    <w:rPr>
                      <w:rFonts w:ascii="Calibri" w:hAnsi="Calibri"/>
                      <w:sz w:val="20"/>
                    </w:rPr>
                    <w:t>Unsupported answers or misleading citations</w:t>
                  </w:r>
                </w:p>
              </w:tc>
              <w:tc>
                <w:tcPr>
                  <w:tcW w:type="dxa" w:w="2579"/>
                </w:tcPr>
                <w:p>
                  <w:pPr>
                    <w:spacing w:after="100"/>
                  </w:pPr>
                  <w:r>
                    <w:rPr>
                      <w:rFonts w:ascii="Calibri" w:hAnsi="Calibri"/>
                      <w:sz w:val="20"/>
                    </w:rPr>
                    <w:t>Medium</w:t>
                  </w:r>
                </w:p>
              </w:tc>
              <w:tc>
                <w:tcPr>
                  <w:tcW w:type="dxa" w:w="2579"/>
                </w:tcPr>
                <w:p>
                  <w:pPr>
                    <w:spacing w:after="100"/>
                  </w:pPr>
                  <w:r>
                    <w:rPr>
                      <w:rFonts w:ascii="Calibri" w:hAnsi="Calibri"/>
                      <w:sz w:val="20"/>
                    </w:rPr>
                    <w:t>High</w:t>
                  </w:r>
                </w:p>
              </w:tc>
              <w:tc>
                <w:tcPr>
                  <w:tcW w:type="dxa" w:w="2579"/>
                </w:tcPr>
                <w:p>
                  <w:pPr>
                    <w:spacing w:after="100"/>
                  </w:pPr>
                  <w:r>
                    <w:rPr>
                      <w:rFonts w:ascii="Calibri" w:hAnsi="Calibri"/>
                      <w:sz w:val="20"/>
                    </w:rPr>
                    <w:t>Require evidence display, add refusal and citation checks, and evaluate wrong-version and insufficient-evidence cases.</w:t>
                  </w:r>
                </w:p>
              </w:tc>
            </w:tr>
            <w:tr>
              <w:trPr>
                <w:trHeight w:hRule="auto"/>
              </w:trPr>
              <w:tc>
                <w:tcPr>
                  <w:tcW w:type="dxa" w:w="2579"/>
                </w:tcPr>
                <w:p>
                  <w:pPr>
                    <w:spacing w:after="100"/>
                  </w:pPr>
                  <w:r>
                    <w:rPr>
                      <w:rFonts w:ascii="Calibri" w:hAnsi="Calibri"/>
                      <w:sz w:val="20"/>
                    </w:rPr>
                    <w:t>API outage, access failure or spending overrun</w:t>
                  </w:r>
                </w:p>
              </w:tc>
              <w:tc>
                <w:tcPr>
                  <w:tcW w:type="dxa" w:w="2579"/>
                </w:tcPr>
                <w:p>
                  <w:pPr>
                    <w:spacing w:after="100"/>
                  </w:pPr>
                  <w:r>
                    <w:rPr>
                      <w:rFonts w:ascii="Calibri" w:hAnsi="Calibri"/>
                      <w:sz w:val="20"/>
                    </w:rPr>
                    <w:t>Medium</w:t>
                  </w:r>
                </w:p>
              </w:tc>
              <w:tc>
                <w:tcPr>
                  <w:tcW w:type="dxa" w:w="2579"/>
                </w:tcPr>
                <w:p>
                  <w:pPr>
                    <w:spacing w:after="100"/>
                  </w:pPr>
                  <w:r>
                    <w:rPr>
                      <w:rFonts w:ascii="Calibri" w:hAnsi="Calibri"/>
                      <w:sz w:val="20"/>
                    </w:rPr>
                    <w:t>High</w:t>
                  </w:r>
                </w:p>
              </w:tc>
              <w:tc>
                <w:tcPr>
                  <w:tcW w:type="dxa" w:w="2579"/>
                </w:tcPr>
                <w:p>
                  <w:pPr>
                    <w:spacing w:after="100"/>
                  </w:pPr>
                  <w:r>
                    <w:rPr>
                      <w:rFonts w:ascii="Calibri" w:hAnsi="Calibri"/>
                      <w:sz w:val="20"/>
                    </w:rPr>
                    <w:t>Run a small permitted pilot, record usage, cache embeddings and retain an offline retrieval demonstration; allow integration buffer in Weeks 14–15. Offline retrieval does not count as completed online QA validation.</w:t>
                  </w:r>
                </w:p>
              </w:tc>
            </w:tr>
            <w:tr>
              <w:trPr>
                <w:trHeight w:hRule="auto"/>
              </w:trPr>
              <w:tc>
                <w:tcPr>
                  <w:tcW w:type="dxa" w:w="2579"/>
                </w:tcPr>
                <w:p>
                  <w:pPr>
                    <w:spacing w:after="100"/>
                  </w:pPr>
                  <w:r>
                    <w:rPr>
                      <w:rFonts w:ascii="Calibri" w:hAnsi="Calibri"/>
                      <w:sz w:val="20"/>
                    </w:rPr>
                    <w:t>Annotation errors or development/test leakage</w:t>
                  </w:r>
                </w:p>
              </w:tc>
              <w:tc>
                <w:tcPr>
                  <w:tcW w:type="dxa" w:w="2579"/>
                </w:tcPr>
                <w:p>
                  <w:pPr>
                    <w:spacing w:after="100"/>
                  </w:pPr>
                  <w:r>
                    <w:rPr>
                      <w:rFonts w:ascii="Calibri" w:hAnsi="Calibri"/>
                      <w:sz w:val="20"/>
                    </w:rPr>
                    <w:t>Medium</w:t>
                  </w:r>
                </w:p>
              </w:tc>
              <w:tc>
                <w:tcPr>
                  <w:tcW w:type="dxa" w:w="2579"/>
                </w:tcPr>
                <w:p>
                  <w:pPr>
                    <w:spacing w:after="100"/>
                  </w:pPr>
                  <w:r>
                    <w:rPr>
                      <w:rFonts w:ascii="Calibri" w:hAnsi="Calibri"/>
                      <w:sz w:val="20"/>
                    </w:rPr>
                    <w:t>High</w:t>
                  </w:r>
                </w:p>
              </w:tc>
              <w:tc>
                <w:tcPr>
                  <w:tcW w:type="dxa" w:w="2579"/>
                </w:tcPr>
                <w:p>
                  <w:pPr>
                    <w:spacing w:after="100"/>
                  </w:pPr>
                  <w:r>
                    <w:rPr>
                      <w:rFonts w:ascii="Calibri" w:hAnsi="Calibri"/>
                      <w:sz w:val="20"/>
                    </w:rPr>
                    <w:t>Use a written rubric, group related questions before splitting, recheck labels and freeze the test set before final comparisons.</w:t>
                  </w:r>
                </w:p>
              </w:tc>
            </w:tr>
            <w:tr>
              <w:trPr>
                <w:trHeight w:hRule="auto"/>
              </w:trPr>
              <w:tc>
                <w:tcPr>
                  <w:tcW w:type="dxa" w:w="2579"/>
                </w:tcPr>
                <w:p>
                  <w:pPr>
                    <w:spacing w:after="100"/>
                  </w:pPr>
                  <w:r>
                    <w:rPr>
                      <w:rFonts w:ascii="Calibri" w:hAnsi="Calibri"/>
                      <w:sz w:val="20"/>
                    </w:rPr>
                    <w:t>Data processing permission not established</w:t>
                  </w:r>
                </w:p>
              </w:tc>
              <w:tc>
                <w:tcPr>
                  <w:tcW w:type="dxa" w:w="2579"/>
                </w:tcPr>
                <w:p>
                  <w:pPr>
                    <w:spacing w:after="100"/>
                  </w:pPr>
                  <w:r>
                    <w:rPr>
                      <w:rFonts w:ascii="Calibri" w:hAnsi="Calibri"/>
                      <w:sz w:val="20"/>
                    </w:rPr>
                    <w:t>Medium</w:t>
                  </w:r>
                </w:p>
              </w:tc>
              <w:tc>
                <w:tcPr>
                  <w:tcW w:type="dxa" w:w="2579"/>
                </w:tcPr>
                <w:p>
                  <w:pPr>
                    <w:spacing w:after="100"/>
                  </w:pPr>
                  <w:r>
                    <w:rPr>
                      <w:rFonts w:ascii="Calibri" w:hAnsi="Calibri"/>
                      <w:sz w:val="20"/>
                    </w:rPr>
                    <w:t>High</w:t>
                  </w:r>
                </w:p>
              </w:tc>
              <w:tc>
                <w:tcPr>
                  <w:tcW w:type="dxa" w:w="2579"/>
                </w:tcPr>
                <w:p>
                  <w:pPr>
                    <w:spacing w:after="100"/>
                  </w:pPr>
                  <w:r>
                    <w:rPr>
                      <w:rFonts w:ascii="Calibri" w:hAnsi="Calibri"/>
                      <w:sz w:val="20"/>
                    </w:rPr>
                    <w:t>Resolve during corpus selection; exclude affected files from external processing and use authorised substitutes.</w:t>
                  </w:r>
                </w:p>
              </w:tc>
            </w:tr>
            <w:tr>
              <w:trPr>
                <w:trHeight w:hRule="auto"/>
              </w:trPr>
              <w:tc>
                <w:tcPr>
                  <w:tcW w:type="dxa" w:w="2579"/>
                </w:tcPr>
                <w:p>
                  <w:pPr>
                    <w:spacing w:after="100"/>
                  </w:pPr>
                  <w:r>
                    <w:rPr>
                      <w:rFonts w:ascii="Calibri" w:hAnsi="Calibri"/>
                      <w:sz w:val="20"/>
                    </w:rPr>
                    <w:t>Schedule slippage or scope expansion</w:t>
                  </w:r>
                </w:p>
              </w:tc>
              <w:tc>
                <w:tcPr>
                  <w:tcW w:type="dxa" w:w="2579"/>
                </w:tcPr>
                <w:p>
                  <w:pPr>
                    <w:spacing w:after="100"/>
                  </w:pPr>
                  <w:r>
                    <w:rPr>
                      <w:rFonts w:ascii="Calibri" w:hAnsi="Calibri"/>
                      <w:sz w:val="20"/>
                    </w:rPr>
                    <w:t>Medium</w:t>
                  </w:r>
                </w:p>
              </w:tc>
              <w:tc>
                <w:tcPr>
                  <w:tcW w:type="dxa" w:w="2579"/>
                </w:tcPr>
                <w:p>
                  <w:pPr>
                    <w:spacing w:after="100"/>
                  </w:pPr>
                  <w:r>
                    <w:rPr>
                      <w:rFonts w:ascii="Calibri" w:hAnsi="Calibri"/>
                      <w:sz w:val="20"/>
                    </w:rPr>
                    <w:t>High</w:t>
                  </w:r>
                </w:p>
              </w:tc>
              <w:tc>
                <w:tcPr>
                  <w:tcW w:type="dxa" w:w="2579"/>
                </w:tcPr>
                <w:p>
                  <w:pPr>
                    <w:spacing w:after="100"/>
                  </w:pPr>
                  <w:r>
                    <w:rPr>
                      <w:rFonts w:ascii="Calibri" w:hAnsi="Calibri"/>
                      <w:sz w:val="20"/>
                    </w:rPr>
                    <w:t>Prioritise text QA and evaluation; exclude drawing interpretation and training; retain Weeks 23–24 for final checks.</w:t>
                  </w:r>
                </w:p>
              </w:tc>
            </w:tr>
            <w:tr>
              <w:trPr>
                <w:trHeight w:hRule="auto"/>
              </w:trPr>
              <w:tc>
                <w:tcPr>
                  <w:tcW w:type="dxa" w:w="2579"/>
                </w:tcPr>
                <w:p>
                  <w:pPr>
                    <w:spacing w:after="100"/>
                  </w:pPr>
                  <w:r>
                    <w:rPr>
                      <w:rFonts w:ascii="Calibri" w:hAnsi="Calibri"/>
                      <w:sz w:val="20"/>
                    </w:rPr>
                    <w:t>Loss of code, labels or report drafts</w:t>
                  </w:r>
                </w:p>
              </w:tc>
              <w:tc>
                <w:tcPr>
                  <w:tcW w:type="dxa" w:w="2579"/>
                </w:tcPr>
                <w:p>
                  <w:pPr>
                    <w:spacing w:after="100"/>
                  </w:pPr>
                  <w:r>
                    <w:rPr>
                      <w:rFonts w:ascii="Calibri" w:hAnsi="Calibri"/>
                      <w:sz w:val="20"/>
                    </w:rPr>
                    <w:t>Low</w:t>
                  </w:r>
                </w:p>
              </w:tc>
              <w:tc>
                <w:tcPr>
                  <w:tcW w:type="dxa" w:w="2579"/>
                </w:tcPr>
                <w:p>
                  <w:pPr>
                    <w:spacing w:after="100"/>
                  </w:pPr>
                  <w:r>
                    <w:rPr>
                      <w:rFonts w:ascii="Calibri" w:hAnsi="Calibri"/>
                      <w:sz w:val="20"/>
                    </w:rPr>
                    <w:t>High</w:t>
                  </w:r>
                </w:p>
              </w:tc>
              <w:tc>
                <w:tcPr>
                  <w:tcW w:type="dxa" w:w="2579"/>
                </w:tcPr>
                <w:p>
                  <w:pPr>
                    <w:spacing w:after="100"/>
                  </w:pPr>
                  <w:r>
                    <w:rPr>
                      <w:rFonts w:ascii="Calibri" w:hAnsi="Calibri"/>
                      <w:sz w:val="20"/>
                    </w:rPr>
                    <w:t>Maintain version history and an approved independent backup; verify that a recent snapshot can be restored.</w:t>
                  </w:r>
                </w:p>
              </w:tc>
            </w:tr>
          </w:tbl>
          <w:p>
            <w:pPr>
              <w:spacing w:after="100"/>
            </w:pPr>
          </w:p>
          <w:p>
            <w:pPr>
              <w:spacing w:after="100"/>
            </w:pPr>
            <w:r>
              <w:rPr>
                <w:rFonts w:ascii="Calibri" w:hAnsi="Calibri"/>
                <w:sz w:val="20"/>
              </w:rPr>
              <w:t>Risk owner: student; status: open at proposal stage. Review risk changes with the supervisor and record actions in the journal.</w:t>
            </w:r>
          </w:p>
        </w:tc>
      </w:tr>
    </w:tbl>
    <w:p w14:paraId="47BA48C7" w14:textId="77777777" w:rsidR="003D43FD" w:rsidRDefault="003D43FD">
      <w:pPr>
        <w:spacing w:line="259" w:lineRule="auto"/>
        <w:rPr>
          <w:rFonts w:ascii="Arial" w:eastAsia="Arial" w:hAnsi="Arial" w:cs="Arial"/>
          <w:i/>
          <w:iCs/>
        </w:rPr>
      </w:pPr>
    </w:p>
    <w:p w14:paraId="5086C944" w14:textId="77777777" w:rsidR="003D43FD" w:rsidRDefault="003D43FD">
      <w:pPr>
        <w:spacing w:line="259" w:lineRule="auto"/>
        <w:rPr>
          <w:rFonts w:ascii="Arial" w:eastAsia="Arial" w:hAnsi="Arial" w:cs="Arial"/>
          <w:i/>
          <w:iCs/>
        </w:rPr>
      </w:pPr>
    </w:p>
    <w:p w14:paraId="5DE420C6" w14:textId="77777777" w:rsidR="003D43FD" w:rsidRDefault="003D43FD">
      <w:pPr>
        <w:spacing w:line="259" w:lineRule="auto"/>
        <w:rPr>
          <w:rFonts w:ascii="Arial" w:eastAsia="Arial" w:hAnsi="Arial" w:cs="Arial"/>
          <w:i/>
          <w:iCs/>
        </w:rPr>
      </w:pPr>
    </w:p>
    <w:p w14:paraId="13CA3B6D" w14:textId="77777777" w:rsidR="003D43FD" w:rsidRDefault="00000000">
      <w:pPr>
        <w:spacing w:line="259" w:lineRule="auto"/>
        <w:rPr>
          <w:rFonts w:ascii="Arial" w:eastAsia="Arial" w:hAnsi="Arial" w:cs="Arial"/>
          <w:b/>
          <w:bCs/>
          <w:i/>
          <w:iCs/>
          <w:sz w:val="22"/>
          <w:szCs w:val="22"/>
        </w:rPr>
      </w:pPr>
      <w:r>
        <w:rPr>
          <w:rFonts w:ascii="Arial" w:eastAsia="Arial" w:hAnsi="Arial" w:cs="Arial"/>
          <w:b/>
          <w:bCs/>
          <w:i/>
          <w:iCs/>
          <w:sz w:val="22"/>
          <w:szCs w:val="22"/>
        </w:rPr>
        <w:t>Security</w:t>
      </w:r>
    </w:p>
    <w:tbl>
      <w:tblPr>
        <w:tblStyle w:val="a6"/>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spacing w:after="100"/>
            </w:pPr>
          </w:p>
          <w:p>
            <w:pPr>
              <w:spacing w:after="100"/>
            </w:pPr>
            <w:r>
              <w:rPr>
                <w:rFonts w:ascii="Calibri" w:hAnsi="Calibri"/>
                <w:sz w:val="20"/>
              </w:rPr>
              <w:t>Keep API keys outside source control and redact them from logs. Bind the demonstration to the local machine; do not publish a network service. Treat document text as untrusted evidence, not instructions: it must not change system rules or trigger tools. Restrict input formats and file sizes, isolate malformed-file errors, and avoid execution of embedded content. Verify that citations refer to retrieved passages. Store only necessary evaluation logs and use approved storage for any restricted documents.</w:t>
            </w:r>
          </w:p>
        </w:tc>
      </w:tr>
    </w:tbl>
    <w:p w14:paraId="075F4859" w14:textId="77777777" w:rsidR="003D43FD" w:rsidRDefault="003D43FD">
      <w:pPr>
        <w:spacing w:line="259" w:lineRule="auto"/>
        <w:rPr>
          <w:rFonts w:ascii="Arial" w:eastAsia="Arial" w:hAnsi="Arial" w:cs="Arial"/>
          <w:i/>
          <w:iCs/>
        </w:rPr>
      </w:pPr>
    </w:p>
    <w:p w14:paraId="6D6728E4" w14:textId="77777777" w:rsidR="003D43FD" w:rsidRDefault="003D43FD">
      <w:pPr>
        <w:spacing w:line="259" w:lineRule="auto"/>
        <w:rPr>
          <w:rFonts w:ascii="Arial" w:eastAsia="Arial" w:hAnsi="Arial" w:cs="Arial"/>
          <w:b/>
          <w:bCs/>
          <w:i/>
          <w:iCs/>
          <w:sz w:val="20"/>
          <w:szCs w:val="20"/>
        </w:rPr>
      </w:pPr>
    </w:p>
    <w:p w14:paraId="29989343" w14:textId="77777777" w:rsidR="003D43FD" w:rsidRDefault="00000000">
      <w:pPr>
        <w:spacing w:line="259" w:lineRule="auto"/>
        <w:rPr>
          <w:rFonts w:ascii="Arial" w:eastAsia="Arial" w:hAnsi="Arial" w:cs="Arial"/>
          <w:i/>
          <w:iCs/>
        </w:rPr>
      </w:pPr>
      <w:r>
        <w:rPr>
          <w:rFonts w:ascii="Arial" w:eastAsia="Arial" w:hAnsi="Arial" w:cs="Arial"/>
          <w:b/>
          <w:bCs/>
          <w:i/>
          <w:iCs/>
          <w:sz w:val="20"/>
          <w:szCs w:val="20"/>
        </w:rPr>
        <w:t>Safety</w:t>
      </w:r>
      <w:r>
        <w:rPr>
          <w:rFonts w:ascii="Arial" w:eastAsia="Arial" w:hAnsi="Arial" w:cs="Arial"/>
          <w:i/>
          <w:iCs/>
          <w:sz w:val="20"/>
          <w:szCs w:val="20"/>
        </w:rPr>
        <w:t>:</w:t>
      </w:r>
    </w:p>
    <w:p w14:paraId="5D56427C" w14:textId="77777777" w:rsidR="003D43FD" w:rsidRDefault="003D43FD">
      <w:pPr>
        <w:rPr>
          <w:rFonts w:ascii="Arial" w:eastAsia="Arial" w:hAnsi="Arial" w:cs="Arial"/>
          <w:sz w:val="8"/>
          <w:szCs w:val="8"/>
        </w:rPr>
      </w:pPr>
    </w:p>
    <w:tbl>
      <w:tblPr>
        <w:tblStyle w:val="a7"/>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spacing w:after="100"/>
            </w:pPr>
          </w:p>
          <w:p>
            <w:pPr>
              <w:spacing w:after="100"/>
            </w:pPr>
            <w:r>
              <w:rPr>
                <w:rFonts w:ascii="Calibri" w:hAnsi="Calibri"/>
                <w:sz w:val="20"/>
              </w:rPr>
              <w:t>Specialist laboratory required: No under the current scope; all work is desktop software and document analysis. Follow applicable workstation and electrical safety procedures. Whether existing risk assessments cover the work: [TO BE CONFIRMED WITH SUPERVISOR].</w:t>
            </w:r>
          </w:p>
          <w:p>
            <w:pPr>
              <w:spacing w:after="100"/>
            </w:pPr>
            <w:r>
              <w:rPr>
                <w:rFonts w:ascii="Calibri" w:hAnsi="Calibri"/>
                <w:sz w:val="20"/>
              </w:rPr>
              <w:t>Safety briefing attendance, student signature and date: [TO BE COMPLETED BY STUDENT; NOT ASSERTED BY THIS DRAFT].</w:t>
            </w:r>
          </w:p>
        </w:tc>
      </w:tr>
    </w:tbl>
    <w:p w14:paraId="410487F0" w14:textId="77777777" w:rsidR="003D43FD" w:rsidRDefault="003D43FD"/>
    <w:p w14:paraId="65DFC7B8" w14:textId="77777777" w:rsidR="003D43FD" w:rsidRDefault="00000000">
      <w:r>
        <w:br/>
      </w:r>
    </w:p>
    <w:p w14:paraId="54FDCD43" w14:textId="77777777" w:rsidR="003D43FD" w:rsidRDefault="003D43FD"/>
    <w:tbl>
      <w:tblPr>
        <w:tblStyle w:val="a8"/>
        <w:tblW w:w="10317" w:type="dxa"/>
        <w:tblInd w:w="108"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spacing w:after="100"/>
            </w:pPr>
          </w:p>
          <w:p>
            <w:pPr>
              <w:spacing w:after="100"/>
            </w:pPr>
            <w:r>
              <w:rPr>
                <w:rFonts w:ascii="Calibri" w:hAnsi="Calibri"/>
                <w:sz w:val="20"/>
              </w:rPr>
              <w:t>Supervisor approval, date and means: [PENDING; TO BE RECORDED AFTER REVIEW].</w:t>
            </w:r>
          </w:p>
          <w:p>
            <w:pPr>
              <w:spacing w:after="100"/>
            </w:pPr>
            <w:r>
              <w:rPr>
                <w:rFonts w:ascii="Calibri" w:hAnsi="Calibri"/>
                <w:sz w:val="20"/>
              </w:rPr>
              <w:t>Before submission, the student must obtain the supervisor's review and confirmation using the course procedure.</w:t>
            </w:r>
          </w:p>
        </w:tc>
      </w:tr>
    </w:tbl>
    <w:p w14:paraId="69F07741" w14:textId="77777777" w:rsidR="003D43FD" w:rsidRDefault="003D43FD">
      <w:pPr>
        <w:rPr>
          <w:rFonts w:ascii="Arial" w:eastAsia="Arial" w:hAnsi="Arial" w:cs="Arial"/>
          <w:sz w:val="20"/>
          <w:szCs w:val="20"/>
        </w:rPr>
      </w:pPr>
    </w:p>
    <w:p w14:paraId="491BF61E" w14:textId="77777777" w:rsidR="003D43FD" w:rsidRDefault="003D43FD">
      <w:pPr>
        <w:ind w:firstLine="720"/>
        <w:rPr>
          <w:rFonts w:ascii="Arial" w:eastAsia="Arial" w:hAnsi="Arial" w:cs="Arial"/>
          <w:sz w:val="20"/>
          <w:szCs w:val="20"/>
        </w:rPr>
      </w:pPr>
    </w:p>
    <w:sectPr w:rsidR="003D43FD">
      <w:pgSz w:w="11907" w:h="16840"/>
      <w:pgMar w:top="720" w:right="720" w:bottom="720" w:left="72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4589C" w14:textId="77777777" w:rsidR="006F0D48" w:rsidRDefault="006F0D48">
      <w:r>
        <w:separator/>
      </w:r>
    </w:p>
  </w:endnote>
  <w:endnote w:type="continuationSeparator" w:id="0">
    <w:p w14:paraId="084B3CFE" w14:textId="77777777" w:rsidR="006F0D48" w:rsidRDefault="006F0D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auto"/>
    <w:pitch w:val="default"/>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03D28" w14:textId="77777777" w:rsidR="003D43FD" w:rsidRDefault="00000000">
    <w:pPr>
      <w:pBdr>
        <w:top w:val="nil"/>
        <w:left w:val="nil"/>
        <w:bottom w:val="nil"/>
        <w:right w:val="nil"/>
        <w:between w:val="nil"/>
      </w:pBdr>
      <w:tabs>
        <w:tab w:val="center" w:pos="4320"/>
        <w:tab w:val="right" w:pos="8640"/>
      </w:tabs>
      <w:rPr>
        <w:color w:val="000000"/>
      </w:rPr>
    </w:pPr>
    <w:r>
      <w:rPr>
        <w:rFonts w:ascii="Arial" w:eastAsia="Arial" w:hAnsi="Arial" w:cs="Arial"/>
        <w:color w:val="000000"/>
        <w:sz w:val="14"/>
        <w:szCs w:val="14"/>
      </w:rPr>
      <w:t>ELEC38</w:t>
    </w:r>
    <w:r>
      <w:rPr>
        <w:rFonts w:ascii="Arial" w:eastAsia="Arial" w:hAnsi="Arial" w:cs="Arial"/>
        <w:sz w:val="14"/>
        <w:szCs w:val="14"/>
      </w:rPr>
      <w:t>01</w:t>
    </w:r>
    <w:r>
      <w:rPr>
        <w:rFonts w:ascii="Arial" w:eastAsia="Arial" w:hAnsi="Arial" w:cs="Arial"/>
        <w:color w:val="000000"/>
        <w:sz w:val="14"/>
        <w:szCs w:val="14"/>
      </w:rPr>
      <w:t xml:space="preserve"> Project Proposal Form                                                                                                                                                                     </w:t>
    </w:r>
    <w:r>
      <w:rPr>
        <w:rFonts w:ascii="Arial" w:eastAsia="Arial" w:hAnsi="Arial" w:cs="Arial"/>
        <w:b/>
        <w:bCs/>
        <w:color w:val="000000"/>
        <w:sz w:val="16"/>
        <w:szCs w:val="16"/>
      </w:rPr>
      <w:t xml:space="preserve">Page </w:t>
    </w:r>
    <w:r>
      <w:rPr>
        <w:rFonts w:ascii="Arial" w:eastAsia="Arial" w:hAnsi="Arial" w:cs="Arial"/>
        <w:b/>
        <w:bCs/>
        <w:color w:val="000000"/>
        <w:sz w:val="16"/>
        <w:szCs w:val="16"/>
      </w:rPr>
      <w:fldChar w:fldCharType="begin"/>
    </w:r>
    <w:r>
      <w:rPr>
        <w:rFonts w:ascii="Arial" w:eastAsia="Arial" w:hAnsi="Arial" w:cs="Arial"/>
        <w:b/>
        <w:bCs/>
        <w:color w:val="000000"/>
        <w:sz w:val="16"/>
        <w:szCs w:val="16"/>
      </w:rPr>
      <w:instrText>PAGE</w:instrText>
    </w:r>
    <w:r>
      <w:rPr>
        <w:rFonts w:ascii="Arial" w:eastAsia="Arial" w:hAnsi="Arial" w:cs="Arial"/>
        <w:b/>
        <w:bCs/>
        <w:color w:val="000000"/>
        <w:sz w:val="16"/>
        <w:szCs w:val="16"/>
      </w:rPr>
      <w:fldChar w:fldCharType="separate"/>
    </w:r>
    <w:r w:rsidR="00476420">
      <w:rPr>
        <w:rFonts w:ascii="Arial" w:eastAsia="Arial" w:hAnsi="Arial" w:cs="Arial"/>
        <w:b/>
        <w:bCs/>
        <w:noProof/>
        <w:color w:val="000000"/>
        <w:sz w:val="16"/>
        <w:szCs w:val="16"/>
      </w:rPr>
      <w:t>1</w:t>
    </w:r>
    <w:r>
      <w:rPr>
        <w:rFonts w:ascii="Arial" w:eastAsia="Arial" w:hAnsi="Arial" w:cs="Arial"/>
        <w:b/>
        <w:bCs/>
        <w:color w:val="000000"/>
        <w:sz w:val="16"/>
        <w:szCs w:val="16"/>
      </w:rPr>
      <w:fldChar w:fldCharType="end"/>
    </w:r>
    <w:r>
      <w:rPr>
        <w:rFonts w:ascii="Arial" w:eastAsia="Arial" w:hAnsi="Arial" w:cs="Arial"/>
        <w:b/>
        <w:bCs/>
        <w:color w:val="000000"/>
        <w:sz w:val="16"/>
        <w:szCs w:val="16"/>
      </w:rPr>
      <w:t xml:space="preserve"> of </w:t>
    </w:r>
    <w:r>
      <w:rPr>
        <w:rFonts w:ascii="Arial" w:eastAsia="Arial" w:hAnsi="Arial" w:cs="Arial"/>
        <w:b/>
        <w:bCs/>
        <w:color w:val="000000"/>
        <w:sz w:val="16"/>
        <w:szCs w:val="16"/>
      </w:rPr>
      <w:fldChar w:fldCharType="begin"/>
    </w:r>
    <w:r>
      <w:rPr>
        <w:rFonts w:ascii="Arial" w:eastAsia="Arial" w:hAnsi="Arial" w:cs="Arial"/>
        <w:b/>
        <w:bCs/>
        <w:color w:val="000000"/>
        <w:sz w:val="16"/>
        <w:szCs w:val="16"/>
      </w:rPr>
      <w:instrText>NUMPAGES</w:instrText>
    </w:r>
    <w:r>
      <w:rPr>
        <w:rFonts w:ascii="Arial" w:eastAsia="Arial" w:hAnsi="Arial" w:cs="Arial"/>
        <w:b/>
        <w:bCs/>
        <w:color w:val="000000"/>
        <w:sz w:val="16"/>
        <w:szCs w:val="16"/>
      </w:rPr>
      <w:fldChar w:fldCharType="separate"/>
    </w:r>
    <w:r w:rsidR="00476420">
      <w:rPr>
        <w:rFonts w:ascii="Arial" w:eastAsia="Arial" w:hAnsi="Arial" w:cs="Arial"/>
        <w:b/>
        <w:bCs/>
        <w:noProof/>
        <w:color w:val="000000"/>
        <w:sz w:val="16"/>
        <w:szCs w:val="16"/>
      </w:rPr>
      <w:t>2</w:t>
    </w:r>
    <w:r>
      <w:rPr>
        <w:rFonts w:ascii="Arial" w:eastAsia="Arial" w:hAnsi="Arial" w:cs="Arial"/>
        <w:b/>
        <w:bCs/>
        <w:color w:val="000000"/>
        <w:sz w:val="16"/>
        <w:szCs w:val="16"/>
      </w:rPr>
      <w:fldChar w:fldCharType="end"/>
    </w:r>
    <w:r>
      <w:rPr>
        <w:rFonts w:ascii="Arial" w:eastAsia="Arial" w:hAnsi="Arial" w:cs="Arial"/>
        <w:color w:val="000000"/>
        <w:sz w:val="14"/>
        <w:szCs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909BF" w14:textId="77777777" w:rsidR="006F0D48" w:rsidRDefault="006F0D48">
      <w:r>
        <w:separator/>
      </w:r>
    </w:p>
  </w:footnote>
  <w:footnote w:type="continuationSeparator" w:id="0">
    <w:p w14:paraId="227CE4FE" w14:textId="77777777" w:rsidR="006F0D48" w:rsidRDefault="006F0D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25664B"/>
    <w:multiLevelType w:val="multilevel"/>
    <w:tmpl w:val="33A472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15859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3FD"/>
    <w:rsid w:val="003D43FD"/>
    <w:rsid w:val="00476420"/>
    <w:rsid w:val="00615A94"/>
    <w:rsid w:val="006F0D4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92FB0"/>
  <w15:docId w15:val="{DF865A5E-D0B9-4418-88F8-40F33B11C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35CB"/>
    <w:rPr>
      <w:lang w:eastAsia="en-US"/>
    </w:rPr>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rsid w:val="003258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E3207A"/>
    <w:pPr>
      <w:tabs>
        <w:tab w:val="center" w:pos="4320"/>
        <w:tab w:val="right" w:pos="8640"/>
      </w:tabs>
    </w:pPr>
  </w:style>
  <w:style w:type="paragraph" w:styleId="Footer">
    <w:name w:val="footer"/>
    <w:basedOn w:val="Normal"/>
    <w:rsid w:val="00E3207A"/>
    <w:pPr>
      <w:tabs>
        <w:tab w:val="center" w:pos="4320"/>
        <w:tab w:val="right" w:pos="8640"/>
      </w:tabs>
    </w:pPr>
  </w:style>
  <w:style w:type="character" w:styleId="PageNumber">
    <w:name w:val="page number"/>
    <w:basedOn w:val="DefaultParagraphFont"/>
    <w:rsid w:val="00E3207A"/>
  </w:style>
  <w:style w:type="paragraph" w:styleId="BalloonText">
    <w:name w:val="Balloon Text"/>
    <w:basedOn w:val="Normal"/>
    <w:semiHidden/>
    <w:rsid w:val="00C6277B"/>
    <w:rPr>
      <w:rFonts w:ascii="Tahoma" w:hAnsi="Tahoma" w:cs="Tahoma"/>
      <w:sz w:val="16"/>
      <w:szCs w:val="16"/>
    </w:rPr>
  </w:style>
  <w:style w:type="character" w:styleId="Hyperlink">
    <w:name w:val="Hyperlink"/>
    <w:uiPriority w:val="99"/>
    <w:unhideWhenUsed/>
    <w:rsid w:val="00713601"/>
    <w:rPr>
      <w:color w:val="0000FF"/>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113" w:type="dxa"/>
        <w:left w:w="115" w:type="dxa"/>
        <w:bottom w:w="113"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www.leeds.ac.uk/ethics" TargetMode="External"/><Relationship Id="rId13" Type="http://schemas.openxmlformats.org/officeDocument/2006/relationships/hyperlink" Target="https://papers.nips.cc/paper/2020/hash/6b493230205f780e1bc26945df7481e5-Abstract.html" TargetMode="External"/><Relationship Id="rId14" Type="http://schemas.openxmlformats.org/officeDocument/2006/relationships/hyperlink" Target="https://www.nowpublishers.com/article/DownloadEBook/INR-019" TargetMode="External"/><Relationship Id="rId15" Type="http://schemas.openxmlformats.org/officeDocument/2006/relationships/hyperlink" Target="https://aclanthology.org/2020.emnlp-main.550/" TargetMode="External"/><Relationship Id="rId16" Type="http://schemas.openxmlformats.org/officeDocument/2006/relationships/hyperlink" Target="https://aclanthology.org/2023.emnlp-main.322/" TargetMode="External"/><Relationship Id="rId17" Type="http://schemas.openxmlformats.org/officeDocument/2006/relationships/hyperlink" Target="https://proceedings.mlr.press/v202/shi23a.html" TargetMode="External"/><Relationship Id="rId18" Type="http://schemas.openxmlformats.org/officeDocument/2006/relationships/hyperlink" Target="https://aclanthology.org/2024.eacl-demo.16/" TargetMode="External"/><Relationship Id="rId1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mVkn65hUjMpQvO6UT5xz2QD0lA==">CgMxLjAyCGguZ2pkZ3hzMgppZC4zMGowemxsMg5oLnBwd2ZqNWI4OW1ndDgAciExUS02Ynk1NDFFOUJLdk5DelJlZTJJcFJTWE9aUVR1TEI=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1074</Words>
  <Characters>6125</Characters>
  <Application>Microsoft Office Word</Application>
  <DocSecurity>0</DocSecurity>
  <Lines>51</Lines>
  <Paragraphs>14</Paragraphs>
  <ScaleCrop>false</ScaleCrop>
  <Company/>
  <LinksUpToDate>false</LinksUpToDate>
  <CharactersWithSpaces>7185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Sadegh Azizi</cp:lastModifiedBy>
  <cp:revision>2</cp:revision>
  <dcterms:created xsi:type="dcterms:W3CDTF">2022-11-14T09:20:00Z</dcterms:created>
  <dcterms:modified xsi:type="dcterms:W3CDTF">2026-09-27T12:09:00Z</dcterms:modified>
  <dc:title>A Study on a Large-Model-Based Intelligent Question-Answering System for the Overhead Contact System Field</dc:title>
  <dc:subject>ELEC3801 2026–27 proposal working draft</dc:subject>
  <dc:description>Draft prepared with assistant support; personal declarations and approval remain incomplete.</dc:description>
</cp:coreProperties>
</file>