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pPr>
      <w:r>
        <w:rPr>
          <w:b/>
        </w:rPr>
        <w:t>基于大模型的接触网领域智能问答系统研究</w:t>
      </w:r>
    </w:p>
    <w:p>
      <w:r>
        <w:t>英文题目：A Study on a Large-Model-Based Intelligent Question-Answering System for the Overhead Contact System Field</w:t>
      </w:r>
    </w:p>
    <w:p>
      <w:r>
        <w:t>课程：ELEC3801 2026–27。编制日期：2026-10-13。</w:t>
      </w:r>
    </w:p>
    <w:p>
      <w:r>
        <w:t>本稿供理解研究内容、与导师讨论和核对英文报告使用。英文 IEEE 双栏 Proposal 为当前审阅主文件；中文篇幅不对应英文 750 词限制。技术内容已形成完整审阅稿，姓名、学号、专业、导师信息、伦理选项、安全声明及导师认可待本人真实填写；尚未提交。</w:t>
      </w:r>
    </w:p>
    <w:p>
      <w:pPr>
        <w:keepNext/>
      </w:pPr>
      <w:r>
        <w:rPr>
          <w:b/>
        </w:rPr>
        <w:t>第一部分：项目描述</w:t>
      </w:r>
    </w:p>
    <w:p>
      <w:pPr>
        <w:keepNext/>
      </w:pPr>
      <w:r>
        <w:rPr>
          <w:b/>
        </w:rPr>
        <w:t>研究背景与问题</w:t>
      </w:r>
    </w:p>
    <w:p>
      <w:r>
        <w:t>接触网规范包含专业术语、数值要求、适用条件和不同年份版本。现有资料分散在 PDF、DOCX 等文件中，查阅者不仅需要找到相关条文，还需要核对答案适用的标准、版本、单位和条件。语言流畅但缺乏原文支持的回答，尤其是引用错误版本的回答，可能误导学习和工程资料查阅。</w:t>
      </w:r>
    </w:p>
    <w:p>
      <w:r>
        <w:t>检索增强生成（RAG）将证据检索与语言生成结合[1]。BM25 适合根据字面关键词检索[2]，稠密向量检索提供基于语义表示的另一条路线[3]。但是，采用这些方法本身不能保证版本正确，也不能保证每条回答都被原文充分支持。因此，本课题研究的重点是证据可追溯性与回答可靠性，而不是单纯接入大模型。</w:t>
      </w:r>
    </w:p>
    <w:p>
      <w:r>
        <w:t>查询改写研究[4]为检索前理解追问提供设计参考；首版采用明确的上下文规则，不训练重写模型。无关上下文研究[5]提示需要测试干扰证据，但其算术任务结论不能直接当作接触网规范问答的效果证据。RAGAs[6]提出从多个维度评价检索与生成，本课题据此分别检查检索质量和答案质量，并以人工原文核验作为答案评分依据。</w:t>
      </w:r>
    </w:p>
    <w:p>
      <w:pPr>
        <w:keepNext/>
      </w:pPr>
      <w:r>
        <w:rPr>
          <w:b/>
        </w:rPr>
        <w:t>总体目标与研究问题</w:t>
      </w:r>
    </w:p>
    <w:p>
      <w:r>
        <w:t>总体目标是构建并评价一个面向中文接触网规范子集的智能问答系统，使其能够检索条文、生成有依据的回答、展示来源，并在证据或指定版本不足时明确说明。</w:t>
      </w:r>
    </w:p>
    <w:p>
      <w:r>
        <w:t>- RQ1：混合检索能否比仅 BM25、仅向量检索提高证据召回效果？</w:t>
      </w:r>
    </w:p>
    <w:p>
      <w:r>
        <w:t>- RQ2：明确处理标准号和年份，能否减少不同版本之间的错误引用与回答？</w:t>
      </w:r>
    </w:p>
    <w:p>
      <w:r>
        <w:t>- RQ3：检索证据检查能否减少无依据回答，同时避免过多拒答？</w:t>
      </w:r>
    </w:p>
    <w:p>
      <w:pPr>
        <w:keepNext/>
      </w:pPr>
      <w:r>
        <w:rPr>
          <w:b/>
        </w:rPr>
        <w:t>具体目标与可检验标准</w:t>
      </w:r>
    </w:p>
    <w:tbl>
      <w:tblPr>
        <w:tblStyle w:val="TableGrid"/>
        <w:tblW w:type="auto" w:w="0"/>
        <w:tblLook w:firstColumn="1" w:firstRow="1" w:lastColumn="0" w:lastRow="0" w:noHBand="0" w:noVBand="1" w:val="04A0"/>
      </w:tblPr>
      <w:tblGrid>
        <w:gridCol w:w="3408"/>
        <w:gridCol w:w="3408"/>
        <w:gridCol w:w="3408"/>
      </w:tblGrid>
      <w:tr>
        <w:trPr>
          <w:cantSplit/>
          <w:tblHeader/>
        </w:trPr>
        <w:tc>
          <w:tcPr>
            <w:tcW w:type="dxa" w:w="3408"/>
          </w:tcPr>
          <w:p>
            <w:pPr>
              <w:spacing w:after="60"/>
            </w:pPr>
            <w:r>
              <w:rPr>
                <w:b/>
                <w:sz w:val="18"/>
              </w:rPr>
              <w:t>目标</w:t>
            </w:r>
          </w:p>
        </w:tc>
        <w:tc>
          <w:tcPr>
            <w:tcW w:type="dxa" w:w="3408"/>
          </w:tcPr>
          <w:p>
            <w:pPr>
              <w:spacing w:after="60"/>
            </w:pPr>
            <w:r>
              <w:rPr>
                <w:b/>
                <w:sz w:val="18"/>
              </w:rPr>
              <w:t>计划期限</w:t>
            </w:r>
          </w:p>
        </w:tc>
        <w:tc>
          <w:tcPr>
            <w:tcW w:type="dxa" w:w="3408"/>
          </w:tcPr>
          <w:p>
            <w:pPr>
              <w:spacing w:after="60"/>
            </w:pPr>
            <w:r>
              <w:rPr>
                <w:b/>
                <w:sz w:val="18"/>
              </w:rPr>
              <w:t>交付与验收标准</w:t>
            </w:r>
          </w:p>
        </w:tc>
      </w:tr>
      <w:tr>
        <w:trPr>
          <w:cantSplit/>
        </w:trPr>
        <w:tc>
          <w:tcPr>
            <w:tcW w:type="dxa" w:w="3408"/>
          </w:tcPr>
          <w:p>
            <w:pPr>
              <w:spacing w:after="60"/>
            </w:pPr>
            <w:r>
              <w:rPr>
                <w:sz w:val="18"/>
              </w:rPr>
              <w:t>O1 规范子集</w:t>
            </w:r>
          </w:p>
        </w:tc>
        <w:tc>
          <w:tcPr>
            <w:tcW w:type="dxa" w:w="3408"/>
          </w:tcPr>
          <w:p>
            <w:pPr>
              <w:spacing w:after="60"/>
            </w:pPr>
            <w:r>
              <w:rPr>
                <w:sz w:val="18"/>
              </w:rPr>
              <w:t>Week 11</w:t>
            </w:r>
          </w:p>
        </w:tc>
        <w:tc>
          <w:tcPr>
            <w:tcW w:type="dxa" w:w="3408"/>
          </w:tcPr>
          <w:p>
            <w:pPr>
              <w:spacing w:after="60"/>
            </w:pPr>
            <w:r>
              <w:rPr>
                <w:sz w:val="18"/>
              </w:rPr>
              <w:t>整理 20–30 份可用、去重文档；登记哈希、来源、标准号、年份、文本质量及处理许可。核对文档页面，不能仅凭文件名认定现行有效。扫描和不可用文档单独登记。</w:t>
            </w:r>
          </w:p>
        </w:tc>
      </w:tr>
      <w:tr>
        <w:trPr>
          <w:cantSplit/>
        </w:trPr>
        <w:tc>
          <w:tcPr>
            <w:tcW w:type="dxa" w:w="3408"/>
          </w:tcPr>
          <w:p>
            <w:pPr>
              <w:spacing w:after="60"/>
            </w:pPr>
            <w:r>
              <w:rPr>
                <w:sz w:val="18"/>
              </w:rPr>
              <w:t>O2 完整系统</w:t>
            </w:r>
          </w:p>
        </w:tc>
        <w:tc>
          <w:tcPr>
            <w:tcW w:type="dxa" w:w="3408"/>
          </w:tcPr>
          <w:p>
            <w:pPr>
              <w:spacing w:after="60"/>
            </w:pPr>
            <w:r>
              <w:rPr>
                <w:sz w:val="18"/>
              </w:rPr>
              <w:t>Week 16</w:t>
            </w:r>
          </w:p>
        </w:tc>
        <w:tc>
          <w:tcPr>
            <w:tcW w:type="dxa" w:w="3408"/>
          </w:tcPr>
          <w:p>
            <w:pPr>
              <w:spacing w:after="60"/>
            </w:pPr>
            <w:r>
              <w:rPr>
                <w:sz w:val="18"/>
              </w:rPr>
              <w:t>集成导入、三种检索、DeepSeek 生成、简单追问和来源展示。显示的引用均能定位到本次检索证据；PDF 使用文件页码，DOCX 使用段落或表格位置。必测缺失版本场景不得自动换版；解析/API 失败与合理拒答区分。</w:t>
            </w:r>
          </w:p>
        </w:tc>
      </w:tr>
      <w:tr>
        <w:trPr>
          <w:cantSplit/>
        </w:trPr>
        <w:tc>
          <w:tcPr>
            <w:tcW w:type="dxa" w:w="3408"/>
          </w:tcPr>
          <w:p>
            <w:pPr>
              <w:spacing w:after="60"/>
            </w:pPr>
            <w:r>
              <w:rPr>
                <w:sz w:val="18"/>
              </w:rPr>
              <w:t>O3 固定评测集</w:t>
            </w:r>
          </w:p>
        </w:tc>
        <w:tc>
          <w:tcPr>
            <w:tcW w:type="dxa" w:w="3408"/>
          </w:tcPr>
          <w:p>
            <w:pPr>
              <w:spacing w:after="60"/>
            </w:pPr>
            <w:r>
              <w:rPr>
                <w:sz w:val="18"/>
              </w:rPr>
              <w:t>Week 17</w:t>
            </w:r>
          </w:p>
        </w:tc>
        <w:tc>
          <w:tcPr>
            <w:tcW w:type="dxa" w:w="3408"/>
          </w:tcPr>
          <w:p>
            <w:pPr>
              <w:spacing w:after="60"/>
            </w:pPr>
            <w:r>
              <w:rPr>
                <w:sz w:val="18"/>
              </w:rPr>
              <w:t>人工检查 100 题，划分为 20 道开发题和 80 道测试题；覆盖条文、术语、版本、追问和不可回答问题。标注必要事实与证据，同源问题不跨集合。仅在开发集选择权重与阈值。</w:t>
            </w:r>
          </w:p>
        </w:tc>
      </w:tr>
      <w:tr>
        <w:trPr>
          <w:cantSplit/>
        </w:trPr>
        <w:tc>
          <w:tcPr>
            <w:tcW w:type="dxa" w:w="3408"/>
          </w:tcPr>
          <w:p>
            <w:pPr>
              <w:spacing w:after="60"/>
            </w:pPr>
            <w:r>
              <w:rPr>
                <w:sz w:val="18"/>
              </w:rPr>
              <w:t>O4 对比实验</w:t>
            </w:r>
          </w:p>
        </w:tc>
        <w:tc>
          <w:tcPr>
            <w:tcW w:type="dxa" w:w="3408"/>
          </w:tcPr>
          <w:p>
            <w:pPr>
              <w:spacing w:after="60"/>
            </w:pPr>
            <w:r>
              <w:rPr>
                <w:sz w:val="18"/>
              </w:rPr>
              <w:t>Week 20</w:t>
            </w:r>
          </w:p>
        </w:tc>
        <w:tc>
          <w:tcPr>
            <w:tcW w:type="dxa" w:w="3408"/>
          </w:tcPr>
          <w:p>
            <w:pPr>
              <w:spacing w:after="60"/>
            </w:pPr>
            <w:r>
              <w:rPr>
                <w:sz w:val="18"/>
              </w:rPr>
              <w:t>比较 BM25、向量、混合检索，另分别关闭版本过滤和检索证据门槛；控制其他配置。统计召回、排序、答案、引用、拒答、版本错误及分阶段延迟。</w:t>
            </w:r>
          </w:p>
        </w:tc>
      </w:tr>
      <w:tr>
        <w:trPr>
          <w:cantSplit/>
        </w:trPr>
        <w:tc>
          <w:tcPr>
            <w:tcW w:type="dxa" w:w="3408"/>
          </w:tcPr>
          <w:p>
            <w:pPr>
              <w:spacing w:after="60"/>
            </w:pPr>
            <w:r>
              <w:rPr>
                <w:sz w:val="18"/>
              </w:rPr>
              <w:t>O5 交付成果</w:t>
            </w:r>
          </w:p>
        </w:tc>
        <w:tc>
          <w:tcPr>
            <w:tcW w:type="dxa" w:w="3408"/>
          </w:tcPr>
          <w:p>
            <w:pPr>
              <w:spacing w:after="60"/>
            </w:pPr>
            <w:r>
              <w:rPr>
                <w:sz w:val="18"/>
              </w:rPr>
              <w:t>Week 24</w:t>
            </w:r>
          </w:p>
        </w:tc>
        <w:tc>
          <w:tcPr>
            <w:tcW w:type="dxa" w:w="3408"/>
          </w:tcPr>
          <w:p>
            <w:pPr>
              <w:spacing w:after="60"/>
            </w:pPr>
            <w:r>
              <w:rPr>
                <w:sz w:val="18"/>
              </w:rPr>
              <w:t>可复现代码、配置和实验记录，本地演示、IEEE 报告、Portfolio 与演示视频；Week 18 参加 Symposium，Weeks 25–27 准备与参加答辩。</w:t>
            </w:r>
          </w:p>
        </w:tc>
      </w:tr>
    </w:tbl>
    <w:p>
      <w:r>
        <w:t>拟议性能目标为 Recall@5 ≥ 0.80、答案正确率 ≥ 0.80、引用支撑率 ≥ 0.90、不可回答问题的拒答召回率 ≥ 0.80、可回答问题的误拒答率 ≤ 0.10。这些是开题阶段的工程目标，不是学校规定、已经测得的结果或性能承诺。需报告样本量、差值、不确定性和未达标原因，保留负面结果。API 错误不能算正确拒答。</w:t>
      </w:r>
    </w:p>
    <w:p>
      <w:pPr>
        <w:keepNext/>
      </w:pPr>
      <w:r>
        <w:rPr>
          <w:b/>
        </w:rPr>
        <w:t>技术路线与系统接口</w:t>
      </w:r>
    </w:p>
    <w:p>
      <w:r>
        <w:t>建库流程：解析 PDF/DOCX → 保留来源位置与版本元数据 → 文本切块 → SQLite 存储 → 对允许在线处理的片段调用独立 Embedding 服务生成向量。</w:t>
      </w:r>
    </w:p>
    <w:p>
      <w:r>
        <w:t>问答流程：用户问题与简单追问上下文 → 标准号/年份约束 → BM25 与向量余弦相似度检索 → 分数归一化及加权融合 → 检索证据检查 → 将获准外传的片段交给 DeepSeek → 校验 JSON、引用编号和逐字摘录 → 展示答案、来源及耗时。</w:t>
      </w:r>
    </w:p>
    <w:p>
      <w:r>
        <w:t>模块之间传递片段文本、稳定标识、来源位置、检索分数、回答状态和耗时。Streamlit 本地界面与批量评测入口共用问答链路。逐字摘录匹配只能证明引用原文存在，不能自动证明整句回答在语义上被充分支持，因此仍需人工判分。</w:t>
      </w:r>
    </w:p>
    <w:p>
      <w:pPr>
        <w:keepNext/>
      </w:pPr>
      <w:r>
        <w:rPr>
          <w:b/>
        </w:rPr>
        <w:t>可行性、贡献与范围</w:t>
      </w:r>
    </w:p>
    <w:p>
      <w:r>
        <w:t>截至 2026-10-13，已有三份文档的初步知识库，BM25 检索和 DeepSeek 带引用回答能够运行，真实 API 联调已通过。Embedding 接口联调、完整规范子集和正式评测尚未完成。现有演示证明基础流程可行，不代表准确率已经达到目标。</w:t>
      </w:r>
    </w:p>
    <w:p>
      <w:r>
        <w:t>原始参考代码保存在“毕设资料/01_主要代码”，当前实现位于“project/qa_system”。沿用 RAG、BM25 与向量融合思路，如实说明参考代码及 AI 辅助。计划中的主要工作为语料整理、标准版本处理、证据检查、评测设计和结果分析，不把通用算法或调用 API 本身作为原创成果。</w:t>
      </w:r>
    </w:p>
    <w:p>
      <w:r>
        <w:t>首版不开展基础模型训练、图纸理解、OCR 开发、多用户权限及生产部署。系统用于学习和规范查阅，不用于批准工程合规。需要继续学习的内容包括解析质量、检索参数校准、人工标注一致性及 API 成本估算，通过文献阅读、开发集试验和书面评分规则解决。</w:t>
      </w:r>
    </w:p>
    <w:p>
      <w:pPr>
        <w:keepNext/>
      </w:pPr>
      <w:r>
        <w:rPr>
          <w:b/>
        </w:rPr>
        <w:t>实验实施说明</w:t>
      </w:r>
    </w:p>
    <w:p>
      <w:r>
        <w:t>以下为与英文目标配套的操作细则，不是已完成结果。完整字段与评分公式见“03_实验与验收方案.md”。</w:t>
      </w:r>
    </w:p>
    <w:tbl>
      <w:tblPr>
        <w:tblStyle w:val="TableGrid"/>
        <w:tblW w:type="auto" w:w="0"/>
        <w:tblLook w:firstColumn="1" w:firstRow="1" w:lastColumn="0" w:lastRow="0" w:noHBand="0" w:noVBand="1" w:val="04A0"/>
      </w:tblPr>
      <w:tblGrid>
        <w:gridCol w:w="2045"/>
        <w:gridCol w:w="2045"/>
        <w:gridCol w:w="2045"/>
        <w:gridCol w:w="2045"/>
        <w:gridCol w:w="2045"/>
      </w:tblGrid>
      <w:tr>
        <w:trPr>
          <w:cantSplit/>
          <w:tblHeader/>
        </w:trPr>
        <w:tc>
          <w:tcPr>
            <w:tcW w:type="dxa" w:w="2045"/>
          </w:tcPr>
          <w:p>
            <w:pPr>
              <w:spacing w:after="60"/>
            </w:pPr>
            <w:r>
              <w:rPr>
                <w:b/>
                <w:sz w:val="18"/>
              </w:rPr>
              <w:t>配置</w:t>
            </w:r>
          </w:p>
        </w:tc>
        <w:tc>
          <w:tcPr>
            <w:tcW w:type="dxa" w:w="2045"/>
          </w:tcPr>
          <w:p>
            <w:pPr>
              <w:spacing w:after="60"/>
            </w:pPr>
            <w:r>
              <w:rPr>
                <w:b/>
                <w:sz w:val="18"/>
              </w:rPr>
              <w:t>检索方式</w:t>
            </w:r>
          </w:p>
        </w:tc>
        <w:tc>
          <w:tcPr>
            <w:tcW w:type="dxa" w:w="2045"/>
          </w:tcPr>
          <w:p>
            <w:pPr>
              <w:spacing w:after="60"/>
            </w:pPr>
            <w:r>
              <w:rPr>
                <w:b/>
                <w:sz w:val="18"/>
              </w:rPr>
              <w:t>版本过滤</w:t>
            </w:r>
          </w:p>
        </w:tc>
        <w:tc>
          <w:tcPr>
            <w:tcW w:type="dxa" w:w="2045"/>
          </w:tcPr>
          <w:p>
            <w:pPr>
              <w:spacing w:after="60"/>
            </w:pPr>
            <w:r>
              <w:rPr>
                <w:b/>
                <w:sz w:val="18"/>
              </w:rPr>
              <w:t>检索证据门槛</w:t>
            </w:r>
          </w:p>
        </w:tc>
        <w:tc>
          <w:tcPr>
            <w:tcW w:type="dxa" w:w="2045"/>
          </w:tcPr>
          <w:p>
            <w:pPr>
              <w:spacing w:after="60"/>
            </w:pPr>
            <w:r>
              <w:rPr>
                <w:b/>
                <w:sz w:val="18"/>
              </w:rPr>
              <w:t>回答与引用格式校验</w:t>
            </w:r>
          </w:p>
        </w:tc>
      </w:tr>
      <w:tr>
        <w:trPr>
          <w:cantSplit/>
        </w:trPr>
        <w:tc>
          <w:tcPr>
            <w:tcW w:type="dxa" w:w="2045"/>
          </w:tcPr>
          <w:p>
            <w:pPr>
              <w:spacing w:after="60"/>
            </w:pPr>
            <w:r>
              <w:rPr>
                <w:sz w:val="18"/>
              </w:rPr>
              <w:t>B1</w:t>
            </w:r>
          </w:p>
        </w:tc>
        <w:tc>
          <w:tcPr>
            <w:tcW w:type="dxa" w:w="2045"/>
          </w:tcPr>
          <w:p>
            <w:pPr>
              <w:spacing w:after="60"/>
            </w:pPr>
            <w:r>
              <w:rPr>
                <w:sz w:val="18"/>
              </w:rPr>
              <w:t>BM25</w:t>
            </w:r>
          </w:p>
        </w:tc>
        <w:tc>
          <w:tcPr>
            <w:tcW w:type="dxa" w:w="2045"/>
          </w:tcPr>
          <w:p>
            <w:pPr>
              <w:spacing w:after="60"/>
            </w:pPr>
            <w:r>
              <w:rPr>
                <w:sz w:val="18"/>
              </w:rPr>
              <w:t>开</w:t>
            </w:r>
          </w:p>
        </w:tc>
        <w:tc>
          <w:tcPr>
            <w:tcW w:type="dxa" w:w="2045"/>
          </w:tcPr>
          <w:p>
            <w:pPr>
              <w:spacing w:after="60"/>
            </w:pPr>
            <w:r>
              <w:rPr>
                <w:sz w:val="18"/>
              </w:rPr>
              <w:t>开</w:t>
            </w:r>
          </w:p>
        </w:tc>
        <w:tc>
          <w:tcPr>
            <w:tcW w:type="dxa" w:w="2045"/>
          </w:tcPr>
          <w:p>
            <w:pPr>
              <w:spacing w:after="60"/>
            </w:pPr>
            <w:r>
              <w:rPr>
                <w:sz w:val="18"/>
              </w:rPr>
              <w:t>保留</w:t>
            </w:r>
          </w:p>
        </w:tc>
      </w:tr>
      <w:tr>
        <w:trPr>
          <w:cantSplit/>
        </w:trPr>
        <w:tc>
          <w:tcPr>
            <w:tcW w:type="dxa" w:w="2045"/>
          </w:tcPr>
          <w:p>
            <w:pPr>
              <w:spacing w:after="60"/>
            </w:pPr>
            <w:r>
              <w:rPr>
                <w:sz w:val="18"/>
              </w:rPr>
              <w:t>B2</w:t>
            </w:r>
          </w:p>
        </w:tc>
        <w:tc>
          <w:tcPr>
            <w:tcW w:type="dxa" w:w="2045"/>
          </w:tcPr>
          <w:p>
            <w:pPr>
              <w:spacing w:after="60"/>
            </w:pPr>
            <w:r>
              <w:rPr>
                <w:sz w:val="18"/>
              </w:rPr>
              <w:t>向量</w:t>
            </w:r>
          </w:p>
        </w:tc>
        <w:tc>
          <w:tcPr>
            <w:tcW w:type="dxa" w:w="2045"/>
          </w:tcPr>
          <w:p>
            <w:pPr>
              <w:spacing w:after="60"/>
            </w:pPr>
            <w:r>
              <w:rPr>
                <w:sz w:val="18"/>
              </w:rPr>
              <w:t>开</w:t>
            </w:r>
          </w:p>
        </w:tc>
        <w:tc>
          <w:tcPr>
            <w:tcW w:type="dxa" w:w="2045"/>
          </w:tcPr>
          <w:p>
            <w:pPr>
              <w:spacing w:after="60"/>
            </w:pPr>
            <w:r>
              <w:rPr>
                <w:sz w:val="18"/>
              </w:rPr>
              <w:t>开</w:t>
            </w:r>
          </w:p>
        </w:tc>
        <w:tc>
          <w:tcPr>
            <w:tcW w:type="dxa" w:w="2045"/>
          </w:tcPr>
          <w:p>
            <w:pPr>
              <w:spacing w:after="60"/>
            </w:pPr>
            <w:r>
              <w:rPr>
                <w:sz w:val="18"/>
              </w:rPr>
              <w:t>保留</w:t>
            </w:r>
          </w:p>
        </w:tc>
      </w:tr>
      <w:tr>
        <w:trPr>
          <w:cantSplit/>
        </w:trPr>
        <w:tc>
          <w:tcPr>
            <w:tcW w:type="dxa" w:w="2045"/>
          </w:tcPr>
          <w:p>
            <w:pPr>
              <w:spacing w:after="60"/>
            </w:pPr>
            <w:r>
              <w:rPr>
                <w:sz w:val="18"/>
              </w:rPr>
              <w:t>B3</w:t>
            </w:r>
          </w:p>
        </w:tc>
        <w:tc>
          <w:tcPr>
            <w:tcW w:type="dxa" w:w="2045"/>
          </w:tcPr>
          <w:p>
            <w:pPr>
              <w:spacing w:after="60"/>
            </w:pPr>
            <w:r>
              <w:rPr>
                <w:sz w:val="18"/>
              </w:rPr>
              <w:t>混合</w:t>
            </w:r>
          </w:p>
        </w:tc>
        <w:tc>
          <w:tcPr>
            <w:tcW w:type="dxa" w:w="2045"/>
          </w:tcPr>
          <w:p>
            <w:pPr>
              <w:spacing w:after="60"/>
            </w:pPr>
            <w:r>
              <w:rPr>
                <w:sz w:val="18"/>
              </w:rPr>
              <w:t>开</w:t>
            </w:r>
          </w:p>
        </w:tc>
        <w:tc>
          <w:tcPr>
            <w:tcW w:type="dxa" w:w="2045"/>
          </w:tcPr>
          <w:p>
            <w:pPr>
              <w:spacing w:after="60"/>
            </w:pPr>
            <w:r>
              <w:rPr>
                <w:sz w:val="18"/>
              </w:rPr>
              <w:t>开</w:t>
            </w:r>
          </w:p>
        </w:tc>
        <w:tc>
          <w:tcPr>
            <w:tcW w:type="dxa" w:w="2045"/>
          </w:tcPr>
          <w:p>
            <w:pPr>
              <w:spacing w:after="60"/>
            </w:pPr>
            <w:r>
              <w:rPr>
                <w:sz w:val="18"/>
              </w:rPr>
              <w:t>保留</w:t>
            </w:r>
          </w:p>
        </w:tc>
      </w:tr>
      <w:tr>
        <w:trPr>
          <w:cantSplit/>
        </w:trPr>
        <w:tc>
          <w:tcPr>
            <w:tcW w:type="dxa" w:w="2045"/>
          </w:tcPr>
          <w:p>
            <w:pPr>
              <w:spacing w:after="60"/>
            </w:pPr>
            <w:r>
              <w:rPr>
                <w:sz w:val="18"/>
              </w:rPr>
              <w:t>A1</w:t>
            </w:r>
          </w:p>
        </w:tc>
        <w:tc>
          <w:tcPr>
            <w:tcW w:type="dxa" w:w="2045"/>
          </w:tcPr>
          <w:p>
            <w:pPr>
              <w:spacing w:after="60"/>
            </w:pPr>
            <w:r>
              <w:rPr>
                <w:sz w:val="18"/>
              </w:rPr>
              <w:t>混合</w:t>
            </w:r>
          </w:p>
        </w:tc>
        <w:tc>
          <w:tcPr>
            <w:tcW w:type="dxa" w:w="2045"/>
          </w:tcPr>
          <w:p>
            <w:pPr>
              <w:spacing w:after="60"/>
            </w:pPr>
            <w:r>
              <w:rPr>
                <w:sz w:val="18"/>
              </w:rPr>
              <w:t>关</w:t>
            </w:r>
          </w:p>
        </w:tc>
        <w:tc>
          <w:tcPr>
            <w:tcW w:type="dxa" w:w="2045"/>
          </w:tcPr>
          <w:p>
            <w:pPr>
              <w:spacing w:after="60"/>
            </w:pPr>
            <w:r>
              <w:rPr>
                <w:sz w:val="18"/>
              </w:rPr>
              <w:t>开</w:t>
            </w:r>
          </w:p>
        </w:tc>
        <w:tc>
          <w:tcPr>
            <w:tcW w:type="dxa" w:w="2045"/>
          </w:tcPr>
          <w:p>
            <w:pPr>
              <w:spacing w:after="60"/>
            </w:pPr>
            <w:r>
              <w:rPr>
                <w:sz w:val="18"/>
              </w:rPr>
              <w:t>保留</w:t>
            </w:r>
          </w:p>
        </w:tc>
      </w:tr>
      <w:tr>
        <w:trPr>
          <w:cantSplit/>
        </w:trPr>
        <w:tc>
          <w:tcPr>
            <w:tcW w:type="dxa" w:w="2045"/>
          </w:tcPr>
          <w:p>
            <w:pPr>
              <w:spacing w:after="60"/>
            </w:pPr>
            <w:r>
              <w:rPr>
                <w:sz w:val="18"/>
              </w:rPr>
              <w:t>A2</w:t>
            </w:r>
          </w:p>
        </w:tc>
        <w:tc>
          <w:tcPr>
            <w:tcW w:type="dxa" w:w="2045"/>
          </w:tcPr>
          <w:p>
            <w:pPr>
              <w:spacing w:after="60"/>
            </w:pPr>
            <w:r>
              <w:rPr>
                <w:sz w:val="18"/>
              </w:rPr>
              <w:t>混合</w:t>
            </w:r>
          </w:p>
        </w:tc>
        <w:tc>
          <w:tcPr>
            <w:tcW w:type="dxa" w:w="2045"/>
          </w:tcPr>
          <w:p>
            <w:pPr>
              <w:spacing w:after="60"/>
            </w:pPr>
            <w:r>
              <w:rPr>
                <w:sz w:val="18"/>
              </w:rPr>
              <w:t>开</w:t>
            </w:r>
          </w:p>
        </w:tc>
        <w:tc>
          <w:tcPr>
            <w:tcW w:type="dxa" w:w="2045"/>
          </w:tcPr>
          <w:p>
            <w:pPr>
              <w:spacing w:after="60"/>
            </w:pPr>
            <w:r>
              <w:rPr>
                <w:sz w:val="18"/>
              </w:rPr>
              <w:t>关</w:t>
            </w:r>
          </w:p>
        </w:tc>
        <w:tc>
          <w:tcPr>
            <w:tcW w:type="dxa" w:w="2045"/>
          </w:tcPr>
          <w:p>
            <w:pPr>
              <w:spacing w:after="60"/>
            </w:pPr>
            <w:r>
              <w:rPr>
                <w:sz w:val="18"/>
              </w:rPr>
              <w:t>保留</w:t>
            </w:r>
          </w:p>
        </w:tc>
      </w:tr>
    </w:tbl>
    <w:p>
      <w:r>
        <w:t>五组固定同一语料、切块、Top-K=5、生成模型、提示词和评分规则。A2 的消融只关闭检索阶段的证据门槛，不关闭模型指令、引用校验或异常处理，因此结论仅适用于该门槛的增量作用。</w:t>
      </w:r>
    </w:p>
    <w:p>
      <w:r>
        <w:t>100 题中计划有 80 道可回答题、20 道不可回答题；开发集分别 16/4 道，测试集分别 64/16 道。最终比较使用固定 80 道测试题。追问上下文作为输入保存；实际计分单位是一条问题，同源条文及同义改写按组划分。</w:t>
      </w:r>
    </w:p>
    <w:p>
      <w:r>
        <w:t>Recall@5 按每题前五条检索结果覆盖的人工证据单元比例宏平均；MRR@5 为首条正确证据排名倒数的平均值。答案正确率以全部可回答题为分母，错误、空答案、误拒答和 API 失败均不计正确。引用支撑率人工检查事实断言与所引证据是否对应，同时报告引用覆盖率。拒答召回率以不可回答题为分母，误拒答率以可回答题为分母。另报错版本率、回答覆盖率、失败类型、延迟中位数和 P95，不能通过全部拒答或删除失败题获得高分。</w:t>
      </w:r>
    </w:p>
    <w:p>
      <w:r>
        <w:t>冻结后保留逐题输出及数据/配置哈希。配对比较按同源问题组估计不确定性；人工判分隐藏配置标签并保留理由。拟保留至少三个成功和三个失败案例，解释检索错误、版本问题、条件遗漏及引用不足等原因。</w:t>
      </w:r>
    </w:p>
    <w:p>
      <w:pPr>
        <w:keepNext/>
      </w:pPr>
      <w:r>
        <w:rPr>
          <w:b/>
        </w:rPr>
        <w:t>第二部分：进度计划与甘特图</w:t>
      </w:r>
    </w:p>
    <w:p>
      <w:r>
        <w:t>使用课程周，甘特图横轴逐周标注 Week X，不直接推算自然日期。春节周号尚不确定，暂以 Week 12–13 预留两周，标注待按校历确认，期间不安排项目工作；课程日志要求另行核实。当前实际课程周及考试安排也待核实。计划安排至 Week 24 共 400 小时，另外预留答辩 28 小时；工时不是已完成记录。提前完成的原型工作另记实际日期，不倒填课程周日志。</w:t>
      </w:r>
    </w:p>
    <w:tbl>
      <w:tblPr>
        <w:tblStyle w:val="TableGrid"/>
        <w:tblW w:type="auto" w:w="0"/>
        <w:tblLook w:firstColumn="1" w:firstRow="1" w:lastColumn="0" w:lastRow="0" w:noHBand="0" w:noVBand="1" w:val="04A0"/>
      </w:tblPr>
      <w:tblGrid>
        <w:gridCol w:w="3408"/>
        <w:gridCol w:w="3408"/>
        <w:gridCol w:w="3408"/>
      </w:tblGrid>
      <w:tr>
        <w:trPr>
          <w:cantSplit/>
          <w:tblHeader/>
        </w:trPr>
        <w:tc>
          <w:tcPr>
            <w:tcW w:type="dxa" w:w="3408"/>
          </w:tcPr>
          <w:p>
            <w:pPr>
              <w:spacing w:after="60"/>
            </w:pPr>
            <w:r>
              <w:rPr>
                <w:b/>
                <w:sz w:val="18"/>
              </w:rPr>
              <w:t>阶段</w:t>
            </w:r>
          </w:p>
        </w:tc>
        <w:tc>
          <w:tcPr>
            <w:tcW w:type="dxa" w:w="3408"/>
          </w:tcPr>
          <w:p>
            <w:pPr>
              <w:spacing w:after="60"/>
            </w:pPr>
            <w:r>
              <w:rPr>
                <w:b/>
                <w:sz w:val="18"/>
              </w:rPr>
              <w:t>课程周</w:t>
            </w:r>
          </w:p>
        </w:tc>
        <w:tc>
          <w:tcPr>
            <w:tcW w:type="dxa" w:w="3408"/>
          </w:tcPr>
          <w:p>
            <w:pPr>
              <w:spacing w:after="60"/>
            </w:pPr>
            <w:r>
              <w:rPr>
                <w:b/>
                <w:sz w:val="18"/>
              </w:rPr>
              <w:t>主要任务与里程碑</w:t>
            </w:r>
          </w:p>
        </w:tc>
      </w:tr>
      <w:tr>
        <w:trPr>
          <w:cantSplit/>
        </w:trPr>
        <w:tc>
          <w:tcPr>
            <w:tcW w:type="dxa" w:w="3408"/>
          </w:tcPr>
          <w:p>
            <w:pPr>
              <w:spacing w:after="60"/>
            </w:pPr>
            <w:r>
              <w:rPr>
                <w:sz w:val="18"/>
              </w:rPr>
              <w:t>开题准备</w:t>
            </w:r>
          </w:p>
        </w:tc>
        <w:tc>
          <w:tcPr>
            <w:tcW w:type="dxa" w:w="3408"/>
          </w:tcPr>
          <w:p>
            <w:pPr>
              <w:spacing w:after="60"/>
            </w:pPr>
            <w:r>
              <w:rPr>
                <w:sz w:val="18"/>
              </w:rPr>
              <w:t>Weeks 5–7</w:t>
            </w:r>
          </w:p>
        </w:tc>
        <w:tc>
          <w:tcPr>
            <w:tcW w:type="dxa" w:w="3408"/>
          </w:tcPr>
          <w:p>
            <w:pPr>
              <w:spacing w:after="60"/>
            </w:pPr>
            <w:r>
              <w:rPr>
                <w:sz w:val="18"/>
              </w:rPr>
              <w:t>需求、阅读、样本与权限核查；M1：Week 7 Proposal</w:t>
            </w:r>
          </w:p>
        </w:tc>
      </w:tr>
      <w:tr>
        <w:trPr>
          <w:cantSplit/>
        </w:trPr>
        <w:tc>
          <w:tcPr>
            <w:tcW w:type="dxa" w:w="3408"/>
          </w:tcPr>
          <w:p>
            <w:pPr>
              <w:spacing w:after="60"/>
            </w:pPr>
            <w:r>
              <w:rPr>
                <w:sz w:val="18"/>
              </w:rPr>
              <w:t>基线与语料</w:t>
            </w:r>
          </w:p>
        </w:tc>
        <w:tc>
          <w:tcPr>
            <w:tcW w:type="dxa" w:w="3408"/>
          </w:tcPr>
          <w:p>
            <w:pPr>
              <w:spacing w:after="60"/>
            </w:pPr>
            <w:r>
              <w:rPr>
                <w:sz w:val="18"/>
              </w:rPr>
              <w:t>Weeks 8–11</w:t>
            </w:r>
          </w:p>
        </w:tc>
        <w:tc>
          <w:tcPr>
            <w:tcW w:type="dxa" w:w="3408"/>
          </w:tcPr>
          <w:p>
            <w:pPr>
              <w:spacing w:after="60"/>
            </w:pPr>
            <w:r>
              <w:rPr>
                <w:sz w:val="18"/>
              </w:rPr>
              <w:t>参考基线检查、Embedding 联调、20–30 份语料；M2：Week 11</w:t>
            </w:r>
          </w:p>
        </w:tc>
      </w:tr>
      <w:tr>
        <w:trPr>
          <w:cantSplit/>
        </w:trPr>
        <w:tc>
          <w:tcPr>
            <w:tcW w:type="dxa" w:w="3408"/>
          </w:tcPr>
          <w:p>
            <w:pPr>
              <w:spacing w:after="60"/>
            </w:pPr>
            <w:r>
              <w:rPr>
                <w:sz w:val="18"/>
              </w:rPr>
              <w:t>春节休息（暂定）</w:t>
            </w:r>
          </w:p>
        </w:tc>
        <w:tc>
          <w:tcPr>
            <w:tcW w:type="dxa" w:w="3408"/>
          </w:tcPr>
          <w:p>
            <w:pPr>
              <w:spacing w:after="60"/>
            </w:pPr>
            <w:r>
              <w:rPr>
                <w:sz w:val="18"/>
              </w:rPr>
              <w:t>Week 12–13</w:t>
            </w:r>
          </w:p>
        </w:tc>
        <w:tc>
          <w:tcPr>
            <w:tcW w:type="dxa" w:w="3408"/>
          </w:tcPr>
          <w:p>
            <w:pPr>
              <w:spacing w:after="60"/>
            </w:pPr>
            <w:r>
              <w:rPr>
                <w:sz w:val="18"/>
              </w:rPr>
              <w:t>零项目工作；实际周号待校历确认</w:t>
            </w:r>
          </w:p>
        </w:tc>
      </w:tr>
      <w:tr>
        <w:trPr>
          <w:cantSplit/>
        </w:trPr>
        <w:tc>
          <w:tcPr>
            <w:tcW w:type="dxa" w:w="3408"/>
          </w:tcPr>
          <w:p>
            <w:pPr>
              <w:spacing w:after="60"/>
            </w:pPr>
            <w:r>
              <w:rPr>
                <w:sz w:val="18"/>
              </w:rPr>
              <w:t>领域改进与题集</w:t>
            </w:r>
          </w:p>
        </w:tc>
        <w:tc>
          <w:tcPr>
            <w:tcW w:type="dxa" w:w="3408"/>
          </w:tcPr>
          <w:p>
            <w:pPr>
              <w:spacing w:after="60"/>
            </w:pPr>
            <w:r>
              <w:rPr>
                <w:sz w:val="18"/>
              </w:rPr>
              <w:t>Week 14–16</w:t>
            </w:r>
          </w:p>
        </w:tc>
        <w:tc>
          <w:tcPr>
            <w:tcW w:type="dxa" w:w="3408"/>
          </w:tcPr>
          <w:p>
            <w:pPr>
              <w:spacing w:after="60"/>
            </w:pPr>
            <w:r>
              <w:rPr>
                <w:sz w:val="18"/>
              </w:rPr>
              <w:t>标注题集，完善版本和证据检查、追问集成；M3：Week 16</w:t>
            </w:r>
          </w:p>
        </w:tc>
      </w:tr>
      <w:tr>
        <w:trPr>
          <w:cantSplit/>
        </w:trPr>
        <w:tc>
          <w:tcPr>
            <w:tcW w:type="dxa" w:w="3408"/>
          </w:tcPr>
          <w:p>
            <w:pPr>
              <w:spacing w:after="60"/>
            </w:pPr>
            <w:r>
              <w:rPr>
                <w:sz w:val="18"/>
              </w:rPr>
              <w:t>冻结</w:t>
            </w:r>
          </w:p>
        </w:tc>
        <w:tc>
          <w:tcPr>
            <w:tcW w:type="dxa" w:w="3408"/>
          </w:tcPr>
          <w:p>
            <w:pPr>
              <w:spacing w:after="60"/>
            </w:pPr>
            <w:r>
              <w:rPr>
                <w:sz w:val="18"/>
              </w:rPr>
              <w:t>Week 17</w:t>
            </w:r>
          </w:p>
        </w:tc>
        <w:tc>
          <w:tcPr>
            <w:tcW w:type="dxa" w:w="3408"/>
          </w:tcPr>
          <w:p>
            <w:pPr>
              <w:spacing w:after="60"/>
            </w:pPr>
            <w:r>
              <w:rPr>
                <w:sz w:val="18"/>
              </w:rPr>
              <w:t>开发集调参，冻结语料、题集、评分细则及配置；M4</w:t>
            </w:r>
          </w:p>
        </w:tc>
      </w:tr>
      <w:tr>
        <w:trPr>
          <w:cantSplit/>
        </w:trPr>
        <w:tc>
          <w:tcPr>
            <w:tcW w:type="dxa" w:w="3408"/>
          </w:tcPr>
          <w:p>
            <w:pPr>
              <w:spacing w:after="60"/>
            </w:pPr>
            <w:r>
              <w:rPr>
                <w:sz w:val="18"/>
              </w:rPr>
              <w:t>评估与交流</w:t>
            </w:r>
          </w:p>
        </w:tc>
        <w:tc>
          <w:tcPr>
            <w:tcW w:type="dxa" w:w="3408"/>
          </w:tcPr>
          <w:p>
            <w:pPr>
              <w:spacing w:after="60"/>
            </w:pPr>
            <w:r>
              <w:rPr>
                <w:sz w:val="18"/>
              </w:rPr>
              <w:t>Week 17–20</w:t>
            </w:r>
          </w:p>
        </w:tc>
        <w:tc>
          <w:tcPr>
            <w:tcW w:type="dxa" w:w="3408"/>
          </w:tcPr>
          <w:p>
            <w:pPr>
              <w:spacing w:after="60"/>
            </w:pPr>
            <w:r>
              <w:rPr>
                <w:sz w:val="18"/>
              </w:rPr>
              <w:t>Week 17–18 准备并参加 Symposium（MS）；Week 18–20 五组实验、人工判分、案例分析；M5：Week 20 完成分析</w:t>
            </w:r>
          </w:p>
        </w:tc>
      </w:tr>
      <w:tr>
        <w:trPr>
          <w:cantSplit/>
        </w:trPr>
        <w:tc>
          <w:tcPr>
            <w:tcW w:type="dxa" w:w="3408"/>
          </w:tcPr>
          <w:p>
            <w:pPr>
              <w:spacing w:after="60"/>
            </w:pPr>
            <w:r>
              <w:rPr>
                <w:sz w:val="18"/>
              </w:rPr>
              <w:t>成果整理</w:t>
            </w:r>
          </w:p>
        </w:tc>
        <w:tc>
          <w:tcPr>
            <w:tcW w:type="dxa" w:w="3408"/>
          </w:tcPr>
          <w:p>
            <w:pPr>
              <w:spacing w:after="60"/>
            </w:pPr>
            <w:r>
              <w:rPr>
                <w:sz w:val="18"/>
              </w:rPr>
              <w:t>Week 21–22</w:t>
            </w:r>
          </w:p>
        </w:tc>
        <w:tc>
          <w:tcPr>
            <w:tcW w:type="dxa" w:w="3408"/>
          </w:tcPr>
          <w:p>
            <w:pPr>
              <w:spacing w:after="60"/>
            </w:pPr>
            <w:r>
              <w:rPr>
                <w:sz w:val="18"/>
              </w:rPr>
              <w:t>报告、学习成果证据、演示准备；M6：Week 22 报告初稿</w:t>
            </w:r>
          </w:p>
        </w:tc>
      </w:tr>
      <w:tr>
        <w:trPr>
          <w:cantSplit/>
        </w:trPr>
        <w:tc>
          <w:tcPr>
            <w:tcW w:type="dxa" w:w="3408"/>
          </w:tcPr>
          <w:p>
            <w:pPr>
              <w:spacing w:after="60"/>
            </w:pPr>
            <w:r>
              <w:rPr>
                <w:sz w:val="18"/>
              </w:rPr>
              <w:t>修订与提交</w:t>
            </w:r>
          </w:p>
        </w:tc>
        <w:tc>
          <w:tcPr>
            <w:tcW w:type="dxa" w:w="3408"/>
          </w:tcPr>
          <w:p>
            <w:pPr>
              <w:spacing w:after="60"/>
            </w:pPr>
            <w:r>
              <w:rPr>
                <w:sz w:val="18"/>
              </w:rPr>
              <w:t>Weeks 23–24</w:t>
            </w:r>
          </w:p>
        </w:tc>
        <w:tc>
          <w:tcPr>
            <w:tcW w:type="dxa" w:w="3408"/>
          </w:tcPr>
          <w:p>
            <w:pPr>
              <w:spacing w:after="60"/>
            </w:pPr>
            <w:r>
              <w:rPr>
                <w:sz w:val="18"/>
              </w:rPr>
              <w:t>修订与缓冲，检查 Portfolio 和视频；M7：Week 24 最终提交</w:t>
            </w:r>
          </w:p>
        </w:tc>
      </w:tr>
      <w:tr>
        <w:trPr>
          <w:cantSplit/>
        </w:trPr>
        <w:tc>
          <w:tcPr>
            <w:tcW w:type="dxa" w:w="3408"/>
          </w:tcPr>
          <w:p>
            <w:pPr>
              <w:spacing w:after="60"/>
            </w:pPr>
            <w:r>
              <w:rPr>
                <w:sz w:val="18"/>
              </w:rPr>
              <w:t>答辩</w:t>
            </w:r>
          </w:p>
        </w:tc>
        <w:tc>
          <w:tcPr>
            <w:tcW w:type="dxa" w:w="3408"/>
          </w:tcPr>
          <w:p>
            <w:pPr>
              <w:spacing w:after="60"/>
            </w:pPr>
            <w:r>
              <w:rPr>
                <w:sz w:val="18"/>
              </w:rPr>
              <w:t>Weeks 25–27</w:t>
            </w:r>
          </w:p>
        </w:tc>
        <w:tc>
          <w:tcPr>
            <w:tcW w:type="dxa" w:w="3408"/>
          </w:tcPr>
          <w:p>
            <w:pPr>
              <w:spacing w:after="60"/>
            </w:pPr>
            <w:r>
              <w:rPr>
                <w:sz w:val="18"/>
              </w:rPr>
              <w:t>准备方法、设计选择、实验与个人贡献的说明</w:t>
            </w:r>
          </w:p>
        </w:tc>
      </w:tr>
    </w:tbl>
    <w:p>
      <w:r>
        <w:t>甘特图见 figures/gantt.png 或 figures/gantt.pdf，任务、依赖、工时和交付物见“进度计划.csv”。关键顺序为 T03→T06→T07→T11→T12→T13→T15；集成任务 T05/T08/T09/T10 也制约 T11。菱形表示零持续时间的里程碑。</w:t>
      </w:r>
    </w:p>
    <w:p>
      <w:r>
        <w:t>Proposal 于 Week 7 周四英国时间 14:00 前提交，最终材料于 Week 24 周四英国时间 14:00 前提交。Weeks 5–24 按要求记录每周日志，考试周除外；会议后记录实际讨论与行动。准备 10 份 Review Documents，每份最多两页，包含上次会议记录、一张摘要幻灯片和日志反思摘要，通常至少在下次会议前一天通过 Teams 分享；最后一份也须在最终截止前送审并记录认可。</w:t>
      </w:r>
    </w:p>
    <w:p>
      <w:pPr>
        <w:keepNext/>
      </w:pPr>
      <w:r>
        <w:rPr>
          <w:b/>
        </w:rPr>
        <w:t>第三部分：初步资源估算</w:t>
      </w:r>
    </w:p>
    <w:tbl>
      <w:tblPr>
        <w:tblStyle w:val="TableGrid"/>
        <w:tblW w:type="auto" w:w="0"/>
        <w:tblLook w:firstColumn="1" w:firstRow="1" w:lastColumn="0" w:lastRow="0" w:noHBand="0" w:noVBand="1" w:val="04A0"/>
      </w:tblPr>
      <w:tblGrid>
        <w:gridCol w:w="3408"/>
        <w:gridCol w:w="3408"/>
        <w:gridCol w:w="3408"/>
      </w:tblGrid>
      <w:tr>
        <w:trPr>
          <w:cantSplit/>
          <w:tblHeader/>
        </w:trPr>
        <w:tc>
          <w:tcPr>
            <w:tcW w:type="dxa" w:w="3408"/>
          </w:tcPr>
          <w:p>
            <w:pPr>
              <w:spacing w:after="60"/>
            </w:pPr>
            <w:r>
              <w:rPr>
                <w:b/>
                <w:sz w:val="18"/>
              </w:rPr>
              <w:t>资源</w:t>
            </w:r>
          </w:p>
        </w:tc>
        <w:tc>
          <w:tcPr>
            <w:tcW w:type="dxa" w:w="3408"/>
          </w:tcPr>
          <w:p>
            <w:pPr>
              <w:spacing w:after="60"/>
            </w:pPr>
            <w:r>
              <w:rPr>
                <w:b/>
                <w:sz w:val="18"/>
              </w:rPr>
              <w:t>选择理由与限制</w:t>
            </w:r>
          </w:p>
        </w:tc>
        <w:tc>
          <w:tcPr>
            <w:tcW w:type="dxa" w:w="3408"/>
          </w:tcPr>
          <w:p>
            <w:pPr>
              <w:spacing w:after="60"/>
            </w:pPr>
            <w:r>
              <w:rPr>
                <w:b/>
                <w:sz w:val="18"/>
              </w:rPr>
              <w:t>费用及周期假设</w:t>
            </w:r>
          </w:p>
        </w:tc>
      </w:tr>
      <w:tr>
        <w:trPr>
          <w:cantSplit/>
        </w:trPr>
        <w:tc>
          <w:tcPr>
            <w:tcW w:type="dxa" w:w="3408"/>
          </w:tcPr>
          <w:p>
            <w:pPr>
              <w:spacing w:after="60"/>
            </w:pPr>
            <w:r>
              <w:rPr>
                <w:sz w:val="18"/>
              </w:rPr>
              <w:t>现有计算机与存储</w:t>
            </w:r>
          </w:p>
        </w:tc>
        <w:tc>
          <w:tcPr>
            <w:tcW w:type="dxa" w:w="3408"/>
          </w:tcPr>
          <w:p>
            <w:pPr>
              <w:spacing w:after="60"/>
            </w:pPr>
            <w:r>
              <w:rPr>
                <w:sz w:val="18"/>
              </w:rPr>
              <w:t>已能运行原型；CPU 负责解析和小规模索引，无需训练 GPU。正式语料仍需测内存和磁盘占用。</w:t>
            </w:r>
          </w:p>
        </w:tc>
        <w:tc>
          <w:tcPr>
            <w:tcW w:type="dxa" w:w="3408"/>
          </w:tcPr>
          <w:p>
            <w:pPr>
              <w:spacing w:after="60"/>
            </w:pPr>
            <w:r>
              <w:rPr>
                <w:sz w:val="18"/>
              </w:rPr>
              <w:t>不计划新增硬件，增量 £0。</w:t>
            </w:r>
          </w:p>
        </w:tc>
      </w:tr>
      <w:tr>
        <w:trPr>
          <w:cantSplit/>
        </w:trPr>
        <w:tc>
          <w:tcPr>
            <w:tcW w:type="dxa" w:w="3408"/>
          </w:tcPr>
          <w:p>
            <w:pPr>
              <w:spacing w:after="60"/>
            </w:pPr>
            <w:r>
              <w:rPr>
                <w:sz w:val="18"/>
              </w:rPr>
              <w:t>Python、PyMuPDF、python-docx、NumPy、SQLite、Streamlit</w:t>
            </w:r>
          </w:p>
        </w:tc>
        <w:tc>
          <w:tcPr>
            <w:tcW w:type="dxa" w:w="3408"/>
          </w:tcPr>
          <w:p>
            <w:pPr>
              <w:spacing w:after="60"/>
            </w:pPr>
            <w:r>
              <w:rPr>
                <w:sz w:val="18"/>
              </w:rPr>
              <w:t>便于检查解析、评分及持久化，当前小库不需要大型向量数据库；复杂排版需人工抽查，发布前检查许可证。</w:t>
            </w:r>
          </w:p>
        </w:tc>
        <w:tc>
          <w:tcPr>
            <w:tcW w:type="dxa" w:w="3408"/>
          </w:tcPr>
          <w:p>
            <w:pPr>
              <w:spacing w:after="60"/>
            </w:pPr>
            <w:r>
              <w:rPr>
                <w:sz w:val="18"/>
              </w:rPr>
              <w:t>不计划购买软件；环境已建立。</w:t>
            </w:r>
          </w:p>
        </w:tc>
      </w:tr>
      <w:tr>
        <w:trPr>
          <w:cantSplit/>
        </w:trPr>
        <w:tc>
          <w:tcPr>
            <w:tcW w:type="dxa" w:w="3408"/>
          </w:tcPr>
          <w:p>
            <w:pPr>
              <w:spacing w:after="60"/>
            </w:pPr>
            <w:r>
              <w:rPr>
                <w:sz w:val="18"/>
              </w:rPr>
              <w:t>DeepSeek 与独立 Embedding 服务</w:t>
            </w:r>
          </w:p>
        </w:tc>
        <w:tc>
          <w:tcPr>
            <w:tcW w:type="dxa" w:w="3408"/>
          </w:tcPr>
          <w:p>
            <w:pPr>
              <w:spacing w:after="60"/>
            </w:pPr>
            <w:r>
              <w:rPr>
                <w:sz w:val="18"/>
              </w:rPr>
              <w:t>问答接口已验证，向量服务待配置。记录模型标识和可用性；模型服务可能变化。</w:t>
            </w:r>
          </w:p>
        </w:tc>
        <w:tc>
          <w:tcPr>
            <w:tcW w:type="dxa" w:w="3408"/>
          </w:tcPr>
          <w:p>
            <w:pPr>
              <w:spacing w:after="60"/>
            </w:pPr>
            <w:r>
              <w:rPr>
                <w:sz w:val="18"/>
              </w:rPr>
              <w:t>合计拟议上限 £50，向量接入预留一周；非报价、非获批经费。</w:t>
            </w:r>
          </w:p>
        </w:tc>
      </w:tr>
      <w:tr>
        <w:trPr>
          <w:cantSplit/>
        </w:trPr>
        <w:tc>
          <w:tcPr>
            <w:tcW w:type="dxa" w:w="3408"/>
          </w:tcPr>
          <w:p>
            <w:pPr>
              <w:spacing w:after="60"/>
            </w:pPr>
            <w:r>
              <w:rPr>
                <w:sz w:val="18"/>
              </w:rPr>
              <w:t>规范及文献</w:t>
            </w:r>
          </w:p>
        </w:tc>
        <w:tc>
          <w:tcPr>
            <w:tcW w:type="dxa" w:w="3408"/>
          </w:tcPr>
          <w:p>
            <w:pPr>
              <w:spacing w:after="60"/>
            </w:pPr>
            <w:r>
              <w:rPr>
                <w:sz w:val="18"/>
              </w:rPr>
              <w:t>从本地候选中筛选 20–30 份可用资料，结合六篇方法论文；权限不明或不可解析的文件需替换。</w:t>
            </w:r>
          </w:p>
        </w:tc>
        <w:tc>
          <w:tcPr>
            <w:tcW w:type="dxa" w:w="3408"/>
          </w:tcPr>
          <w:p>
            <w:pPr>
              <w:spacing w:after="60"/>
            </w:pPr>
            <w:r>
              <w:rPr>
                <w:sz w:val="18"/>
              </w:rPr>
              <w:t>暂不计划采购资料；Weeks 8–11 整理，T07 预留 28 小时标注与复核。</w:t>
            </w:r>
          </w:p>
        </w:tc>
      </w:tr>
      <w:tr>
        <w:trPr>
          <w:cantSplit/>
        </w:trPr>
        <w:tc>
          <w:tcPr>
            <w:tcW w:type="dxa" w:w="3408"/>
          </w:tcPr>
          <w:p>
            <w:pPr>
              <w:spacing w:after="60"/>
            </w:pPr>
            <w:r>
              <w:rPr>
                <w:sz w:val="18"/>
              </w:rPr>
              <w:t>Git 与独立备份</w:t>
            </w:r>
          </w:p>
        </w:tc>
        <w:tc>
          <w:tcPr>
            <w:tcW w:type="dxa" w:w="3408"/>
          </w:tcPr>
          <w:p>
            <w:pPr>
              <w:spacing w:after="60"/>
            </w:pPr>
            <w:r>
              <w:rPr>
                <w:sz w:val="18"/>
              </w:rPr>
              <w:t>Git 已建立；还需在适当的独立存储中备份，不能把本机 Git 当作唯一备份。</w:t>
            </w:r>
          </w:p>
        </w:tc>
        <w:tc>
          <w:tcPr>
            <w:tcW w:type="dxa" w:w="3408"/>
          </w:tcPr>
          <w:p>
            <w:pPr>
              <w:spacing w:after="60"/>
            </w:pPr>
            <w:r>
              <w:rPr>
                <w:sz w:val="18"/>
              </w:rPr>
              <w:t>现有存储足够时增量 £0。</w:t>
            </w:r>
          </w:p>
        </w:tc>
      </w:tr>
    </w:tbl>
    <w:p>
      <w:r>
        <w:t>成本规划按最多 100 题×5 配置＝500 次生成的一轮工作量，加上拟议 100 次开发/恢复余量；固定测试比较本身为 80×5＝400 次运行。向量费用包括一次语料向量化和适用的查询向量，缓存未改变的结果。以实际试运行用量及供应商计费单位估算，不把中文字数直接等同 token。</w:t>
      </w:r>
    </w:p>
    <w:p>
      <w:r>
        <w:t>暂按生成 £35、向量 £10、预备 £5 分配；这是预算规划，不是已发生账单。此前已有少量在线调用，累计支出须查账户账单。达到上限的 80% 时复核计划，优先保留固定测试集及五组比较，压缩可选重复运行。学校经费支付渠道另行核实，不假设自行充值可报销。</w:t>
      </w:r>
    </w:p>
    <w:p>
      <w:r>
        <w:t>设施需求：实验室固定工位、机械车间、电子车间、特殊电子元件采购均为 No；目前不预计需要特殊 IT 支持。若增加硬件范围，再按学校采购和制造流程及交期安排。</w:t>
      </w:r>
    </w:p>
    <w:p>
      <w:pPr>
        <w:keepNext/>
      </w:pPr>
      <w:r>
        <w:rPr>
          <w:b/>
        </w:rPr>
        <w:t>第四部分：职业实践、风险与合规</w:t>
      </w:r>
    </w:p>
    <w:p>
      <w:pPr>
        <w:keepNext/>
      </w:pPr>
      <w:r>
        <w:rPr>
          <w:b/>
        </w:rPr>
        <w:t>社会影响、包容性与环境</w:t>
      </w:r>
    </w:p>
    <w:p>
      <w:r>
        <w:t>预期用途是帮助查找和核对规范原文。错误版本、数字错误及条件遗漏是主要不利影响，因此展示证据和版本、明确证据不足，并保留人工核查入口。不宣称已经提升生产效率或降低真实工程事故。</w:t>
      </w:r>
    </w:p>
    <w:p>
      <w:r>
        <w:t>界面采用清晰中文标签、可复制原文、键盘可操作控件，以及不只依靠颜色的状态提示。题集覆盖专业术语和普通表达。首轮研究不声称已覆盖英文问答或达到所有无障碍要求。</w:t>
      </w:r>
    </w:p>
    <w:p>
      <w:r>
        <w:t>复用现有硬件、不训练大模型、缓存向量、限制无必要的重复请求。记录调用量和 token 作为资源消耗线索，不在没有测量方法时换算碳减排。保留配置与文档，降低维护和重复建库成本。</w:t>
      </w:r>
    </w:p>
    <w:p>
      <w:pPr>
        <w:keepNext/>
      </w:pPr>
      <w:r>
        <w:rPr>
          <w:b/>
        </w:rPr>
        <w:t>伦理与工作归属</w:t>
      </w:r>
    </w:p>
    <w:p>
      <w:r>
        <w:t>计划使用技术文档和研究者编写的问题，不招募参与者、不开展个人数据研究。外传前检查资料来源、保密性、许可与服务保留条件；界面勾选只是记录使用决定，不能代替合法使用依据。本阶段不外传工程图纸。</w:t>
      </w:r>
    </w:p>
    <w:p>
      <w:r>
        <w:t>明确标注参考代码、论文和 AI 辅助，保留开发过程记录。生成内容不能未经核验当作标准答案，不将计划或目标写成既成结果。允许使用何种辅助方式，以适用的课程 assessment brief 为准。</w:t>
      </w:r>
    </w:p>
    <w:p>
      <w:r>
        <w:t>学校的两个伦理选项保持未勾选，由学生与导师确认适用项；若未来增加参与者或个人数据，须在开展相应工作前确定审查要求。</w:t>
      </w:r>
    </w:p>
    <w:p>
      <w:pPr>
        <w:keepNext/>
      </w:pPr>
      <w:r>
        <w:rPr>
          <w:b/>
        </w:rPr>
        <w:t>风险登记</w:t>
      </w:r>
    </w:p>
    <w:p>
      <w:r>
        <w:t>L/M/H 分别表示低/中/高。以下为初始估计，责任人为学生；每次导师会议更新触发情况、行动与剩余风险。</w:t>
      </w:r>
    </w:p>
    <w:tbl>
      <w:tblPr>
        <w:tblStyle w:val="TableGrid"/>
        <w:tblW w:type="auto" w:w="0"/>
        <w:tblLook w:firstColumn="1" w:firstRow="1" w:lastColumn="0" w:lastRow="0" w:noHBand="0" w:noVBand="1" w:val="04A0"/>
      </w:tblPr>
      <w:tblGrid>
        <w:gridCol w:w="3408"/>
        <w:gridCol w:w="3408"/>
        <w:gridCol w:w="3408"/>
      </w:tblGrid>
      <w:tr>
        <w:trPr>
          <w:cantSplit/>
          <w:tblHeader/>
        </w:trPr>
        <w:tc>
          <w:tcPr>
            <w:tcW w:type="dxa" w:w="3408"/>
          </w:tcPr>
          <w:p>
            <w:pPr>
              <w:spacing w:after="60"/>
            </w:pPr>
            <w:r>
              <w:rPr>
                <w:b/>
                <w:sz w:val="18"/>
              </w:rPr>
              <w:t>风险</w:t>
            </w:r>
          </w:p>
        </w:tc>
        <w:tc>
          <w:tcPr>
            <w:tcW w:type="dxa" w:w="3408"/>
          </w:tcPr>
          <w:p>
            <w:pPr>
              <w:spacing w:after="60"/>
            </w:pPr>
            <w:r>
              <w:rPr>
                <w:b/>
                <w:sz w:val="18"/>
              </w:rPr>
              <w:t>可能性/影响</w:t>
            </w:r>
          </w:p>
        </w:tc>
        <w:tc>
          <w:tcPr>
            <w:tcW w:type="dxa" w:w="3408"/>
          </w:tcPr>
          <w:p>
            <w:pPr>
              <w:spacing w:after="60"/>
            </w:pPr>
            <w:r>
              <w:rPr>
                <w:b/>
                <w:sz w:val="18"/>
              </w:rPr>
              <w:t>应对与进度联系</w:t>
            </w:r>
          </w:p>
        </w:tc>
      </w:tr>
      <w:tr>
        <w:trPr>
          <w:cantSplit/>
        </w:trPr>
        <w:tc>
          <w:tcPr>
            <w:tcW w:type="dxa" w:w="3408"/>
          </w:tcPr>
          <w:p>
            <w:pPr>
              <w:spacing w:after="60"/>
            </w:pPr>
            <w:r>
              <w:rPr>
                <w:sz w:val="18"/>
              </w:rPr>
              <w:t>R1 文档解析失败</w:t>
            </w:r>
          </w:p>
        </w:tc>
        <w:tc>
          <w:tcPr>
            <w:tcW w:type="dxa" w:w="3408"/>
          </w:tcPr>
          <w:p>
            <w:pPr>
              <w:spacing w:after="60"/>
            </w:pPr>
            <w:r>
              <w:rPr>
                <w:sz w:val="18"/>
              </w:rPr>
              <w:t>高/高</w:t>
            </w:r>
          </w:p>
        </w:tc>
        <w:tc>
          <w:tcPr>
            <w:tcW w:type="dxa" w:w="3408"/>
          </w:tcPr>
          <w:p>
            <w:pPr>
              <w:spacing w:after="60"/>
            </w:pPr>
            <w:r>
              <w:rPr>
                <w:sz w:val="18"/>
              </w:rPr>
              <w:t>抽检扫描页、表格及单位；登记排除原因并替换资料；T03/T06，在 M2 前处理。</w:t>
            </w:r>
          </w:p>
        </w:tc>
      </w:tr>
      <w:tr>
        <w:trPr>
          <w:cantSplit/>
        </w:trPr>
        <w:tc>
          <w:tcPr>
            <w:tcW w:type="dxa" w:w="3408"/>
          </w:tcPr>
          <w:p>
            <w:pPr>
              <w:spacing w:after="60"/>
            </w:pPr>
            <w:r>
              <w:rPr>
                <w:sz w:val="18"/>
              </w:rPr>
              <w:t>R2 版本或重复判断错误</w:t>
            </w:r>
          </w:p>
        </w:tc>
        <w:tc>
          <w:tcPr>
            <w:tcW w:type="dxa" w:w="3408"/>
          </w:tcPr>
          <w:p>
            <w:pPr>
              <w:spacing w:after="60"/>
            </w:pPr>
            <w:r>
              <w:rPr>
                <w:sz w:val="18"/>
              </w:rPr>
              <w:t>高/高</w:t>
            </w:r>
          </w:p>
        </w:tc>
        <w:tc>
          <w:tcPr>
            <w:tcW w:type="dxa" w:w="3408"/>
          </w:tcPr>
          <w:p>
            <w:pPr>
              <w:spacing w:after="60"/>
            </w:pPr>
            <w:r>
              <w:rPr>
                <w:sz w:val="18"/>
              </w:rPr>
              <w:t>对照文档页面和哈希核验元数据；保留年份并测试缺失版本；T06/T08，在 M3 前处理。</w:t>
            </w:r>
          </w:p>
        </w:tc>
      </w:tr>
      <w:tr>
        <w:trPr>
          <w:cantSplit/>
        </w:trPr>
        <w:tc>
          <w:tcPr>
            <w:tcW w:type="dxa" w:w="3408"/>
          </w:tcPr>
          <w:p>
            <w:pPr>
              <w:spacing w:after="60"/>
            </w:pPr>
            <w:r>
              <w:rPr>
                <w:sz w:val="18"/>
              </w:rPr>
              <w:t>R3 无依据或条件遗漏</w:t>
            </w:r>
          </w:p>
        </w:tc>
        <w:tc>
          <w:tcPr>
            <w:tcW w:type="dxa" w:w="3408"/>
          </w:tcPr>
          <w:p>
            <w:pPr>
              <w:spacing w:after="60"/>
            </w:pPr>
            <w:r>
              <w:rPr>
                <w:sz w:val="18"/>
              </w:rPr>
              <w:t>中/高</w:t>
            </w:r>
          </w:p>
        </w:tc>
        <w:tc>
          <w:tcPr>
            <w:tcW w:type="dxa" w:w="3408"/>
          </w:tcPr>
          <w:p>
            <w:pPr>
              <w:spacing w:after="60"/>
            </w:pPr>
            <w:r>
              <w:rPr>
                <w:sz w:val="18"/>
              </w:rPr>
              <w:t>证据门槛、摘录校验、人工语义判分，同时记录误拒答；T09/T12。</w:t>
            </w:r>
          </w:p>
        </w:tc>
      </w:tr>
      <w:tr>
        <w:trPr>
          <w:cantSplit/>
        </w:trPr>
        <w:tc>
          <w:tcPr>
            <w:tcW w:type="dxa" w:w="3408"/>
          </w:tcPr>
          <w:p>
            <w:pPr>
              <w:spacing w:after="60"/>
            </w:pPr>
            <w:r>
              <w:rPr>
                <w:sz w:val="18"/>
              </w:rPr>
              <w:t>R4 API、成本、模型变化</w:t>
            </w:r>
          </w:p>
        </w:tc>
        <w:tc>
          <w:tcPr>
            <w:tcW w:type="dxa" w:w="3408"/>
          </w:tcPr>
          <w:p>
            <w:pPr>
              <w:spacing w:after="60"/>
            </w:pPr>
            <w:r>
              <w:rPr>
                <w:sz w:val="18"/>
              </w:rPr>
              <w:t>中/高</w:t>
            </w:r>
          </w:p>
        </w:tc>
        <w:tc>
          <w:tcPr>
            <w:tcW w:type="dxa" w:w="3408"/>
          </w:tcPr>
          <w:p>
            <w:pPr>
              <w:spacing w:after="60"/>
            </w:pPr>
            <w:r>
              <w:rPr>
                <w:sz w:val="18"/>
              </w:rPr>
              <w:t>早期联调、缓存、记录失败和模型标识；达到预算 80% 复核；T05 验证向量，T10 留集成缓冲。</w:t>
            </w:r>
          </w:p>
        </w:tc>
      </w:tr>
      <w:tr>
        <w:trPr>
          <w:cantSplit/>
        </w:trPr>
        <w:tc>
          <w:tcPr>
            <w:tcW w:type="dxa" w:w="3408"/>
          </w:tcPr>
          <w:p>
            <w:pPr>
              <w:spacing w:after="60"/>
            </w:pPr>
            <w:r>
              <w:rPr>
                <w:sz w:val="18"/>
              </w:rPr>
              <w:t>R5 标注错误或测试泄漏</w:t>
            </w:r>
          </w:p>
        </w:tc>
        <w:tc>
          <w:tcPr>
            <w:tcW w:type="dxa" w:w="3408"/>
          </w:tcPr>
          <w:p>
            <w:pPr>
              <w:spacing w:after="60"/>
            </w:pPr>
            <w:r>
              <w:rPr>
                <w:sz w:val="18"/>
              </w:rPr>
              <w:t>中/高</w:t>
            </w:r>
          </w:p>
        </w:tc>
        <w:tc>
          <w:tcPr>
            <w:tcW w:type="dxa" w:w="3408"/>
          </w:tcPr>
          <w:p>
            <w:pPr>
              <w:spacing w:after="60"/>
            </w:pPr>
            <w:r>
              <w:rPr>
                <w:sz w:val="18"/>
              </w:rPr>
              <w:t>分组划分、另次复核、冻结后不调参，判分隐藏配置；T07/T11/T12。</w:t>
            </w:r>
          </w:p>
        </w:tc>
      </w:tr>
      <w:tr>
        <w:trPr>
          <w:cantSplit/>
        </w:trPr>
        <w:tc>
          <w:tcPr>
            <w:tcW w:type="dxa" w:w="3408"/>
          </w:tcPr>
          <w:p>
            <w:pPr>
              <w:spacing w:after="60"/>
            </w:pPr>
            <w:r>
              <w:rPr>
                <w:sz w:val="18"/>
              </w:rPr>
              <w:t>R6 资料外传权限不明</w:t>
            </w:r>
          </w:p>
        </w:tc>
        <w:tc>
          <w:tcPr>
            <w:tcW w:type="dxa" w:w="3408"/>
          </w:tcPr>
          <w:p>
            <w:pPr>
              <w:spacing w:after="60"/>
            </w:pPr>
            <w:r>
              <w:rPr>
                <w:sz w:val="18"/>
              </w:rPr>
              <w:t>中/高</w:t>
            </w:r>
          </w:p>
        </w:tc>
        <w:tc>
          <w:tcPr>
            <w:tcW w:type="dxa" w:w="3408"/>
          </w:tcPr>
          <w:p>
            <w:pPr>
              <w:spacing w:after="60"/>
            </w:pPr>
            <w:r>
              <w:rPr>
                <w:sz w:val="18"/>
              </w:rPr>
              <w:t>本地保留，选择有授权的替代资料；T03/T06，语料冻结前解决。</w:t>
            </w:r>
          </w:p>
        </w:tc>
      </w:tr>
      <w:tr>
        <w:trPr>
          <w:cantSplit/>
        </w:trPr>
        <w:tc>
          <w:tcPr>
            <w:tcW w:type="dxa" w:w="3408"/>
          </w:tcPr>
          <w:p>
            <w:pPr>
              <w:spacing w:after="60"/>
            </w:pPr>
            <w:r>
              <w:rPr>
                <w:sz w:val="18"/>
              </w:rPr>
              <w:t>R7 延误或范围扩大</w:t>
            </w:r>
          </w:p>
        </w:tc>
        <w:tc>
          <w:tcPr>
            <w:tcW w:type="dxa" w:w="3408"/>
          </w:tcPr>
          <w:p>
            <w:pPr>
              <w:spacing w:after="60"/>
            </w:pPr>
            <w:r>
              <w:rPr>
                <w:sz w:val="18"/>
              </w:rPr>
              <w:t>中/高</w:t>
            </w:r>
          </w:p>
        </w:tc>
        <w:tc>
          <w:tcPr>
            <w:tcW w:type="dxa" w:w="3408"/>
          </w:tcPr>
          <w:p>
            <w:pPr>
              <w:spacing w:after="60"/>
            </w:pPr>
            <w:r>
              <w:rPr>
                <w:sz w:val="18"/>
              </w:rPr>
              <w:t>保留五组实验，推迟 OCR/图纸功能；保护暂定 Week 12–13 假期，Week 23–24 留缓冲，保证 Symposium 出席；T11–T15。</w:t>
            </w:r>
          </w:p>
        </w:tc>
      </w:tr>
      <w:tr>
        <w:trPr>
          <w:cantSplit/>
        </w:trPr>
        <w:tc>
          <w:tcPr>
            <w:tcW w:type="dxa" w:w="3408"/>
          </w:tcPr>
          <w:p>
            <w:pPr>
              <w:spacing w:after="60"/>
            </w:pPr>
            <w:r>
              <w:rPr>
                <w:sz w:val="18"/>
              </w:rPr>
              <w:t>R8 文件丢失</w:t>
            </w:r>
          </w:p>
        </w:tc>
        <w:tc>
          <w:tcPr>
            <w:tcW w:type="dxa" w:w="3408"/>
          </w:tcPr>
          <w:p>
            <w:pPr>
              <w:spacing w:after="60"/>
            </w:pPr>
            <w:r>
              <w:rPr>
                <w:sz w:val="18"/>
              </w:rPr>
              <w:t>低/高</w:t>
            </w:r>
          </w:p>
        </w:tc>
        <w:tc>
          <w:tcPr>
            <w:tcW w:type="dxa" w:w="3408"/>
          </w:tcPr>
          <w:p>
            <w:pPr>
              <w:spacing w:after="60"/>
            </w:pPr>
            <w:r>
              <w:rPr>
                <w:sz w:val="18"/>
              </w:rPr>
              <w:t>版本控制与独立备份，验证恢复；T16，贯穿全过程。</w:t>
            </w:r>
          </w:p>
        </w:tc>
      </w:tr>
    </w:tbl>
    <w:p>
      <w:r>
        <w:t>若必须更换模型服务，相关比较需采用同一替代配置重新运行，不能混用不同模型的有利输出。离线检索演示是接口故障时的备用方案，不算在线问答或混合检索验证成功。</w:t>
      </w:r>
    </w:p>
    <w:p>
      <w:pPr>
        <w:keepNext/>
      </w:pPr>
      <w:r>
        <w:rPr>
          <w:b/>
        </w:rPr>
        <w:t>信息安全</w:t>
      </w:r>
    </w:p>
    <w:p>
      <w:r>
        <w:t>保护密钥、资料和评测标签。密钥放入被 Git 忽略的本机环境文件，不写入导出；泄漏后更换。服务绑定 localhost。文档内容视为不可信证据，不能覆盖系统规则或执行工具。限制上传格式和大小、隔离解析异常、核对引用。测试集和配置版本化，日志只保留必要内容，受限资料备份到获准存储。</w:t>
      </w:r>
    </w:p>
    <w:p>
      <w:pPr>
        <w:keepNext/>
      </w:pPr>
      <w:r>
        <w:rPr>
          <w:b/>
        </w:rPr>
        <w:t>安全与真实声明</w:t>
      </w:r>
    </w:p>
    <w:p>
      <w:r>
        <w:t>无需特殊实验室。本课题是桌面软件与资料分析，不涉及带电铁路、高压实验、车间制造或现场作业。遵守工作站人体工学与普通计算机用电安全要求。</w:t>
      </w:r>
    </w:p>
    <w:p>
      <w:r>
        <w:t>现有风险评估是否覆盖、是否需要新增评估：待与导师确认。安全培训实际参加情况、学生签名及日期：待本人填写。导师认可日期及方式：待真实审阅后记录。本稿不代签、不预设伦理结论、不声明已经获得认可。</w:t>
      </w:r>
    </w:p>
    <w:p>
      <w:pPr>
        <w:keepNext/>
      </w:pPr>
      <w:r>
        <w:rPr>
          <w:b/>
        </w:rPr>
        <w:t>参考文献</w:t>
      </w:r>
    </w:p>
    <w:p>
      <w:r>
        <w:t>与英文 Proposal 对应，共六篇；书目信息及原始出版链接见英文稿，阅读状态见“05_文献核验与阅读计划.md”。</w:t>
      </w:r>
    </w:p>
    <w:p>
      <w:r>
        <w:t xml:space="preserve">[1] P. Lewis et al., “Retrieval-Augmented Generation for Knowledge-Intensive NLP Tasks,” Advances in Neural Information Processing Systems, vol. 33, 2020. </w:t>
      </w:r>
      <w:hyperlink r:id="rId9">
        <w:r>
          <w:rPr>
            <w:rStyle w:val="Hyperlink"/>
          </w:rPr>
          <w:t>出版记录</w:t>
        </w:r>
      </w:hyperlink>
      <w:r>
        <w:t>.</w:t>
      </w:r>
    </w:p>
    <w:p>
      <w:r>
        <w:t xml:space="preserve">[2] S. Robertson and H. Zaragoza, “The Probabilistic Relevance Framework: BM25 and Beyond,” Foundations and Trends in Information Retrieval, vol. 3, no. 4, pp. 333–389, 2009, doi: 10.1561/1500000019. </w:t>
      </w:r>
      <w:hyperlink r:id="rId10">
        <w:r>
          <w:rPr>
            <w:rStyle w:val="Hyperlink"/>
          </w:rPr>
          <w:t>出版全文</w:t>
        </w:r>
      </w:hyperlink>
      <w:r>
        <w:t>.</w:t>
      </w:r>
    </w:p>
    <w:p>
      <w:r>
        <w:t xml:space="preserve">[3] V. Karpukhin et al., “Dense Passage Retrieval for Open-Domain Question Answering,” EMNLP, pp. 6769–6781, 2020, doi: 10.18653/v1/2020.emnlp-main.550. </w:t>
      </w:r>
      <w:hyperlink r:id="rId11">
        <w:r>
          <w:rPr>
            <w:rStyle w:val="Hyperlink"/>
          </w:rPr>
          <w:t>出版记录</w:t>
        </w:r>
      </w:hyperlink>
      <w:r>
        <w:t>.</w:t>
      </w:r>
    </w:p>
    <w:p>
      <w:r>
        <w:t xml:space="preserve">[4] X. Ma et al., “Query Rewriting in Retrieval-Augmented Large Language Models,” EMNLP, pp. 5303–5315, 2023, doi: 10.18653/v1/2023.emnlp-main.322. </w:t>
      </w:r>
      <w:hyperlink r:id="rId12">
        <w:r>
          <w:rPr>
            <w:rStyle w:val="Hyperlink"/>
          </w:rPr>
          <w:t>出版记录</w:t>
        </w:r>
      </w:hyperlink>
      <w:r>
        <w:t>.</w:t>
      </w:r>
    </w:p>
    <w:p>
      <w:r>
        <w:t xml:space="preserve">[5] F. Shi et al., “Large Language Models Can Be Easily Distracted by Irrelevant Context,” ICML, PMLR, vol. 202, pp. 31210–31227, 2023. </w:t>
      </w:r>
      <w:hyperlink r:id="rId13">
        <w:r>
          <w:rPr>
            <w:rStyle w:val="Hyperlink"/>
          </w:rPr>
          <w:t>出版记录</w:t>
        </w:r>
      </w:hyperlink>
      <w:r>
        <w:t>.</w:t>
      </w:r>
    </w:p>
    <w:p>
      <w:r>
        <w:t xml:space="preserve">[6] S. Es et al., “RAGAs: Automated Evaluation of Retrieval Augmented Generation,” EACL: System Demonstrations, pp. 150–158, 2024, doi: 10.18653/v1/2024.eacl-demo.16. </w:t>
      </w:r>
      <w:hyperlink r:id="rId14">
        <w:r>
          <w:rPr>
            <w:rStyle w:val="Hyperlink"/>
          </w:rPr>
          <w:t>出版记录</w:t>
        </w:r>
      </w:hyperlink>
      <w:r>
        <w: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apers.nips.cc/paper/2020/hash/6b493230205f780e1bc26945df7481e5-Abstract.html" TargetMode="External"/><Relationship Id="rId10" Type="http://schemas.openxmlformats.org/officeDocument/2006/relationships/hyperlink" Target="https://www.nowpublishers.com/article/DownloadEBook/INR-019" TargetMode="External"/><Relationship Id="rId11" Type="http://schemas.openxmlformats.org/officeDocument/2006/relationships/hyperlink" Target="https://aclanthology.org/2020.emnlp-main.550/" TargetMode="External"/><Relationship Id="rId12" Type="http://schemas.openxmlformats.org/officeDocument/2006/relationships/hyperlink" Target="https://aclanthology.org/2023.emnlp-main.322/" TargetMode="External"/><Relationship Id="rId13" Type="http://schemas.openxmlformats.org/officeDocument/2006/relationships/hyperlink" Target="https://proceedings.mlr.press/v202/shi23a.html" TargetMode="External"/><Relationship Id="rId14" Type="http://schemas.openxmlformats.org/officeDocument/2006/relationships/hyperlink" Target="https://aclanthology.org/2024.eacl-demo.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基于大模型的接触网领域智能问答系统研究：开题报告中文对照</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