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SUPERVISOR REVIEW VERSION — 13 October 2026 — Personal declarations pending</w:t>
      </w:r>
    </w:p>
    <w:p w14:paraId="3E4C9FF4" w14:textId="77777777" w:rsidR="003D43FD" w:rsidRDefault="00000000">
      <w:pPr>
        <w:rPr>
          <w:rFonts w:ascii="Trebuchet MS" w:eastAsia="Trebuchet MS" w:hAnsi="Trebuchet MS" w:cs="Trebuchet MS"/>
          <w:b/>
          <w:bCs/>
          <w:sz w:val="32"/>
          <w:szCs w:val="32"/>
        </w:rPr>
      </w:pPr>
      <w:r>
        <w:rPr>
          <w:rFonts w:ascii="Arial" w:eastAsia="Arial" w:hAnsi="Arial" w:cs="Arial"/>
          <w:b/>
          <w:bCs/>
          <w:sz w:val="28"/>
          <w:szCs w:val="28"/>
        </w:rPr>
        <w:t>ELEC3801   Individual Engineering</w:t>
      </w:r>
      <w:r>
        <w:rPr>
          <w:rFonts w:ascii="Arial" w:eastAsia="Arial" w:hAnsi="Arial" w:cs="Arial"/>
          <w:b/>
          <w:bCs/>
          <w:color w:val="000000"/>
          <w:sz w:val="28"/>
          <w:szCs w:val="28"/>
        </w:rPr>
        <w:t xml:space="preserve"> Project</w:t>
      </w:r>
    </w:p>
    <w:p w14:paraId="1CA12278" w14:textId="77777777" w:rsidR="003D43FD" w:rsidRDefault="003D43FD">
      <w:pPr>
        <w:rPr>
          <w:rFonts w:ascii="Arial" w:eastAsia="Arial" w:hAnsi="Arial" w:cs="Arial"/>
          <w:sz w:val="48"/>
          <w:szCs w:val="48"/>
        </w:rPr>
      </w:pPr>
    </w:p>
    <w:p w14:paraId="6CB40C5D" w14:textId="77777777" w:rsidR="003D43FD" w:rsidRDefault="003D43FD">
      <w:pPr>
        <w:rPr>
          <w:rFonts w:ascii="Arial" w:eastAsia="Arial" w:hAnsi="Arial" w:cs="Arial"/>
          <w:sz w:val="48"/>
          <w:szCs w:val="48"/>
        </w:rPr>
      </w:pPr>
    </w:p>
    <w:p w14:paraId="524B4385" w14:textId="77777777" w:rsidR="003D43FD" w:rsidRDefault="003D43FD">
      <w:pPr>
        <w:rPr>
          <w:rFonts w:ascii="Arial" w:eastAsia="Arial" w:hAnsi="Arial" w:cs="Arial"/>
          <w:sz w:val="48"/>
          <w:szCs w:val="48"/>
        </w:rPr>
      </w:pPr>
    </w:p>
    <w:p w14:paraId="2C6A2959" w14:textId="77777777" w:rsidR="003D43FD" w:rsidRDefault="00000000">
      <w:pPr>
        <w:jc w:val="center"/>
        <w:rPr>
          <w:rFonts w:ascii="Trebuchet MS" w:eastAsia="Trebuchet MS" w:hAnsi="Trebuchet MS" w:cs="Trebuchet MS"/>
          <w:color w:val="008000"/>
          <w:sz w:val="20"/>
          <w:szCs w:val="20"/>
        </w:rPr>
      </w:pPr>
      <w:r>
        <w:rPr>
          <w:rFonts w:ascii="Arial" w:eastAsia="Arial" w:hAnsi="Arial" w:cs="Arial"/>
          <w:sz w:val="48"/>
          <w:szCs w:val="48"/>
        </w:rPr>
        <w:t>Project Proposal Form</w:t>
      </w:r>
    </w:p>
    <w:p w14:paraId="7FC1019C" w14:textId="77777777" w:rsidR="003D43FD" w:rsidRDefault="003D43FD">
      <w:pPr>
        <w:jc w:val="center"/>
        <w:rPr>
          <w:rFonts w:ascii="Arial" w:eastAsia="Arial" w:hAnsi="Arial" w:cs="Arial"/>
          <w:sz w:val="48"/>
          <w:szCs w:val="48"/>
        </w:rPr>
      </w:pPr>
    </w:p>
    <w:p w14:paraId="2A67CC69" w14:textId="77777777" w:rsidR="003D43FD" w:rsidRDefault="00000000">
      <w:pPr>
        <w:jc w:val="center"/>
        <w:rPr>
          <w:rFonts w:ascii="Arial" w:eastAsia="Arial" w:hAnsi="Arial" w:cs="Arial"/>
          <w:sz w:val="20"/>
          <w:szCs w:val="20"/>
        </w:rPr>
      </w:pPr>
      <w:r>
        <w:rPr>
          <w:rFonts w:ascii="Arial" w:eastAsia="Arial" w:hAnsi="Arial" w:cs="Arial"/>
          <w:sz w:val="48"/>
          <w:szCs w:val="48"/>
        </w:rPr>
        <w:t>2</w:t>
      </w:r>
      <w:r>
        <w:rPr>
          <w:rFonts w:ascii="Arial" w:eastAsia="Arial" w:hAnsi="Arial" w:cs="Arial"/>
          <w:color w:val="000000"/>
          <w:sz w:val="48"/>
          <w:szCs w:val="48"/>
        </w:rPr>
        <w:t>02</w:t>
      </w:r>
      <w:r>
        <w:rPr>
          <w:rFonts w:ascii="Arial" w:eastAsia="Arial" w:hAnsi="Arial" w:cs="Arial"/>
          <w:sz w:val="48"/>
          <w:szCs w:val="48"/>
        </w:rPr>
        <w:t>6</w:t>
      </w:r>
      <w:r>
        <w:rPr>
          <w:rFonts w:ascii="Arial" w:eastAsia="Arial" w:hAnsi="Arial" w:cs="Arial"/>
          <w:color w:val="000000"/>
          <w:sz w:val="48"/>
          <w:szCs w:val="48"/>
        </w:rPr>
        <w:t>-2</w:t>
      </w:r>
      <w:r>
        <w:rPr>
          <w:rFonts w:ascii="Arial" w:eastAsia="Arial" w:hAnsi="Arial" w:cs="Arial"/>
          <w:sz w:val="48"/>
          <w:szCs w:val="48"/>
        </w:rPr>
        <w:t>7</w:t>
      </w:r>
    </w:p>
    <w:p w14:paraId="6B19B308" w14:textId="77777777" w:rsidR="003D43FD" w:rsidRDefault="003D43FD">
      <w:pPr>
        <w:rPr>
          <w:rFonts w:ascii="Arial" w:eastAsia="Arial" w:hAnsi="Arial" w:cs="Arial"/>
          <w:sz w:val="20"/>
          <w:szCs w:val="20"/>
        </w:rPr>
      </w:pPr>
    </w:p>
    <w:p w14:paraId="53F62068" w14:textId="77777777" w:rsidR="003D43FD" w:rsidRDefault="003D43FD">
      <w:pPr>
        <w:rPr>
          <w:rFonts w:ascii="Arial" w:eastAsia="Arial" w:hAnsi="Arial" w:cs="Arial"/>
          <w:sz w:val="20"/>
          <w:szCs w:val="20"/>
        </w:rPr>
      </w:pPr>
    </w:p>
    <w:p w14:paraId="24462234" w14:textId="77777777" w:rsidR="003D43FD" w:rsidRDefault="003D43FD">
      <w:pPr>
        <w:rPr>
          <w:rFonts w:ascii="Arial" w:eastAsia="Arial" w:hAnsi="Arial" w:cs="Arial"/>
          <w:sz w:val="20"/>
          <w:szCs w:val="20"/>
        </w:rPr>
      </w:pPr>
    </w:p>
    <w:p w14:paraId="319AF85D" w14:textId="77777777" w:rsidR="003D43FD" w:rsidRDefault="00000000">
      <w:pPr>
        <w:rPr>
          <w:rFonts w:ascii="Arial" w:eastAsia="Arial" w:hAnsi="Arial" w:cs="Arial"/>
        </w:rPr>
      </w:pPr>
      <w:bookmarkStart w:id="0" w:name="_heading=h.gjdgxs" w:colFirst="0" w:colLast="0"/>
      <w:bookmarkEnd w:id="0"/>
      <w:r>
        <w:rPr>
          <w:rFonts w:ascii="Arial" w:eastAsia="Arial" w:hAnsi="Arial" w:cs="Arial"/>
        </w:rPr>
        <w:t xml:space="preserve">This form must be completed by the student and submitted online on Minerva </w:t>
      </w:r>
      <w:r>
        <w:rPr>
          <w:rFonts w:ascii="Arial" w:eastAsia="Arial" w:hAnsi="Arial" w:cs="Arial"/>
          <w:b/>
          <w:bCs/>
        </w:rPr>
        <w:t xml:space="preserve">by 14:00 on Thursday of Week 7. </w:t>
      </w:r>
      <w:r>
        <w:rPr>
          <w:rFonts w:ascii="Arial" w:eastAsia="Arial" w:hAnsi="Arial" w:cs="Arial"/>
        </w:rPr>
        <w:t xml:space="preserve">A link to submit this form will be available on the Module’s Minerva page. </w:t>
      </w:r>
    </w:p>
    <w:p w14:paraId="2136C89A" w14:textId="77777777" w:rsidR="003D43FD" w:rsidRDefault="003D43FD">
      <w:pPr>
        <w:rPr>
          <w:rFonts w:ascii="Arial" w:eastAsia="Arial" w:hAnsi="Arial" w:cs="Arial"/>
        </w:rPr>
      </w:pPr>
    </w:p>
    <w:p w14:paraId="0500AC05" w14:textId="14288AA2" w:rsidR="003D43FD" w:rsidRDefault="00000000" w:rsidP="00476420">
      <w:pPr>
        <w:rPr>
          <w:rFonts w:ascii="Arial" w:eastAsia="Arial" w:hAnsi="Arial" w:cs="Arial"/>
          <w:sz w:val="20"/>
          <w:szCs w:val="20"/>
        </w:rPr>
      </w:pPr>
      <w:r>
        <w:rPr>
          <w:rFonts w:ascii="Arial" w:eastAsia="Arial" w:hAnsi="Arial" w:cs="Arial"/>
        </w:rPr>
        <w:t xml:space="preserve">Guidelines for completing this form are in Section 2 (Project Proposal) of the module handbook. The proposal is worth 10% of the module mark and is assessed by your Supervisor and Assessor against the rubric in Appendix 2 of the handbook: aims, objectives and scope (40%); societal, environmental and ethical considerations (20%); and project planning and risk management (40%).</w:t>
      </w:r>
    </w:p>
    <w:p w14:paraId="05D40001" w14:textId="77777777" w:rsidR="003D43FD" w:rsidRDefault="003D43FD">
      <w:pPr>
        <w:rPr>
          <w:rFonts w:ascii="Arial" w:eastAsia="Arial" w:hAnsi="Arial" w:cs="Arial"/>
          <w:sz w:val="20"/>
          <w:szCs w:val="20"/>
        </w:rPr>
      </w:pPr>
    </w:p>
    <w:p w14:paraId="3110E514" w14:textId="77777777" w:rsidR="003D43FD" w:rsidRDefault="003D43FD">
      <w:pPr>
        <w:rPr>
          <w:rFonts w:ascii="Arial" w:eastAsia="Arial" w:hAnsi="Arial" w:cs="Arial"/>
          <w:sz w:val="20"/>
          <w:szCs w:val="20"/>
        </w:rPr>
      </w:pPr>
    </w:p>
    <w:p w14:paraId="70310B60" w14:textId="77777777" w:rsidR="003D43FD" w:rsidRDefault="003D43FD">
      <w:pPr>
        <w:rPr>
          <w:rFonts w:ascii="Arial" w:eastAsia="Arial" w:hAnsi="Arial" w:cs="Arial"/>
          <w:sz w:val="20"/>
          <w:szCs w:val="20"/>
        </w:rPr>
      </w:pPr>
    </w:p>
    <w:p w14:paraId="248E5D49" w14:textId="77777777" w:rsidR="003D43FD" w:rsidRDefault="003D43FD">
      <w:pPr>
        <w:rPr>
          <w:rFonts w:ascii="Arial" w:eastAsia="Arial" w:hAnsi="Arial" w:cs="Arial"/>
          <w:sz w:val="8"/>
          <w:szCs w:val="8"/>
        </w:rPr>
      </w:pPr>
    </w:p>
    <w:tbl>
      <w:tblPr>
        <w:tblStyle w:val="a"/>
        <w:tblW w:w="10317" w:type="dxa"/>
        <w:tblInd w:w="108" w:type="dxa"/>
        <w:tblBorders>
          <w:top w:val="single" w:sz="12" w:space="0" w:color="000000"/>
          <w:left w:val="single" w:sz="12" w:space="0" w:color="000000"/>
          <w:bottom w:val="single" w:sz="12" w:space="0" w:color="000000"/>
          <w:right w:val="single" w:sz="12" w:space="0" w:color="000000"/>
          <w:insideH w:val="single" w:sz="8" w:space="0" w:color="808080"/>
          <w:insideV w:val="single" w:sz="4" w:space="0" w:color="FFFFFF"/>
        </w:tblBorders>
        <w:tblLayout w:type="fixed"/>
        <w:tblLook w:val="0000" w:firstRow="0" w:lastRow="0" w:firstColumn="0" w:lastColumn="0" w:noHBand="0" w:noVBand="0"/>
      </w:tblPr>
      <w:tblGrid>
        <w:gridCol w:w="2127"/>
        <w:gridCol w:w="8190"/>
      </w:tblGrid>
      <w:tr w:rsidR="003D43FD" w14:paraId="2B4322E8" w14:textId="77777777">
        <w:trPr>
          <w:trHeight w:hRule="auto"/>
          <w:cantSplit/>
          <w:tblHeader/>
        </w:trPr>
        <w:tc>
          <w:tcPr>
            <w:tcW w:w="2127" w:type="dxa"/>
            <w:tcMar>
              <w:top w:w="170" w:type="dxa"/>
            </w:tcMar>
          </w:tcPr>
          <w:p w14:paraId="049D734B" w14:textId="77777777" w:rsidR="003D43FD" w:rsidRDefault="00000000">
            <w:pPr>
              <w:keepLines/>
              <w:spacing w:after="60" w:line="240" w:lineRule="auto"/>
              <w:jc w:val="right"/>
              <w:rPr>
                <w:rFonts w:ascii="Arial" w:eastAsia="Arial" w:hAnsi="Arial" w:cs="Arial"/>
                <w:sz w:val="20"/>
                <w:szCs w:val="20"/>
              </w:rPr>
            </w:pPr>
            <w:r>
              <w:rPr>
                <w:rFonts w:ascii="Calibri" w:eastAsia="Arial" w:hAnsi="Calibri" w:cs="Arial"/>
                <w:sz w:val="20"/>
                <w:szCs w:val="20"/>
              </w:rPr>
              <w:t xml:space="preserve">Name and SID:   </w:t>
            </w:r>
          </w:p>
        </w:tc>
        <w:tc>
          <w:tcPr>
            <w:tcW w:w="8190" w:type="dxa"/>
            <w:tcMar>
              <w:top w:w="170" w:type="dxa"/>
            </w:tcMar>
          </w:tcPr>
          <w:p>
            <w:pPr>
              <w:keepLines/>
              <w:spacing w:after="60" w:line="240" w:lineRule="auto"/>
            </w:pPr>
            <w:r>
              <w:rPr>
                <w:rFonts w:ascii="Calibri" w:hAnsi="Calibri"/>
                <w:sz w:val="20"/>
              </w:rPr>
              <w:t>[TO BE COMPLETED BY STUDENT]</w:t>
            </w:r>
          </w:p>
        </w:tc>
      </w:tr>
      <w:tr w:rsidR="003D43FD" w14:paraId="55051538" w14:textId="77777777">
        <w:trPr>
          <w:trHeight w:hRule="auto"/>
          <w:cantSplit/>
        </w:trPr>
        <w:tc>
          <w:tcPr>
            <w:tcW w:w="2127" w:type="dxa"/>
            <w:tcMar>
              <w:top w:w="170" w:type="dxa"/>
            </w:tcMar>
          </w:tcPr>
          <w:p w14:paraId="499EE59D" w14:textId="77777777" w:rsidR="003D43FD" w:rsidRDefault="00000000">
            <w:pPr>
              <w:keepLines/>
              <w:spacing w:after="60" w:line="240" w:lineRule="auto"/>
              <w:jc w:val="right"/>
              <w:rPr>
                <w:rFonts w:ascii="Arial" w:eastAsia="Arial" w:hAnsi="Arial" w:cs="Arial"/>
                <w:sz w:val="20"/>
                <w:szCs w:val="20"/>
              </w:rPr>
            </w:pPr>
            <w:r>
              <w:rPr>
                <w:rFonts w:ascii="Calibri" w:eastAsia="Arial" w:hAnsi="Calibri" w:cs="Arial"/>
                <w:sz w:val="20"/>
                <w:szCs w:val="20"/>
              </w:rPr>
              <w:t>Degree programme:</w:t>
            </w:r>
          </w:p>
        </w:tc>
        <w:tc>
          <w:tcPr>
            <w:tcW w:w="8190" w:type="dxa"/>
            <w:tcMar>
              <w:top w:w="170" w:type="dxa"/>
            </w:tcMar>
          </w:tcPr>
          <w:p>
            <w:pPr>
              <w:keepLines/>
              <w:spacing w:after="60" w:line="240" w:lineRule="auto"/>
            </w:pPr>
            <w:r>
              <w:rPr>
                <w:rFonts w:ascii="Calibri" w:hAnsi="Calibri"/>
                <w:sz w:val="20"/>
              </w:rPr>
              <w:t>[TO BE COMPLETED BY STUDENT]</w:t>
            </w:r>
          </w:p>
        </w:tc>
      </w:tr>
      <w:tr w:rsidR="003D43FD" w14:paraId="49B2B398" w14:textId="77777777">
        <w:trPr>
          <w:trHeight w:hRule="auto"/>
          <w:cantSplit/>
        </w:trPr>
        <w:tc>
          <w:tcPr>
            <w:tcW w:w="2127" w:type="dxa"/>
            <w:tcMar>
              <w:top w:w="170" w:type="dxa"/>
            </w:tcMar>
          </w:tcPr>
          <w:p w14:paraId="3F0BEA46" w14:textId="77777777" w:rsidR="003D43FD" w:rsidRDefault="00000000">
            <w:pPr>
              <w:keepLines/>
              <w:spacing w:after="60" w:line="240" w:lineRule="auto"/>
              <w:jc w:val="right"/>
              <w:rPr>
                <w:rFonts w:ascii="Arial" w:eastAsia="Arial" w:hAnsi="Arial" w:cs="Arial"/>
                <w:sz w:val="20"/>
                <w:szCs w:val="20"/>
              </w:rPr>
            </w:pPr>
            <w:r>
              <w:rPr>
                <w:rFonts w:ascii="Calibri" w:eastAsia="Arial" w:hAnsi="Calibri" w:cs="Arial"/>
                <w:sz w:val="20"/>
                <w:szCs w:val="20"/>
              </w:rPr>
              <w:t>Supervisor’s name:</w:t>
            </w:r>
          </w:p>
        </w:tc>
        <w:tc>
          <w:tcPr>
            <w:tcW w:w="8190" w:type="dxa"/>
            <w:tcMar>
              <w:top w:w="170" w:type="dxa"/>
            </w:tcMar>
          </w:tcPr>
          <w:p>
            <w:pPr>
              <w:keepLines/>
              <w:spacing w:after="60" w:line="240" w:lineRule="auto"/>
            </w:pPr>
            <w:r>
              <w:rPr>
                <w:rFonts w:ascii="Calibri" w:hAnsi="Calibri"/>
                <w:sz w:val="20"/>
              </w:rPr>
              <w:t>[TO BE COMPLETED BY STUDENT]</w:t>
            </w:r>
          </w:p>
        </w:tc>
      </w:tr>
      <w:tr w:rsidR="003D43FD" w14:paraId="6F50C5AB" w14:textId="77777777">
        <w:trPr>
          <w:trHeight w:hRule="auto"/>
          <w:cantSplit/>
        </w:trPr>
        <w:tc>
          <w:tcPr>
            <w:tcW w:w="2127" w:type="dxa"/>
            <w:tcMar>
              <w:top w:w="170" w:type="dxa"/>
            </w:tcMar>
          </w:tcPr>
          <w:p w14:paraId="67A0AD87" w14:textId="77777777" w:rsidR="003D43FD" w:rsidRDefault="00000000">
            <w:pPr>
              <w:keepLines/>
              <w:spacing w:after="60" w:line="240" w:lineRule="auto"/>
              <w:jc w:val="right"/>
              <w:rPr>
                <w:rFonts w:ascii="Arial" w:eastAsia="Arial" w:hAnsi="Arial" w:cs="Arial"/>
                <w:sz w:val="20"/>
                <w:szCs w:val="20"/>
              </w:rPr>
            </w:pPr>
            <w:r>
              <w:rPr>
                <w:rFonts w:ascii="Calibri" w:eastAsia="Arial" w:hAnsi="Calibri" w:cs="Arial"/>
                <w:sz w:val="20"/>
                <w:szCs w:val="20"/>
              </w:rPr>
              <w:t>Project title:</w:t>
            </w:r>
          </w:p>
        </w:tc>
        <w:tc>
          <w:tcPr>
            <w:tcW w:w="8190" w:type="dxa"/>
            <w:tcMar>
              <w:top w:w="170" w:type="dxa"/>
            </w:tcMar>
          </w:tcPr>
          <w:p>
            <w:pPr>
              <w:keepLines/>
              <w:spacing w:after="60" w:line="240" w:lineRule="auto"/>
            </w:pPr>
            <w:r>
              <w:rPr>
                <w:rFonts w:ascii="Calibri" w:hAnsi="Calibri"/>
                <w:sz w:val="20"/>
              </w:rPr>
              <w:t>A Study on a Large-Model-Based Intelligent Question-Answering System for the Overhead Contact System Field</w:t>
            </w:r>
          </w:p>
        </w:tc>
      </w:tr>
    </w:tbl>
    <w:p w14:paraId="08BC1AB3" w14:textId="77777777" w:rsidR="003D43FD" w:rsidRDefault="003D43FD">
      <w:pPr>
        <w:rPr>
          <w:rFonts w:ascii="Arial" w:eastAsia="Arial" w:hAnsi="Arial" w:cs="Arial"/>
          <w:sz w:val="20"/>
          <w:szCs w:val="20"/>
        </w:rPr>
      </w:pPr>
    </w:p>
    <w:p w14:paraId="3358F5F5" w14:textId="77777777" w:rsidR="003D43FD" w:rsidRDefault="003D43FD">
      <w:pPr>
        <w:rPr>
          <w:rFonts w:ascii="Arial" w:eastAsia="Arial" w:hAnsi="Arial" w:cs="Arial"/>
          <w:sz w:val="20"/>
          <w:szCs w:val="20"/>
        </w:rPr>
      </w:pPr>
    </w:p>
    <w:p w14:paraId="76E082EE" w14:textId="77777777" w:rsidR="003D43FD" w:rsidRDefault="003D43FD">
      <w:pPr>
        <w:rPr>
          <w:rFonts w:ascii="Arial" w:eastAsia="Arial" w:hAnsi="Arial" w:cs="Arial"/>
          <w:sz w:val="20"/>
          <w:szCs w:val="20"/>
        </w:rPr>
        <w:sectPr w:rsidR="003D43FD">
          <w:footerReference w:type="default" r:id="rId8"/>
          <w:pgSz w:w="11907" w:h="16840"/>
          <w:pgMar w:top="1260" w:right="720" w:bottom="720" w:left="720" w:header="709" w:footer="709" w:gutter="0"/>
          <w:pgNumType w:start="1"/>
          <w:cols w:space="720"/>
        </w:sectPr>
      </w:pPr>
    </w:p>
    <w:p w14:paraId="1E0BD6E1" w14:textId="77777777" w:rsidR="003D43FD" w:rsidRDefault="00000000">
      <w:pPr>
        <w:rPr>
          <w:rFonts w:ascii="Arial" w:eastAsia="Arial" w:hAnsi="Arial" w:cs="Arial"/>
          <w:b/>
          <w:bCs/>
          <w:sz w:val="22"/>
          <w:szCs w:val="22"/>
        </w:rPr>
      </w:pPr>
      <w:r>
        <w:rPr>
          <w:rFonts w:ascii="Arial" w:eastAsia="Arial" w:hAnsi="Arial" w:cs="Arial"/>
          <w:b/>
          <w:bCs/>
          <w:sz w:val="22"/>
          <w:szCs w:val="22"/>
        </w:rPr>
        <w:lastRenderedPageBreak/>
        <w:t>Section 1: Project Description</w:t>
      </w:r>
    </w:p>
    <w:p w14:paraId="473F374D" w14:textId="77777777" w:rsidR="003D43FD" w:rsidRDefault="003D43FD">
      <w:pPr>
        <w:rPr>
          <w:rFonts w:ascii="Arial" w:eastAsia="Arial" w:hAnsi="Arial" w:cs="Arial"/>
          <w:sz w:val="8"/>
          <w:szCs w:val="8"/>
        </w:rPr>
      </w:pPr>
    </w:p>
    <w:p w14:paraId="5F395C56" w14:textId="77777777" w:rsidR="003D43FD" w:rsidRDefault="00000000">
      <w:pPr>
        <w:rPr>
          <w:rFonts w:ascii="Arial" w:eastAsia="Arial" w:hAnsi="Arial" w:cs="Arial"/>
          <w:i/>
          <w:iCs/>
          <w:sz w:val="20"/>
          <w:szCs w:val="20"/>
        </w:rPr>
      </w:pPr>
      <w:r>
        <w:rPr>
          <w:rFonts w:ascii="Arial" w:eastAsia="Arial" w:hAnsi="Arial" w:cs="Arial"/>
          <w:i/>
          <w:iCs/>
          <w:sz w:val="20"/>
          <w:szCs w:val="20"/>
        </w:rPr>
        <w:t xml:space="preserve">Describe</w:t>
      </w:r>
      <w:r>
        <w:rPr>
          <w:rFonts w:ascii="Arial" w:eastAsia="Arial" w:hAnsi="Arial" w:cs="Arial"/>
          <w:i/>
          <w:iCs/>
          <w:sz w:val="20"/>
          <w:szCs w:val="20"/>
        </w:rPr>
        <w:t xml:space="preserve"> the </w:t>
      </w:r>
      <w:r>
        <w:rPr>
          <w:rFonts w:ascii="Arial" w:eastAsia="Arial" w:hAnsi="Arial" w:cs="Arial"/>
          <w:i/>
          <w:iCs/>
          <w:sz w:val="20"/>
          <w:szCs w:val="20"/>
        </w:rPr>
        <w:t xml:space="preserve">background</w:t>
      </w:r>
      <w:r>
        <w:rPr>
          <w:rFonts w:ascii="Arial" w:eastAsia="Arial" w:hAnsi="Arial" w:cs="Arial"/>
          <w:i/>
          <w:iCs/>
          <w:sz w:val="20"/>
          <w:szCs w:val="20"/>
        </w:rPr>
        <w:t xml:space="preserve">, </w:t>
      </w:r>
      <w:r>
        <w:rPr>
          <w:rFonts w:ascii="Arial" w:eastAsia="Arial" w:hAnsi="Arial" w:cs="Arial"/>
          <w:i/>
          <w:iCs/>
          <w:sz w:val="20"/>
          <w:szCs w:val="20"/>
        </w:rPr>
        <w:t xml:space="preserve">problem, aim</w:t>
      </w:r>
      <w:r>
        <w:rPr>
          <w:rFonts w:ascii="Arial" w:eastAsia="Arial" w:hAnsi="Arial" w:cs="Arial"/>
          <w:i/>
          <w:iCs/>
          <w:sz w:val="20"/>
          <w:szCs w:val="20"/>
        </w:rPr>
        <w:t xml:space="preserve"> and objectives of your project (max</w:t>
      </w:r>
      <w:r>
        <w:rPr>
          <w:rFonts w:ascii="Arial" w:eastAsia="Arial" w:hAnsi="Arial" w:cs="Arial"/>
          <w:i/>
          <w:iCs/>
          <w:sz w:val="20"/>
          <w:szCs w:val="20"/>
        </w:rPr>
        <w:t xml:space="preserve">.</w:t>
      </w:r>
      <w:r>
        <w:rPr>
          <w:rFonts w:ascii="Arial" w:eastAsia="Arial" w:hAnsi="Arial" w:cs="Arial"/>
          <w:i/>
          <w:iCs/>
          <w:sz w:val="20"/>
          <w:szCs w:val="20"/>
        </w:rPr>
        <w:t xml:space="preserve"> 750 words</w:t>
      </w:r>
      <w:r>
        <w:rPr>
          <w:rFonts w:ascii="Arial" w:eastAsia="Arial" w:hAnsi="Arial" w:cs="Arial"/>
          <w:i/>
          <w:iCs/>
          <w:sz w:val="20"/>
          <w:szCs w:val="20"/>
        </w:rPr>
        <w:t xml:space="preserve">, excluding the reference list</w:t>
      </w:r>
      <w:r>
        <w:rPr>
          <w:rFonts w:ascii="Arial" w:eastAsia="Arial" w:hAnsi="Arial" w:cs="Arial"/>
          <w:i/>
          <w:iCs/>
          <w:sz w:val="20"/>
          <w:szCs w:val="20"/>
        </w:rPr>
        <w:t xml:space="preserve">):</w:t>
      </w:r>
    </w:p>
    <w:p>
      <w:pPr>
        <w:rPr/>
      </w:pPr>
      <w:r>
        <w:rPr>
          <w:rFonts w:ascii="Arial" w:eastAsia="Arial" w:hAnsi="Arial" w:cs="Arial"/>
          <w:i/>
          <w:iCs/>
          <w:sz w:val="20"/>
          <w:szCs w:val="20"/>
        </w:rPr>
        <w:t xml:space="preserve">Include: the problem statement and overall aim; specific, measurable objectives; testable success criteria; your technical approach, described as an integrated system with its key components and interfaces; any knowledge gaps you need to fill; and a short list of five to seven references (IEEE style).</w:t>
      </w:r>
    </w:p>
    <w:p w14:paraId="36984781" w14:textId="77777777" w:rsidR="003D43FD" w:rsidRDefault="003D43FD">
      <w:pPr>
        <w:rPr>
          <w:rFonts w:ascii="Arial" w:eastAsia="Arial" w:hAnsi="Arial" w:cs="Arial"/>
          <w:sz w:val="8"/>
          <w:szCs w:val="8"/>
        </w:rPr>
      </w:pPr>
    </w:p>
    <w:tbl>
      <w:tblPr>
        <w:tblStyle w:val="a0"/>
        <w:tblW w:w="103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29"/>
      </w:tblGrid>
      <w:tr>
        <w:trPr>
          <w:trHeight w:hRule="auto"/>
        </w:trPr>
        <w:tc>
          <w:tcPr>
            <w:tcW w:type="dxa" w:w="10329"/>
          </w:tcPr>
          <w:p>
            <w:pPr>
              <w:keepNext w:val="0"/>
              <w:keepLines/>
              <w:spacing w:after="0" w:line="20" w:lineRule="exact"/>
            </w:pPr>
          </w:p>
          <w:p>
            <w:pPr>
              <w:keepNext/>
              <w:keepLines/>
              <w:spacing w:after="60" w:line="240" w:lineRule="auto"/>
            </w:pPr>
            <w:r>
              <w:rPr>
                <w:rFonts w:ascii="Calibri" w:hAnsi="Calibri"/>
                <w:b/>
                <w:sz w:val="20"/>
              </w:rPr>
              <w:t>Background and problem</w:t>
            </w:r>
          </w:p>
          <w:p>
            <w:pPr>
              <w:keepLines/>
              <w:spacing w:after="60" w:line="240" w:lineRule="auto"/>
            </w:pPr>
            <w:r>
              <w:rPr>
                <w:rFonts w:ascii="Calibri" w:hAnsi="Calibri"/>
                <w:sz w:val="20"/>
              </w:rPr>
              <w:t>Chinese overhead contact system standards contain specialised terminology, numerical limits and edition-dependent requirements. In the supplied collection, relevant information is distributed across PDF and DOCX files. A useful answer must identify the applicable document and preserve conditions and units. Fluent but unsupported answers, particularly from the wrong edition, could mislead students and engineers consulting these documents.</w:t>
            </w:r>
          </w:p>
          <w:p>
            <w:pPr>
              <w:keepLines/>
              <w:spacing w:after="60" w:line="240" w:lineRule="auto"/>
            </w:pPr>
            <w:r>
              <w:rPr>
                <w:rFonts w:ascii="Calibri" w:hAnsi="Calibri"/>
                <w:sz w:val="20"/>
              </w:rPr>
              <w:t>Retrieval-augmented generation (RAG) connects retrieval with language generation [1]. BM25 offers lexical matching [2]; dense retrieval represents semantic similarity [3]. Neither establishes which edition is appropriate or guarantees that retrieved text supports a claim. Query rewriting [4] motivates resolving follow-ups before retrieval, but this project initially uses explicit context rules rather than a trained rewriter. Findings on irrelevant context [5] motivate testing distractors; their arithmetic-task results do not establish performance on railway standards. RAGAs [6] motivates separating retrieval and answer evaluation; manual evidence checking will remain primary here.</w:t>
            </w:r>
          </w:p>
          <w:p>
            <w:pPr>
              <w:keepNext/>
              <w:keepLines/>
              <w:spacing w:after="60" w:line="240" w:lineRule="auto"/>
            </w:pPr>
            <w:r>
              <w:rPr>
                <w:rFonts w:ascii="Calibri" w:hAnsi="Calibri"/>
                <w:b/>
                <w:sz w:val="20"/>
              </w:rPr>
              <w:t>Aim and research questions</w:t>
            </w:r>
          </w:p>
          <w:p>
            <w:pPr>
              <w:keepLines/>
              <w:spacing w:after="60" w:line="240" w:lineRule="auto"/>
            </w:pPr>
            <w:r>
              <w:rPr>
                <w:rFonts w:ascii="Calibri" w:hAnsi="Calibri"/>
                <w:sz w:val="20"/>
              </w:rPr>
              <w:t>The aim is to develop and evaluate an evidence-based question-answering system for a curated collection of Chinese overhead contact system standards. RQ1: Does hybrid retrieval improve evidence recall over BM25-only and dense-only retrieval? RQ2: Does explicit standard-and-year handling reduce wrong-edition answers? RQ3: Do evidence checks reduce unsupported answers without excessive refusal?</w:t>
            </w:r>
          </w:p>
          <w:p>
            <w:pPr>
              <w:keepNext/>
              <w:keepLines/>
              <w:spacing w:after="60" w:line="240" w:lineRule="auto"/>
            </w:pPr>
            <w:r>
              <w:rPr>
                <w:rFonts w:ascii="Calibri" w:hAnsi="Calibri"/>
                <w:b/>
                <w:sz w:val="20"/>
              </w:rPr>
              <w:t>Objectives and success criteria</w:t>
            </w:r>
          </w:p>
          <w:p>
            <w:pPr>
              <w:keepLines/>
              <w:spacing w:after="60" w:line="240" w:lineRule="auto"/>
            </w:pPr>
            <w:r>
              <w:rPr>
                <w:rFonts w:ascii="Calibri" w:hAnsi="Calibri"/>
                <w:sz w:val="20"/>
              </w:rPr>
              <w:t>O1 — By Week 11, curate 20–30 usable, non-duplicate documents. Record each file's hash, provenance, standard identifier, year, extraction quality and processing permission. Check metadata against document pages; a filename alone cannot establish current validity. Register unusable scans and replace them where possible.</w:t>
            </w:r>
          </w:p>
          <w:p>
            <w:pPr>
              <w:keepLines/>
              <w:spacing w:after="60" w:line="240" w:lineRule="auto"/>
            </w:pPr>
            <w:r>
              <w:rPr>
                <w:rFonts w:ascii="Calibri" w:hAnsi="Calibri"/>
                <w:sz w:val="20"/>
              </w:rPr>
              <w:t>O2 — By Week 15, integrate ingestion, three retrieval modes, DeepSeek generation, simple follow-ups and source display. All displayed citations must resolve to retrieved evidence: PDF file-page numbers or DOCX paragraph/table locations. All mandatory missing-edition tests must avoid silently substituting another version. Parsing and API failures must remain distinguishable from evidence-based refusals.</w:t>
            </w:r>
          </w:p>
          <w:p>
            <w:pPr>
              <w:keepLines/>
              <w:spacing w:after="60" w:line="240" w:lineRule="auto"/>
            </w:pPr>
            <w:r>
              <w:rPr>
                <w:rFonts w:ascii="Calibri" w:hAnsi="Calibri"/>
                <w:sz w:val="20"/>
              </w:rPr>
              <w:t>O3 — By Week 16, freeze 100 manually checked questions: 20 development and 80 test items. Cover clauses, terminology, versions, follow-ups and unanswerable questions. Annotate required facts and evidence locations; keep related questions in one split. Select weights and thresholds using development data only.</w:t>
            </w:r>
          </w:p>
          <w:p>
            <w:pPr>
              <w:keepLines/>
              <w:spacing w:after="60" w:line="240" w:lineRule="auto"/>
            </w:pPr>
            <w:r>
              <w:rPr>
                <w:rFonts w:ascii="Calibri" w:hAnsi="Calibri"/>
                <w:sz w:val="20"/>
              </w:rPr>
              <w:t>O4 — By Week 19, compare BM25, dense and hybrid retrieval, then separately remove edition filtering and the retrieval evidence gate. Hold other settings constant. Measure Recall@5, MRR@5, answer correctness, citation support, wrong-edition rate, refusal recall, false refusal and stage latency. Proposed targets are Recall@5 ≥0.80, answer correctness ≥0.80, citation support ≥0.90, refusal recall ≥0.80 and false refusal ≤0.10. These are provisional engineering goals, not measured findings. Report sample counts, paired differences, uncertainty and negative results; API failures do not count as correct refusals.</w:t>
            </w:r>
          </w:p>
          <w:p>
            <w:pPr>
              <w:keepLines/>
              <w:spacing w:after="60" w:line="240" w:lineRule="auto"/>
            </w:pPr>
            <w:r>
              <w:rPr>
                <w:rFonts w:ascii="Calibri" w:hAnsi="Calibri"/>
                <w:sz w:val="20"/>
              </w:rPr>
              <w:t>O5 — By Week 24, deliver the reproducible system, evaluation records, IEEE report, Portfolio and demonstration video. Present progress at the compulsory Week 18 Symposium and prepare for the Weeks 25–27 viva.</w:t>
            </w:r>
          </w:p>
          <w:p>
            <w:pPr>
              <w:keepNext/>
              <w:keepLines/>
              <w:spacing w:after="60" w:line="240" w:lineRule="auto"/>
            </w:pPr>
            <w:r>
              <w:rPr>
                <w:rFonts w:ascii="Calibri" w:hAnsi="Calibri"/>
                <w:b/>
                <w:sz w:val="20"/>
              </w:rPr>
              <w:t>Integrated approach, feasibility and boundaries</w:t>
            </w:r>
          </w:p>
          <w:p>
            <w:pPr>
              <w:keepLines/>
              <w:spacing w:after="60" w:line="240" w:lineRule="auto"/>
            </w:pPr>
            <w:r>
              <w:rPr>
                <w:rFonts w:ascii="Calibri" w:hAnsi="Calibri"/>
                <w:sz w:val="20"/>
              </w:rPr>
              <w:t>The ingestion module will parse and chunk documents, preserve source locations and store records in SQLite. A separate online embedding service will populate vectors. The retriever will apply standard/year constraints and combine normalised BM25 and cosine scores. After evidence screening, the generation client will send permitted passages to DeepSeek and validate returned JSON, citation identifiers and verbatim excerpts. Matching an excerpt is not proof of semantic support. The local Streamlit interface and batch evaluator will share structured records containing evidence, answer status and timings.</w:t>
            </w:r>
          </w:p>
          <w:p>
            <w:pPr>
              <w:keepLines/>
              <w:spacing w:after="60" w:line="240" w:lineRule="auto"/>
            </w:pPr>
            <w:r>
              <w:rPr>
                <w:rFonts w:ascii="Calibri" w:hAnsi="Calibri"/>
                <w:sz w:val="20"/>
              </w:rPr>
              <w:t>A preliminary three-document prototype already supports BM25 retrieval and cited DeepSeek answers; live API checks have succeeded. Embedding integration and formal evaluation remain outstanding. This establishes feasibility, not accuracy. The supplied reference implementation is preserved; the current implementation is separate. Planned contributions are corpus curation, version handling, evidence checks and controlled analysis, with reference-code and AI assistance acknowledged.</w:t>
            </w:r>
          </w:p>
          <w:p>
            <w:pPr>
              <w:keepLines/>
              <w:spacing w:after="60" w:line="240" w:lineRule="auto"/>
            </w:pPr>
            <w:r>
              <w:rPr>
                <w:rFonts w:ascii="Calibri" w:hAnsi="Calibri"/>
                <w:sz w:val="20"/>
              </w:rPr>
              <w:t>The scope excludes model training, drawing interpretation, OCR development, multi-user access and production deployment. The system supports consultation, not engineering approval. Knowledge gaps in extraction, retrieval calibration, annotation consistency and API budgeting will be addressed through literature study, development-set trials and documented scoring rules.</w:t>
            </w:r>
          </w:p>
          <w:p>
            <w:pPr>
              <w:keepNext/>
              <w:keepLines/>
              <w:spacing w:after="60" w:line="240" w:lineRule="auto"/>
            </w:pPr>
            <w:r>
              <w:rPr>
                <w:rFonts w:ascii="Calibri" w:hAnsi="Calibri"/>
                <w:b/>
                <w:sz w:val="20"/>
              </w:rPr>
              <w:t>References</w:t>
            </w:r>
          </w:p>
          <w:p>
            <w:pPr>
              <w:keepLines/>
              <w:spacing w:after="60" w:line="240" w:lineRule="auto"/>
            </w:pPr>
            <w:r>
              <w:rPr>
                <w:rFonts w:ascii="Calibri" w:hAnsi="Calibri"/>
                <w:sz w:val="20"/>
              </w:rPr>
              <w:t xml:space="preserve">[1] P. Lewis et al., “Retrieval-Augmented Generation for Knowledge-Intensive NLP Tasks,” in Advances in Neural Information Processing Systems, vol. 33, 2020. </w:t>
            </w:r>
            <w:hyperlink r:id="rId13">
              <w:r>
                <w:rPr>
                  <w:rStyle w:val="Hyperlink"/>
                </w:rPr>
                <w:t>Publisher record</w:t>
              </w:r>
            </w:hyperlink>
            <w:r>
              <w:rPr>
                <w:rFonts w:ascii="Calibri" w:hAnsi="Calibri"/>
                <w:sz w:val="20"/>
              </w:rPr>
              <w:t>.</w:t>
            </w:r>
          </w:p>
          <w:p>
            <w:pPr>
              <w:keepLines/>
              <w:spacing w:after="60" w:line="240" w:lineRule="auto"/>
            </w:pPr>
            <w:r>
              <w:rPr>
                <w:rFonts w:ascii="Calibri" w:hAnsi="Calibri"/>
                <w:sz w:val="20"/>
              </w:rPr>
              <w:t xml:space="preserve">[2] S. Robertson and H. Zaragoza, “The Probabilistic Relevance Framework: BM25 and Beyond,” Foundations and Trends in Information Retrieval, vol. 3, no. 4, pp. 333–389, 2009, doi: 10.1561/1500000019. </w:t>
            </w:r>
            <w:hyperlink r:id="rId14">
              <w:r>
                <w:rPr>
                  <w:rStyle w:val="Hyperlink"/>
                </w:rPr>
                <w:t>Publisher full text</w:t>
              </w:r>
            </w:hyperlink>
            <w:r>
              <w:rPr>
                <w:rFonts w:ascii="Calibri" w:hAnsi="Calibri"/>
                <w:sz w:val="20"/>
              </w:rPr>
              <w:t>.</w:t>
            </w:r>
          </w:p>
          <w:p>
            <w:pPr>
              <w:keepLines/>
              <w:spacing w:after="60" w:line="240" w:lineRule="auto"/>
            </w:pPr>
            <w:r>
              <w:rPr>
                <w:rFonts w:ascii="Calibri" w:hAnsi="Calibri"/>
                <w:sz w:val="20"/>
              </w:rPr>
              <w:t xml:space="preserve">[3] V. Karpukhin et al., “Dense Passage Retrieval for Open-Domain Question Answering,” in Proceedings of EMNLP, 2020, pp. 6769–6781, doi: 10.18653/v1/2020.emnlp-main.550. </w:t>
            </w:r>
            <w:hyperlink r:id="rId15">
              <w:r>
                <w:rPr>
                  <w:rStyle w:val="Hyperlink"/>
                </w:rPr>
                <w:t>Publisher record</w:t>
              </w:r>
            </w:hyperlink>
            <w:r>
              <w:rPr>
                <w:rFonts w:ascii="Calibri" w:hAnsi="Calibri"/>
                <w:sz w:val="20"/>
              </w:rPr>
              <w:t>.</w:t>
            </w:r>
          </w:p>
          <w:p>
            <w:pPr>
              <w:keepLines/>
              <w:spacing w:after="60" w:line="240" w:lineRule="auto"/>
            </w:pPr>
            <w:r>
              <w:rPr>
                <w:rFonts w:ascii="Calibri" w:hAnsi="Calibri"/>
                <w:sz w:val="20"/>
              </w:rPr>
              <w:t xml:space="preserve">[4] X. Ma, Y. Gong, P. He, H. Zhao, and N. Duan, “Query Rewriting in Retrieval-Augmented Large Language Models,” in Proceedings of EMNLP, 2023, pp. 5303–5315, doi: 10.18653/v1/2023.emnlp-main.322. </w:t>
            </w:r>
            <w:hyperlink r:id="rId16">
              <w:r>
                <w:rPr>
                  <w:rStyle w:val="Hyperlink"/>
                </w:rPr>
                <w:t>Publisher record</w:t>
              </w:r>
            </w:hyperlink>
            <w:r>
              <w:rPr>
                <w:rFonts w:ascii="Calibri" w:hAnsi="Calibri"/>
                <w:sz w:val="20"/>
              </w:rPr>
              <w:t>.</w:t>
            </w:r>
          </w:p>
          <w:p>
            <w:pPr>
              <w:keepLines/>
              <w:spacing w:after="60" w:line="240" w:lineRule="auto"/>
            </w:pPr>
            <w:r>
              <w:rPr>
                <w:rFonts w:ascii="Calibri" w:hAnsi="Calibri"/>
                <w:sz w:val="20"/>
              </w:rPr>
              <w:t xml:space="preserve">[5] F. Shi et al., “Large Language Models Can Be Easily Distracted by Irrelevant Context,” in Proceedings of ICML, PMLR, vol. 202, 2023, pp. 31210–31227. </w:t>
            </w:r>
            <w:hyperlink r:id="rId17">
              <w:r>
                <w:rPr>
                  <w:rStyle w:val="Hyperlink"/>
                </w:rPr>
                <w:t>Publisher record</w:t>
              </w:r>
            </w:hyperlink>
            <w:r>
              <w:rPr>
                <w:rFonts w:ascii="Calibri" w:hAnsi="Calibri"/>
                <w:sz w:val="20"/>
              </w:rPr>
              <w:t>.</w:t>
            </w:r>
          </w:p>
          <w:p>
            <w:pPr>
              <w:keepLines/>
              <w:spacing w:after="60" w:line="240" w:lineRule="auto"/>
            </w:pPr>
            <w:r>
              <w:rPr>
                <w:rFonts w:ascii="Calibri" w:hAnsi="Calibri"/>
                <w:sz w:val="20"/>
              </w:rPr>
              <w:t xml:space="preserve">[6] S. Es, J. James, L. Espinosa Anke, and S. Schockaert, “RAGAs: Automated Evaluation of Retrieval Augmented Generation,” in Proceedings of EACL: System Demonstrations, 2024, pp. 150–158, doi: 10.18653/v1/2024.eacl-demo.16. </w:t>
            </w:r>
            <w:hyperlink r:id="rId18">
              <w:r>
                <w:rPr>
                  <w:rStyle w:val="Hyperlink"/>
                </w:rPr>
                <w:t>Publisher record</w:t>
              </w:r>
            </w:hyperlink>
            <w:r>
              <w:rPr>
                <w:rFonts w:ascii="Calibri" w:hAnsi="Calibri"/>
                <w:sz w:val="20"/>
              </w:rPr>
              <w:t>.</w:t>
            </w:r>
          </w:p>
        </w:tc>
      </w:tr>
    </w:tbl>
    <w:p w14:paraId="73E9C726" w14:textId="77777777" w:rsidR="003D43FD" w:rsidRDefault="003D43FD">
      <w:pPr>
        <w:rPr>
          <w:rFonts w:ascii="Arial" w:eastAsia="Arial" w:hAnsi="Arial" w:cs="Arial"/>
          <w:sz w:val="20"/>
          <w:szCs w:val="20"/>
        </w:rPr>
        <w:sectPr w:rsidR="003D43FD">
          <w:pgSz w:w="11907" w:h="16840"/>
          <w:pgMar w:top="1260" w:right="720" w:bottom="720" w:left="720" w:header="709" w:footer="709" w:gutter="0"/>
          <w:cols w:space="720"/>
        </w:sectPr>
      </w:pPr>
    </w:p>
    <w:p w14:paraId="6A89E4F4" w14:textId="77777777" w:rsidR="003D43FD" w:rsidRDefault="00000000">
      <w:pPr>
        <w:rPr>
          <w:rFonts w:ascii="Arial" w:eastAsia="Arial" w:hAnsi="Arial" w:cs="Arial"/>
          <w:b/>
          <w:bCs/>
          <w:sz w:val="22"/>
          <w:szCs w:val="22"/>
        </w:rPr>
      </w:pPr>
      <w:r>
        <w:rPr>
          <w:rFonts w:ascii="Arial" w:eastAsia="Arial" w:hAnsi="Arial" w:cs="Arial"/>
          <w:b/>
          <w:bCs/>
          <w:sz w:val="22"/>
          <w:szCs w:val="22"/>
        </w:rPr>
        <w:t xml:space="preserve">Section 2: Gantt </w:t>
      </w:r>
      <w:r>
        <w:rPr>
          <w:rFonts w:ascii="Arial" w:eastAsia="Arial" w:hAnsi="Arial" w:cs="Arial"/>
          <w:b/>
          <w:bCs/>
          <w:sz w:val="22"/>
          <w:szCs w:val="22"/>
        </w:rPr>
        <w:t xml:space="preserve">Chart</w:t>
      </w:r>
    </w:p>
    <w:p w14:paraId="47215110" w14:textId="77777777" w:rsidR="003D43FD" w:rsidRDefault="003D43FD">
      <w:pPr>
        <w:rPr>
          <w:rFonts w:ascii="Arial" w:eastAsia="Arial" w:hAnsi="Arial" w:cs="Arial"/>
          <w:sz w:val="8"/>
          <w:szCs w:val="8"/>
        </w:rPr>
      </w:pPr>
    </w:p>
    <w:p w14:paraId="642FA648" w14:textId="77777777" w:rsidR="003D43FD" w:rsidRDefault="00000000">
      <w:pPr>
        <w:rPr>
          <w:rFonts w:ascii="Arial" w:eastAsia="Arial" w:hAnsi="Arial" w:cs="Arial"/>
          <w:i/>
          <w:iCs/>
          <w:sz w:val="20"/>
          <w:szCs w:val="20"/>
        </w:rPr>
      </w:pPr>
      <w:r>
        <w:rPr>
          <w:rFonts w:ascii="Arial" w:eastAsia="Arial" w:hAnsi="Arial" w:cs="Arial"/>
          <w:i/>
          <w:iCs/>
          <w:sz w:val="20"/>
          <w:szCs w:val="20"/>
        </w:rPr>
        <w:t xml:space="preserve">Your Gantt chart should show tasks and sub-tasks with clear timescales, milestones (e.g. “Architecture approved”) and the dependencies between tasks, covering the whole project up to the final submission in Week 24:</w:t>
      </w:r>
    </w:p>
    <w:p w14:paraId="130AFF56" w14:textId="77777777" w:rsidR="003D43FD" w:rsidRDefault="003D43FD">
      <w:pPr>
        <w:rPr>
          <w:rFonts w:ascii="Arial" w:eastAsia="Arial" w:hAnsi="Arial" w:cs="Arial"/>
          <w:sz w:val="8"/>
          <w:szCs w:val="8"/>
        </w:rPr>
      </w:pPr>
    </w:p>
    <w:tbl>
      <w:tblPr>
        <w:tblStyle w:val="a1"/>
        <w:tblW w:w="153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0"/>
      </w:tblGrid>
      <w:tr>
        <w:trPr>
          <w:trHeight w:hRule="auto"/>
        </w:trPr>
        <w:tc>
          <w:tcPr>
            <w:tcW w:type="dxa" w:w="15300"/>
          </w:tcPr>
          <w:p>
            <w:pPr>
              <w:keepNext w:val="0"/>
              <w:keepLines/>
              <w:spacing w:after="0" w:line="20" w:lineRule="exact"/>
            </w:pPr>
          </w:p>
          <w:p>
            <w:pPr>
              <w:keepLines/>
              <w:spacing w:after="60" w:line="240" w:lineRule="auto"/>
            </w:pPr>
            <w:r>
              <w:rPr>
                <w:rFonts w:ascii="Calibri" w:hAnsi="Calibri"/>
                <w:sz w:val="20"/>
              </w:rPr>
              <w:t>Course weeks are used; the current week, holidays and examination breaks require timetable confirmation. This is planned effort, not completed hours: 400 hours to Week 24 plus 28 for the viva. Early prototyping is recorded separately.</w:t>
            </w:r>
          </w:p>
          <w:p>
            <w:pPr>
              <w:keepLines/>
              <w:spacing w:after="60" w:line="240" w:lineRule="auto"/>
            </w:pPr>
            <w:r>
              <w:rPr>
                <w:rFonts w:ascii="Calibri" w:hAnsi="Calibri"/>
                <w:sz w:val="20"/>
              </w:rPr>
              <w:drawing>
                <wp:inline xmlns:a="http://schemas.openxmlformats.org/drawingml/2006/main" xmlns:pic="http://schemas.openxmlformats.org/drawingml/2006/picture">
                  <wp:extent cx="9235440" cy="3824049"/>
                  <wp:docPr id="7" name="Picture 7"/>
                  <wp:cNvGraphicFramePr>
                    <a:graphicFrameLocks noChangeAspect="1"/>
                  </wp:cNvGraphicFramePr>
                  <a:graphic>
                    <a:graphicData uri="http://schemas.openxmlformats.org/drawingml/2006/picture">
                      <pic:pic>
                        <pic:nvPicPr>
                          <pic:cNvPr id="0" name="gantt.png"/>
                          <pic:cNvPicPr/>
                        </pic:nvPicPr>
                        <pic:blipFill>
                          <a:blip r:embed="rId19"/>
                          <a:stretch>
                            <a:fillRect/>
                          </a:stretch>
                        </pic:blipFill>
                        <pic:spPr>
                          <a:xfrm>
                            <a:off x="0" y="0"/>
                            <a:ext cx="9235440" cy="3824049"/>
                          </a:xfrm>
                          <a:prstGeom prst="rect"/>
                        </pic:spPr>
                      </pic:pic>
                    </a:graphicData>
                  </a:graphic>
                </wp:inline>
              </w:drawing>
            </w:r>
          </w:p>
          <w:p>
            <w:pPr>
              <w:keepLines/>
              <w:spacing w:after="60" w:line="240" w:lineRule="auto"/>
            </w:pPr>
            <w:r>
              <w:rPr>
                <w:rFonts w:ascii="Calibri" w:hAnsi="Calibri"/>
                <w:sz w:val="20"/>
              </w:rPr>
              <w:t>Milestones: M1 Proposal (W7); M2 corpus/baseline (W11); M3 integration (W15); M4 frozen benchmark/configuration (W16); MS compulsory Symposium (W18); M5 evaluation (W19); M6 report draft (W22); M7 submission (W24). W7/W24 deadlines: Thursday, 14:00 UK time.</w:t>
            </w:r>
          </w:p>
          <w:p>
            <w:pPr>
              <w:keepLines/>
              <w:spacing w:after="60" w:line="240" w:lineRule="auto"/>
            </w:pPr>
            <w:r>
              <w:rPr>
                <w:rFonts w:ascii="Calibri" w:hAnsi="Calibri"/>
                <w:sz w:val="20"/>
              </w:rPr>
              <w:t>Critical sequence: T03 → T06 → T07 → T11 → T12 → T13 → T15; integration also gates T11. Predecessors show dependencies. T16 covers weekly journals, ten Review Documents and supervision; T18 includes Symposium feedback. Reassess risks and remaining effort at each meeting. Weeks 23–24 provide revision/contingency time; resolve data and API risks earlier (R1/R4/R6). Attendance and approvals remain unconfirmed until they occur.</w:t>
            </w:r>
          </w:p>
        </w:tc>
      </w:tr>
    </w:tbl>
    <w:p w14:paraId="6E6F5582" w14:textId="77777777" w:rsidR="003D43FD" w:rsidRDefault="003D43FD">
      <w:pPr>
        <w:rPr>
          <w:rFonts w:ascii="Arial" w:eastAsia="Arial" w:hAnsi="Arial" w:cs="Arial"/>
          <w:b/>
          <w:bCs/>
          <w:sz w:val="22"/>
          <w:szCs w:val="22"/>
        </w:rPr>
        <w:sectPr w:rsidR="003D43FD">
          <w:pgSz w:w="16840" w:h="11907" w:orient="landscape"/>
          <w:pgMar w:top="1260" w:right="720" w:bottom="720" w:left="720" w:header="709" w:footer="709" w:gutter="0"/>
          <w:cols w:space="720"/>
        </w:sectPr>
      </w:pPr>
    </w:p>
    <w:p w14:paraId="40305E87" w14:textId="77777777" w:rsidR="003D43FD" w:rsidRDefault="00000000">
      <w:pPr>
        <w:rPr>
          <w:rFonts w:ascii="Arial" w:eastAsia="Arial" w:hAnsi="Arial" w:cs="Arial"/>
          <w:b/>
          <w:bCs/>
          <w:sz w:val="22"/>
          <w:szCs w:val="22"/>
        </w:rPr>
      </w:pPr>
      <w:r>
        <w:rPr>
          <w:rFonts w:ascii="Arial" w:eastAsia="Arial" w:hAnsi="Arial" w:cs="Arial"/>
          <w:b/>
          <w:bCs/>
          <w:sz w:val="22"/>
          <w:szCs w:val="22"/>
        </w:rPr>
        <w:t>Section 3: Preliminary Resources Estimate</w:t>
      </w:r>
    </w:p>
    <w:p w14:paraId="1AA73617" w14:textId="77777777" w:rsidR="003D43FD" w:rsidRDefault="003D43FD">
      <w:pPr>
        <w:rPr>
          <w:rFonts w:ascii="Arial" w:eastAsia="Arial" w:hAnsi="Arial" w:cs="Arial"/>
          <w:sz w:val="8"/>
          <w:szCs w:val="8"/>
        </w:rPr>
      </w:pPr>
    </w:p>
    <w:p w14:paraId="1BD2CA0E" w14:textId="77777777" w:rsidR="003D43FD" w:rsidRDefault="00000000">
      <w:pPr>
        <w:rPr>
          <w:rFonts w:ascii="Arial" w:eastAsia="Arial" w:hAnsi="Arial" w:cs="Arial"/>
          <w:i/>
          <w:iCs/>
          <w:sz w:val="20"/>
          <w:szCs w:val="20"/>
        </w:rPr>
      </w:pPr>
      <w:r>
        <w:rPr>
          <w:rFonts w:ascii="Arial" w:eastAsia="Arial" w:hAnsi="Arial" w:cs="Arial"/>
          <w:i/>
          <w:iCs/>
          <w:sz w:val="20"/>
          <w:szCs w:val="20"/>
        </w:rPr>
        <w:t>Please supply as much information as you can (at this stage) about the resources you are likely to need.</w:t>
      </w:r>
    </w:p>
    <w:p w14:paraId="009E2952" w14:textId="77777777" w:rsidR="003D43FD" w:rsidRDefault="003D43FD">
      <w:pPr>
        <w:rPr>
          <w:rFonts w:ascii="Arial" w:eastAsia="Arial" w:hAnsi="Arial" w:cs="Arial"/>
          <w:sz w:val="8"/>
          <w:szCs w:val="8"/>
        </w:rPr>
      </w:pPr>
    </w:p>
    <w:tbl>
      <w:tblPr>
        <w:tblStyle w:val="a2"/>
        <w:tblW w:w="10317" w:type="dxa"/>
        <w:tblInd w:w="108" w:type="dxa"/>
        <w:tblBorders>
          <w:top w:val="single" w:sz="12" w:space="0" w:color="000000"/>
          <w:left w:val="single" w:sz="12" w:space="0" w:color="000000"/>
          <w:bottom w:val="single" w:sz="12" w:space="0" w:color="000000"/>
          <w:right w:val="single" w:sz="12" w:space="0" w:color="000000"/>
          <w:insideH w:val="single" w:sz="8" w:space="0" w:color="808080"/>
          <w:insideV w:val="single" w:sz="8" w:space="0" w:color="808080"/>
        </w:tblBorders>
        <w:tblLayout w:type="fixed"/>
        <w:tblLook w:val="0000" w:firstRow="0" w:lastRow="0" w:firstColumn="0" w:lastColumn="0" w:noHBand="0" w:noVBand="0"/>
      </w:tblPr>
      <w:tblGrid>
        <w:gridCol w:w="10317"/>
      </w:tblGrid>
      <w:tr>
        <w:trPr>
          <w:trHeight w:hRule="auto"/>
        </w:trPr>
        <w:tc>
          <w:tcPr>
            <w:tcW w:type="dxa" w:w="10317"/>
          </w:tcPr>
          <w:p>
            <w:pPr>
              <w:keepNext w:val="0"/>
              <w:keepLines/>
              <w:spacing w:after="0" w:line="20" w:lineRule="exact"/>
            </w:pPr>
          </w:p>
          <w:tbl>
            <w:tblPr>
              <w:tblStyle w:val="TableGrid"/>
              <w:tblW w:type="auto" w:w="0"/>
              <w:tblLook w:firstColumn="1" w:firstRow="1" w:lastColumn="0" w:lastRow="0" w:noHBand="0" w:noVBand="1" w:val="04A0"/>
            </w:tblPr>
            <w:tblGrid>
              <w:gridCol w:w="2579"/>
              <w:gridCol w:w="2579"/>
              <w:gridCol w:w="2579"/>
              <w:gridCol w:w="2579"/>
            </w:tblGrid>
            <w:tr>
              <w:trPr>
                <w:trHeight w:hRule="auto"/>
                <w:cantSplit/>
                <w:tblHeader/>
              </w:trPr>
              <w:tc>
                <w:tcPr>
                  <w:tcW w:type="dxa" w:w="2579"/>
                </w:tcPr>
                <w:p>
                  <w:pPr>
                    <w:keepLines/>
                    <w:spacing w:after="60" w:line="240" w:lineRule="auto"/>
                  </w:pPr>
                  <w:r>
                    <w:rPr>
                      <w:rFonts w:ascii="Calibri" w:hAnsi="Calibri"/>
                      <w:b/>
                      <w:sz w:val="20"/>
                    </w:rPr>
                    <w:t>Resource</w:t>
                  </w:r>
                </w:p>
              </w:tc>
              <w:tc>
                <w:tcPr>
                  <w:tcW w:type="dxa" w:w="2579"/>
                </w:tcPr>
                <w:p>
                  <w:pPr>
                    <w:keepLines/>
                    <w:spacing w:after="60" w:line="240" w:lineRule="auto"/>
                  </w:pPr>
                  <w:r>
                    <w:rPr>
                      <w:rFonts w:ascii="Calibri" w:hAnsi="Calibri"/>
                      <w:b/>
                      <w:sz w:val="20"/>
                    </w:rPr>
                    <w:t>Choice and justification</w:t>
                  </w:r>
                </w:p>
              </w:tc>
              <w:tc>
                <w:tcPr>
                  <w:tcW w:type="dxa" w:w="2579"/>
                </w:tcPr>
                <w:p>
                  <w:pPr>
                    <w:keepLines/>
                    <w:spacing w:after="60" w:line="240" w:lineRule="auto"/>
                  </w:pPr>
                  <w:r>
                    <w:rPr>
                      <w:rFonts w:ascii="Calibri" w:hAnsi="Calibri"/>
                      <w:b/>
                      <w:sz w:val="20"/>
                    </w:rPr>
                    <w:t>Cost / lead time</w:t>
                  </w:r>
                </w:p>
              </w:tc>
              <w:tc>
                <w:tcPr>
                  <w:tcW w:type="dxa" w:w="2579"/>
                </w:tcPr>
                <w:p>
                  <w:pPr>
                    <w:keepLines/>
                    <w:spacing w:after="60" w:line="240" w:lineRule="auto"/>
                  </w:pPr>
                  <w:r>
                    <w:rPr>
                      <w:rFonts w:ascii="Calibri" w:hAnsi="Calibri"/>
                      <w:b/>
                      <w:sz w:val="20"/>
                    </w:rPr>
                    <w:t>Limitation and alternative</w:t>
                  </w:r>
                </w:p>
              </w:tc>
            </w:tr>
            <w:tr>
              <w:trPr>
                <w:trHeight w:hRule="auto"/>
                <w:cantSplit/>
              </w:trPr>
              <w:tc>
                <w:tcPr>
                  <w:tcW w:type="dxa" w:w="2579"/>
                </w:tcPr>
                <w:p>
                  <w:pPr>
                    <w:keepLines/>
                    <w:spacing w:after="60" w:line="240" w:lineRule="auto"/>
                  </w:pPr>
                  <w:r>
                    <w:rPr>
                      <w:rFonts w:ascii="Calibri" w:hAnsi="Calibri"/>
                      <w:sz w:val="20"/>
                    </w:rPr>
                    <w:t>Existing computer and storage</w:t>
                  </w:r>
                </w:p>
              </w:tc>
              <w:tc>
                <w:tcPr>
                  <w:tcW w:type="dxa" w:w="2579"/>
                </w:tcPr>
                <w:p>
                  <w:pPr>
                    <w:keepLines/>
                    <w:spacing w:after="60" w:line="240" w:lineRule="auto"/>
                  </w:pPr>
                  <w:r>
                    <w:rPr>
                      <w:rFonts w:ascii="Calibri" w:hAnsi="Calibri"/>
                      <w:sz w:val="20"/>
                    </w:rPr>
                    <w:t>CPU parsing and a small local index; existing machine already runs the prototype. No training GPU needed.</w:t>
                  </w:r>
                </w:p>
              </w:tc>
              <w:tc>
                <w:tcPr>
                  <w:tcW w:type="dxa" w:w="2579"/>
                </w:tcPr>
                <w:p>
                  <w:pPr>
                    <w:keepLines/>
                    <w:spacing w:after="60" w:line="240" w:lineRule="auto"/>
                  </w:pPr>
                  <w:r>
                    <w:rPr>
                      <w:rFonts w:ascii="Calibri" w:hAnsi="Calibri"/>
                      <w:sz w:val="20"/>
                    </w:rPr>
                    <w:t>£0 new hardware planned; available.</w:t>
                  </w:r>
                </w:p>
              </w:tc>
              <w:tc>
                <w:tcPr>
                  <w:tcW w:type="dxa" w:w="2579"/>
                </w:tcPr>
                <w:p>
                  <w:pPr>
                    <w:keepLines/>
                    <w:spacing w:after="60" w:line="240" w:lineRule="auto"/>
                  </w:pPr>
                  <w:r>
                    <w:rPr>
                      <w:rFonts w:ascii="Calibri" w:hAnsi="Calibri"/>
                      <w:sz w:val="20"/>
                    </w:rPr>
                    <w:t>Measure memory and disk use on the selected corpus; reduce batch size if necessary.</w:t>
                  </w:r>
                </w:p>
              </w:tc>
            </w:tr>
            <w:tr>
              <w:trPr>
                <w:trHeight w:hRule="auto"/>
                <w:cantSplit/>
              </w:trPr>
              <w:tc>
                <w:tcPr>
                  <w:tcW w:type="dxa" w:w="2579"/>
                </w:tcPr>
                <w:p>
                  <w:pPr>
                    <w:keepLines/>
                    <w:spacing w:after="60" w:line="240" w:lineRule="auto"/>
                  </w:pPr>
                  <w:r>
                    <w:rPr>
                      <w:rFonts w:ascii="Calibri" w:hAnsi="Calibri"/>
                      <w:sz w:val="20"/>
                    </w:rPr>
                    <w:t>Python, PyMuPDF, python-docx, NumPy, SQLite and Streamlit</w:t>
                  </w:r>
                </w:p>
              </w:tc>
              <w:tc>
                <w:tcPr>
                  <w:tcW w:type="dxa" w:w="2579"/>
                </w:tcPr>
                <w:p>
                  <w:pPr>
                    <w:keepLines/>
                    <w:spacing w:after="60" w:line="240" w:lineRule="auto"/>
                  </w:pPr>
                  <w:r>
                    <w:rPr>
                      <w:rFonts w:ascii="Calibri" w:hAnsi="Calibri"/>
                      <w:sz w:val="20"/>
                    </w:rPr>
                    <w:t>Inspectable parsing, scoring and persistence; a local interface and evaluator share the pipeline.</w:t>
                  </w:r>
                </w:p>
              </w:tc>
              <w:tc>
                <w:tcPr>
                  <w:tcW w:type="dxa" w:w="2579"/>
                </w:tcPr>
                <w:p>
                  <w:pPr>
                    <w:keepLines/>
                    <w:spacing w:after="60" w:line="240" w:lineRule="auto"/>
                  </w:pPr>
                  <w:r>
                    <w:rPr>
                      <w:rFonts w:ascii="Calibri" w:hAnsi="Calibri"/>
                      <w:sz w:val="20"/>
                    </w:rPr>
                    <w:t>£0 software purchase planned; environment working.</w:t>
                  </w:r>
                </w:p>
              </w:tc>
              <w:tc>
                <w:tcPr>
                  <w:tcW w:type="dxa" w:w="2579"/>
                </w:tcPr>
                <w:p>
                  <w:pPr>
                    <w:keepLines/>
                    <w:spacing w:after="60" w:line="240" w:lineRule="auto"/>
                  </w:pPr>
                  <w:r>
                    <w:rPr>
                      <w:rFonts w:ascii="Calibri" w:hAnsi="Calibri"/>
                      <w:sz w:val="20"/>
                    </w:rPr>
                    <w:t>Complex layouts need manual checks. Review library licences before distribution. A larger vector database is unnecessary for this small corpus.</w:t>
                  </w:r>
                </w:p>
              </w:tc>
            </w:tr>
            <w:tr>
              <w:trPr>
                <w:trHeight w:hRule="auto"/>
                <w:cantSplit/>
              </w:trPr>
              <w:tc>
                <w:tcPr>
                  <w:tcW w:type="dxa" w:w="2579"/>
                </w:tcPr>
                <w:p>
                  <w:pPr>
                    <w:keepLines/>
                    <w:spacing w:after="60" w:line="240" w:lineRule="auto"/>
                  </w:pPr>
                  <w:r>
                    <w:rPr>
                      <w:rFonts w:ascii="Calibri" w:hAnsi="Calibri"/>
                      <w:sz w:val="20"/>
                    </w:rPr>
                    <w:t>DeepSeek chat and a separate embedding API</w:t>
                  </w:r>
                </w:p>
              </w:tc>
              <w:tc>
                <w:tcPr>
                  <w:tcW w:type="dxa" w:w="2579"/>
                </w:tcPr>
                <w:p>
                  <w:pPr>
                    <w:keepLines/>
                    <w:spacing w:after="60" w:line="240" w:lineRule="auto"/>
                  </w:pPr>
                  <w:r>
                    <w:rPr>
                      <w:rFonts w:ascii="Calibri" w:hAnsi="Calibri"/>
                      <w:sz w:val="20"/>
                    </w:rPr>
                    <w:t>Reuse verified chat access; online vectors avoid local model deployment.</w:t>
                  </w:r>
                </w:p>
              </w:tc>
              <w:tc>
                <w:tcPr>
                  <w:tcW w:type="dxa" w:w="2579"/>
                </w:tcPr>
                <w:p>
                  <w:pPr>
                    <w:keepLines/>
                    <w:spacing w:after="60" w:line="240" w:lineRule="auto"/>
                  </w:pPr>
                  <w:r>
                    <w:rPr>
                      <w:rFonts w:ascii="Calibri" w:hAnsi="Calibri"/>
                      <w:sz w:val="20"/>
                    </w:rPr>
                    <w:t>Proposed combined ceiling £50; chat access verified, allow one week to verify embedding access.</w:t>
                  </w:r>
                </w:p>
              </w:tc>
              <w:tc>
                <w:tcPr>
                  <w:tcW w:type="dxa" w:w="2579"/>
                </w:tcPr>
                <w:p>
                  <w:pPr>
                    <w:keepLines/>
                    <w:spacing w:after="60" w:line="240" w:lineRule="auto"/>
                  </w:pPr>
                  <w:r>
                    <w:rPr>
                      <w:rFonts w:ascii="Calibri" w:hAnsi="Calibri"/>
                      <w:sz w:val="20"/>
                    </w:rPr>
                    <w:t>Chat access does not provide a configured embedding service. Record model identifiers, cost units and availability before full runs. No guaranteed price or service continuity.</w:t>
                  </w:r>
                </w:p>
              </w:tc>
            </w:tr>
            <w:tr>
              <w:trPr>
                <w:trHeight w:hRule="auto"/>
                <w:cantSplit/>
              </w:trPr>
              <w:tc>
                <w:tcPr>
                  <w:tcW w:type="dxa" w:w="2579"/>
                </w:tcPr>
                <w:p>
                  <w:pPr>
                    <w:keepLines/>
                    <w:spacing w:after="60" w:line="240" w:lineRule="auto"/>
                  </w:pPr>
                  <w:r>
                    <w:rPr>
                      <w:rFonts w:ascii="Calibri" w:hAnsi="Calibri"/>
                      <w:sz w:val="20"/>
                    </w:rPr>
                    <w:t>Standards and literature</w:t>
                  </w:r>
                </w:p>
              </w:tc>
              <w:tc>
                <w:tcPr>
                  <w:tcW w:type="dxa" w:w="2579"/>
                </w:tcPr>
                <w:p>
                  <w:pPr>
                    <w:keepLines/>
                    <w:spacing w:after="60" w:line="240" w:lineRule="auto"/>
                  </w:pPr>
                  <w:r>
                    <w:rPr>
                      <w:rFonts w:ascii="Calibri" w:hAnsi="Calibri"/>
                      <w:sz w:val="20"/>
                    </w:rPr>
                    <w:t>Select 20–30 usable documents from local candidates; use six initial papers to justify design and assessment.</w:t>
                  </w:r>
                </w:p>
              </w:tc>
              <w:tc>
                <w:tcPr>
                  <w:tcW w:type="dxa" w:w="2579"/>
                </w:tcPr>
                <w:p>
                  <w:pPr>
                    <w:keepLines/>
                    <w:spacing w:after="60" w:line="240" w:lineRule="auto"/>
                  </w:pPr>
                  <w:r>
                    <w:rPr>
                      <w:rFonts w:ascii="Calibri" w:hAnsi="Calibri"/>
                      <w:sz w:val="20"/>
                    </w:rPr>
                    <w:t>No new acquisition cost assumed; selection/permissions in Weeks 8–11.</w:t>
                  </w:r>
                </w:p>
              </w:tc>
              <w:tc>
                <w:tcPr>
                  <w:tcW w:type="dxa" w:w="2579"/>
                </w:tcPr>
                <w:p>
                  <w:pPr>
                    <w:keepLines/>
                    <w:spacing w:after="60" w:line="240" w:lineRule="auto"/>
                  </w:pPr>
                  <w:r>
                    <w:rPr>
                      <w:rFonts w:ascii="Calibri" w:hAnsi="Calibri"/>
                      <w:sz w:val="20"/>
                    </w:rPr>
                    <w:t>Replace unusable or unauthorised files. Reserve T07's 28 hours for drafting and checking questions.</w:t>
                  </w:r>
                </w:p>
              </w:tc>
            </w:tr>
            <w:tr>
              <w:trPr>
                <w:trHeight w:hRule="auto"/>
                <w:cantSplit/>
              </w:trPr>
              <w:tc>
                <w:tcPr>
                  <w:tcW w:type="dxa" w:w="2579"/>
                </w:tcPr>
                <w:p>
                  <w:pPr>
                    <w:keepLines/>
                    <w:spacing w:after="60" w:line="240" w:lineRule="auto"/>
                  </w:pPr>
                  <w:r>
                    <w:rPr>
                      <w:rFonts w:ascii="Calibri" w:hAnsi="Calibri"/>
                      <w:sz w:val="20"/>
                    </w:rPr>
                    <w:t>Git and separate backup</w:t>
                  </w:r>
                </w:p>
              </w:tc>
              <w:tc>
                <w:tcPr>
                  <w:tcW w:type="dxa" w:w="2579"/>
                </w:tcPr>
                <w:p>
                  <w:pPr>
                    <w:keepLines/>
                    <w:spacing w:after="60" w:line="240" w:lineRule="auto"/>
                  </w:pPr>
                  <w:r>
                    <w:rPr>
                      <w:rFonts w:ascii="Calibri" w:hAnsi="Calibri"/>
                      <w:sz w:val="20"/>
                    </w:rPr>
                    <w:t>Track code, labels and report changes; keep an independent approved backup.</w:t>
                  </w:r>
                </w:p>
              </w:tc>
              <w:tc>
                <w:tcPr>
                  <w:tcW w:type="dxa" w:w="2579"/>
                </w:tcPr>
                <w:p>
                  <w:pPr>
                    <w:keepLines/>
                    <w:spacing w:after="60" w:line="240" w:lineRule="auto"/>
                  </w:pPr>
                  <w:r>
                    <w:rPr>
                      <w:rFonts w:ascii="Calibri" w:hAnsi="Calibri"/>
                      <w:sz w:val="20"/>
                    </w:rPr>
                    <w:t>£0 if existing storage suffices; Git already initialised.</w:t>
                  </w:r>
                </w:p>
              </w:tc>
              <w:tc>
                <w:tcPr>
                  <w:tcW w:type="dxa" w:w="2579"/>
                </w:tcPr>
                <w:p>
                  <w:pPr>
                    <w:keepLines/>
                    <w:spacing w:after="60" w:line="240" w:lineRule="auto"/>
                  </w:pPr>
                  <w:r>
                    <w:rPr>
                      <w:rFonts w:ascii="Calibri" w:hAnsi="Calibri"/>
                      <w:sz w:val="20"/>
                    </w:rPr>
                    <w:t>Local Git alone is not a backup. Keep keys and restricted source documents out of published history.</w:t>
                  </w:r>
                </w:p>
              </w:tc>
            </w:tr>
          </w:tbl>
          <w:p>
            <w:pPr>
              <w:keepLines/>
              <w:spacing w:after="0" w:line="20" w:lineRule="exact"/>
            </w:pPr>
          </w:p>
          <w:p>
            <w:pPr>
              <w:keepLines/>
              <w:spacing w:after="60" w:line="240" w:lineRule="auto"/>
            </w:pPr>
            <w:r>
              <w:rPr>
                <w:rFonts w:ascii="Calibri" w:hAnsi="Calibri"/>
                <w:sz w:val="20"/>
              </w:rPr>
              <w:t>Budget basis: at most 500 generation requests for one pass over all 100 questions and five configurations, plus a provisional 100-call development/recovery allowance; the fixed test comparison itself is 80 × 5 = 400 runs. Embedding cost includes one corpus build and applicable query vectors, with caching. Estimate tokens using a permitted pilot and actual provider usage, not Chinese character counts. Allocate provisionally £35 to generation, £10 to embeddings and £5 contingency; this is a planning cap, not a quotation, funding approval or observed cost. Small live chat checks have already occurred; cumulative expenditure must be taken from the account ledger. Reassess the plan at 80% of the cap, retaining the fixed test set and all five comparisons before optional repeat runs. Confirm institutional funding arrangements separately; reimbursement is not assumed.</w:t>
            </w:r>
          </w:p>
          <w:p>
            <w:pPr>
              <w:keepLines/>
              <w:spacing w:after="60" w:line="240" w:lineRule="auto"/>
            </w:pPr>
            <w:r>
              <w:rPr>
                <w:rFonts w:ascii="Calibri" w:hAnsi="Calibri"/>
                <w:sz w:val="20"/>
              </w:rPr>
              <w:t>Workshop/access: allocated laboratory bench — No; Mechanical Workshop — No; Electronics Workshop — No; special IT support — No currently anticipated; purchase of special electronic components — No. This is desktop software work. If hardware scope changes, consult the School's purchasing/manufacturing process before ordering and account for its lead times.</w:t>
            </w:r>
          </w:p>
        </w:tc>
      </w:tr>
    </w:tbl>
    <w:p w14:paraId="49E0C12F" w14:textId="77777777" w:rsidR="003D43FD" w:rsidRDefault="003D43FD">
      <w:pPr>
        <w:rPr>
          <w:rFonts w:ascii="Arial" w:eastAsia="Arial" w:hAnsi="Arial" w:cs="Arial"/>
          <w:sz w:val="8"/>
          <w:szCs w:val="8"/>
        </w:rPr>
      </w:pPr>
    </w:p>
    <w:p w14:paraId="4E600596" w14:textId="77777777" w:rsidR="003D43FD" w:rsidRDefault="003D43FD">
      <w:pPr>
        <w:rPr>
          <w:rFonts w:ascii="Arial" w:eastAsia="Arial" w:hAnsi="Arial" w:cs="Arial"/>
          <w:sz w:val="20"/>
          <w:szCs w:val="20"/>
        </w:rPr>
        <w:sectPr w:rsidR="003D43FD">
          <w:pgSz w:w="11907" w:h="16840"/>
          <w:pgMar w:top="1260" w:right="720" w:bottom="720" w:left="720" w:header="709" w:footer="709" w:gutter="0"/>
          <w:cols w:space="720"/>
        </w:sectPr>
      </w:pPr>
    </w:p>
    <w:p w14:paraId="54C31957" w14:textId="77777777" w:rsidR="003D43FD" w:rsidRDefault="00000000">
      <w:pPr>
        <w:rPr>
          <w:rFonts w:ascii="Arial" w:eastAsia="Arial" w:hAnsi="Arial" w:cs="Arial"/>
          <w:b/>
          <w:bCs/>
          <w:sz w:val="22"/>
          <w:szCs w:val="22"/>
        </w:rPr>
      </w:pPr>
      <w:r>
        <w:rPr>
          <w:rFonts w:ascii="Arial" w:eastAsia="Arial" w:hAnsi="Arial" w:cs="Arial"/>
          <w:b/>
          <w:bCs/>
          <w:sz w:val="22"/>
          <w:szCs w:val="22"/>
        </w:rPr>
        <w:lastRenderedPageBreak/>
        <w:t>Section 4: Professional Practice, Risk, and Compliance</w:t>
      </w:r>
    </w:p>
    <w:p w14:paraId="5BB0143E" w14:textId="77777777" w:rsidR="003D43FD" w:rsidRDefault="003D43FD">
      <w:pPr>
        <w:spacing w:before="0" w:after="0" w:line="40" w:lineRule="exact"/>
        <w:rPr>
          <w:rFonts w:ascii="Arial" w:eastAsia="Arial" w:hAnsi="Arial" w:cs="Arial"/>
          <w:sz w:val="8"/>
          <w:szCs w:val="8"/>
        </w:rPr>
      </w:pPr>
    </w:p>
    <w:p w14:paraId="0D056F1C" w14:textId="77777777" w:rsidR="003D43FD" w:rsidRDefault="00000000">
      <w:pPr>
        <w:spacing w:line="259" w:lineRule="auto"/>
        <w:rPr>
          <w:rFonts w:ascii="Arial" w:eastAsia="Arial" w:hAnsi="Arial" w:cs="Arial"/>
          <w:i/>
          <w:iCs/>
          <w:sz w:val="20"/>
          <w:szCs w:val="20"/>
        </w:rPr>
      </w:pPr>
      <w:r>
        <w:rPr>
          <w:rFonts w:ascii="Arial" w:eastAsia="Arial" w:hAnsi="Arial" w:cs="Arial"/>
          <w:i/>
          <w:iCs/>
          <w:sz w:val="20"/>
          <w:szCs w:val="20"/>
        </w:rPr>
        <w:t>Before completing this section, please refer to the corresponding part of the handbook.</w:t>
      </w:r>
    </w:p>
    <w:p w14:paraId="24843DD2" w14:textId="77777777" w:rsidR="003D43FD" w:rsidRDefault="003D43FD">
      <w:pPr>
        <w:spacing w:line="40" w:lineRule="exact" w:before="0" w:after="0"/>
        <w:rPr>
          <w:rFonts w:ascii="Arial" w:eastAsia="Arial" w:hAnsi="Arial" w:cs="Arial"/>
          <w:i/>
          <w:iCs/>
        </w:rPr>
      </w:pPr>
    </w:p>
    <w:p w14:paraId="0044610F" w14:textId="77777777" w:rsidR="003D43FD" w:rsidRDefault="00000000">
      <w:pPr>
        <w:keepNext/>
        <w:spacing w:line="259" w:lineRule="auto"/>
        <w:rPr>
          <w:rFonts w:ascii="Arial" w:eastAsia="Arial" w:hAnsi="Arial" w:cs="Arial"/>
          <w:b/>
          <w:bCs/>
          <w:i/>
          <w:iCs/>
          <w:sz w:val="22"/>
          <w:szCs w:val="22"/>
        </w:rPr>
      </w:pPr>
      <w:r>
        <w:rPr>
          <w:rFonts w:ascii="Arial" w:eastAsia="Arial" w:hAnsi="Arial" w:cs="Arial"/>
          <w:b/>
          <w:bCs/>
          <w:i/>
          <w:iCs/>
          <w:sz w:val="22"/>
          <w:szCs w:val="22"/>
        </w:rPr>
        <w:t>Societal and environmental considerations</w:t>
      </w:r>
    </w:p>
    <w:tbl>
      <w:tblPr>
        <w:tblStyle w:val="a3"/>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trPr>
        <w:tc>
          <w:tcPr>
            <w:tcW w:type="dxa" w:w="10317"/>
          </w:tcPr>
          <w:p>
            <w:pPr>
              <w:keepNext w:val="0"/>
              <w:keepLines/>
              <w:spacing w:after="0" w:line="20" w:lineRule="exact"/>
            </w:pPr>
          </w:p>
          <w:p>
            <w:pPr>
              <w:keepLines/>
              <w:spacing w:after="60" w:line="240" w:lineRule="auto"/>
            </w:pPr>
            <w:r>
              <w:rPr>
                <w:rFonts w:ascii="Calibri" w:hAnsi="Calibri"/>
                <w:sz w:val="20"/>
              </w:rPr>
              <w:t>User benefit is easier access to inspectable clauses. Wrong editions, numerical errors and omitted conditions could mislead users; the interface will show evidence and version labels and distinguish insufficient evidence from a supported answer. It will not certify compliance. No measured productivity or safety benefit is claimed.</w:t>
            </w:r>
          </w:p>
          <w:p>
            <w:pPr>
              <w:keepLines/>
              <w:spacing w:after="60" w:line="240" w:lineRule="auto"/>
            </w:pPr>
            <w:r>
              <w:rPr>
                <w:rFonts w:ascii="Calibri" w:hAnsi="Calibri"/>
                <w:sz w:val="20"/>
              </w:rPr>
              <w:t>Inclusion: provide readable Chinese text, labelled keyboard-operable controls, selectable evidence and status messages independent of colour. Test specialist terms and ordinary-language paraphrases. This first study does not establish English-language coverage or universal accessibility.</w:t>
            </w:r>
          </w:p>
          <w:p>
            <w:pPr>
              <w:keepLines/>
              <w:spacing w:after="60" w:line="240" w:lineRule="auto"/>
            </w:pPr>
            <w:r>
              <w:rPr>
                <w:rFonts w:ascii="Calibri" w:hAnsi="Calibri"/>
                <w:sz w:val="20"/>
              </w:rPr>
              <w:t>Sustainability: reuse hardware, avoid model training, cache unchanged vectors and limit unnecessary API reruns. Log available request/token counts as resource-use indicators; do not equate them with measured carbon emissions. Preserve configuration and documentation so the prototype can be maintained without rebuilding unchanged data.</w:t>
            </w:r>
          </w:p>
        </w:tc>
      </w:tr>
    </w:tbl>
    <w:p w14:paraId="396FAC5A" w14:textId="77777777" w:rsidR="003D43FD" w:rsidRDefault="003D43FD">
      <w:pPr>
        <w:spacing w:line="40" w:lineRule="exact" w:before="0" w:after="0"/>
        <w:rPr>
          <w:rFonts w:ascii="Arial" w:eastAsia="Arial" w:hAnsi="Arial" w:cs="Arial"/>
          <w:i/>
          <w:iCs/>
        </w:rPr>
      </w:pPr>
    </w:p>
    <w:p w14:paraId="0C33D469" w14:textId="77777777" w:rsidR="003D43FD" w:rsidRDefault="00000000">
      <w:pPr>
        <w:keepNext/>
        <w:rPr>
          <w:rFonts w:ascii="Arial" w:eastAsia="Arial" w:hAnsi="Arial" w:cs="Arial"/>
          <w:b/>
          <w:bCs/>
          <w:sz w:val="22"/>
          <w:szCs w:val="22"/>
        </w:rPr>
      </w:pPr>
      <w:r>
        <w:rPr>
          <w:rFonts w:ascii="Arial" w:eastAsia="Arial" w:hAnsi="Arial" w:cs="Arial"/>
          <w:b/>
          <w:bCs/>
          <w:i/>
          <w:iCs/>
          <w:sz w:val="22"/>
          <w:szCs w:val="22"/>
        </w:rPr>
        <w:t>Ethics</w:t>
      </w:r>
      <w:r>
        <w:rPr>
          <w:rFonts w:ascii="Arial" w:eastAsia="Arial" w:hAnsi="Arial" w:cs="Arial"/>
          <w:b/>
          <w:bCs/>
          <w:sz w:val="22"/>
          <w:szCs w:val="22"/>
        </w:rPr>
        <w:t>:</w:t>
      </w:r>
    </w:p>
    <w:p w14:paraId="3B688035" w14:textId="77777777" w:rsidR="003D43FD" w:rsidRDefault="003D43FD">
      <w:pPr>
        <w:spacing w:before="0" w:after="0" w:line="40" w:lineRule="exact"/>
        <w:rPr>
          <w:rFonts w:ascii="Arial" w:eastAsia="Arial" w:hAnsi="Arial" w:cs="Arial"/>
          <w:sz w:val="8"/>
          <w:szCs w:val="8"/>
        </w:rPr>
      </w:pPr>
    </w:p>
    <w:p w14:paraId="330B56B5" w14:textId="77777777" w:rsidR="003D43FD" w:rsidRDefault="00000000">
      <w:pPr>
        <w:rPr>
          <w:rFonts w:ascii="Arial" w:eastAsia="Arial" w:hAnsi="Arial" w:cs="Arial"/>
          <w:i/>
          <w:iCs/>
          <w:sz w:val="20"/>
          <w:szCs w:val="20"/>
        </w:rPr>
      </w:pPr>
      <w:r>
        <w:rPr>
          <w:rFonts w:ascii="Arial" w:eastAsia="Arial" w:hAnsi="Arial" w:cs="Arial"/>
          <w:i/>
          <w:iCs/>
          <w:sz w:val="20"/>
          <w:szCs w:val="20"/>
        </w:rPr>
        <w:t xml:space="preserve">Please select one of the options below. Please refer to </w:t>
      </w:r>
      <w:hyperlink r:id="rId9">
        <w:r>
          <w:rPr>
            <w:color w:val="0000FF"/>
            <w:sz w:val="20"/>
            <w:szCs w:val="20"/>
            <w:u w:val="single"/>
          </w:rPr>
          <w:t>www.leeds.ac.uk/ethics</w:t>
        </w:r>
      </w:hyperlink>
      <w:r>
        <w:rPr>
          <w:sz w:val="20"/>
          <w:szCs w:val="20"/>
        </w:rPr>
        <w:t xml:space="preserve">  </w:t>
      </w:r>
    </w:p>
    <w:tbl>
      <w:tblPr>
        <w:tblStyle w:val="a4"/>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trPr>
        <w:tc>
          <w:tcPr>
            <w:tcW w:type="dxa" w:w="10317"/>
          </w:tcPr>
          <w:p>
            <w:pPr>
              <w:keepNext w:val="0"/>
              <w:keepLines/>
              <w:spacing w:after="0" w:line="20" w:lineRule="exact"/>
            </w:pPr>
          </w:p>
          <w:p>
            <w:pPr>
              <w:keepLines/>
              <w:spacing w:after="60" w:line="240" w:lineRule="auto"/>
            </w:pPr>
            <w:r>
              <w:rPr>
                <w:rFonts w:ascii="Calibri" w:hAnsi="Calibri"/>
                <w:sz w:val="20"/>
              </w:rPr>
              <w:t>Use technical documents and researcher-prepared questions; no participant recruitment or personal-data study is planned. Record provenance, confidentiality and permission for cloud processing before sending each document. A local permission toggle records a decision but does not establish legal permission. Exclude restricted material and engineering drawings from external processing in this phase. Check service retention conditions for permitted data.</w:t>
            </w:r>
          </w:p>
          <w:p>
            <w:pPr>
              <w:keepLines/>
              <w:spacing w:after="60" w:line="240" w:lineRule="auto"/>
            </w:pPr>
            <w:r>
              <w:rPr>
                <w:rFonts w:ascii="Calibri" w:hAnsi="Calibri"/>
                <w:sz w:val="20"/>
              </w:rPr>
              <w:t>Acknowledge the supplied reference implementation, literature and AI assistance in code and writing; keep development records. Do not present generated annotations, planned improvements or test targets as measured results. The applicable assessment brief governs permitted assistance. Neither ethics checkbox is selected here: the student and supervisor must determine the applicable option. Any later participant study requires review before recruitment.</w:t>
            </w:r>
          </w:p>
          <w:p>
            <w:pPr>
              <w:keepLines/>
              <w:spacing w:after="60" w:line="240" w:lineRule="auto"/>
            </w:pPr>
            <w:r>
              <w:rPr>
                <w:rFonts w:ascii="Calibri" w:hAnsi="Calibri"/>
                <w:sz w:val="20"/>
              </w:rPr>
              <w:t>☐ My project does not involve human participants, personal data or other ethical issues requiring review.</w:t>
            </w:r>
          </w:p>
          <w:p>
            <w:pPr>
              <w:keepLines/>
              <w:spacing w:after="60" w:line="240" w:lineRule="auto"/>
            </w:pPr>
            <w:r>
              <w:rPr>
                <w:rFonts w:ascii="Calibri" w:hAnsi="Calibri"/>
                <w:sz w:val="20"/>
              </w:rPr>
              <w:t>☐ My project involves human participants, personal data or other ethical issues. I have discussed this with my supervisor and will obtain ethical approval before starting that work.</w:t>
            </w:r>
          </w:p>
        </w:tc>
      </w:tr>
    </w:tbl>
    <w:p w14:paraId="53186141" w14:textId="77777777" w:rsidR="003D43FD" w:rsidRDefault="003D43FD">
      <w:pPr>
        <w:spacing w:before="0" w:after="0" w:line="40" w:lineRule="exact"/>
      </w:pPr>
    </w:p>
    <w:p w14:paraId="6957ECF4" w14:textId="77777777" w:rsidR="003D43FD" w:rsidRDefault="00000000">
      <w:pPr>
        <w:keepNext/>
        <w:spacing w:line="259" w:lineRule="auto"/>
        <w:rPr>
          <w:rFonts w:ascii="Arial" w:eastAsia="Arial" w:hAnsi="Arial" w:cs="Arial"/>
          <w:b/>
          <w:bCs/>
          <w:i/>
          <w:iCs/>
          <w:sz w:val="22"/>
          <w:szCs w:val="22"/>
        </w:rPr>
      </w:pPr>
      <w:r>
        <w:rPr>
          <w:rFonts w:ascii="Arial" w:eastAsia="Arial" w:hAnsi="Arial" w:cs="Arial"/>
          <w:b/>
          <w:bCs/>
          <w:i/>
          <w:iCs/>
          <w:sz w:val="22"/>
          <w:szCs w:val="22"/>
        </w:rPr>
        <w:t xml:space="preserve">Risk Register </w:t>
      </w:r>
    </w:p>
    <w:tbl>
      <w:tblPr>
        <w:tblStyle w:val="a5"/>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trPr>
        <w:tc>
          <w:tcPr>
            <w:tcW w:type="dxa" w:w="10317"/>
          </w:tcPr>
          <w:p>
            <w:pPr>
              <w:keepNext w:val="0"/>
              <w:keepLines/>
              <w:spacing w:after="0" w:line="20" w:lineRule="exact"/>
            </w:pPr>
          </w:p>
          <w:p>
            <w:pPr>
              <w:keepLines/>
              <w:spacing w:after="60" w:line="240" w:lineRule="auto"/>
            </w:pPr>
            <w:r>
              <w:rPr>
                <w:rFonts w:ascii="Calibri" w:hAnsi="Calibri"/>
                <w:sz w:val="20"/>
              </w:rPr>
              <w:t>Likelihood/impact: L = Low, M = Medium, H = High. Initial ratings are planning judgements. The student owns all risks and will review triggers, actions and residual risk at each supervision meeting.</w:t>
            </w:r>
          </w:p>
          <w:tbl>
            <w:tblPr>
              <w:tblStyle w:val="TableGrid"/>
              <w:tblW w:type="auto" w:w="0"/>
              <w:tblLayout w:type="fixed"/>
              <w:tblLook w:firstColumn="1" w:firstRow="1" w:lastColumn="0" w:lastRow="0" w:noHBand="0" w:noVBand="1" w:val="04A0"/>
            </w:tblPr>
            <w:tblGrid>
              <w:gridCol w:w="2376"/>
              <w:gridCol w:w="792"/>
              <w:gridCol w:w="7056"/>
            </w:tblGrid>
            <w:tr>
              <w:trPr>
                <w:trHeight w:hRule="auto"/>
                <w:cantSplit/>
                <w:tblHeader/>
              </w:trPr>
              <w:tc>
                <w:tcPr>
                  <w:tcW w:type="dxa" w:w="2376"/>
                </w:tcPr>
                <w:p>
                  <w:pPr>
                    <w:keepLines/>
                    <w:spacing w:after="60" w:line="240" w:lineRule="auto"/>
                  </w:pPr>
                  <w:r>
                    <w:rPr>
                      <w:rFonts w:ascii="Calibri" w:hAnsi="Calibri"/>
                      <w:b/>
                      <w:sz w:val="20"/>
                    </w:rPr>
                    <w:t>ID / risk</w:t>
                  </w:r>
                </w:p>
              </w:tc>
              <w:tc>
                <w:tcPr>
                  <w:tcW w:type="dxa" w:w="792"/>
                </w:tcPr>
                <w:p>
                  <w:pPr>
                    <w:keepLines/>
                    <w:spacing w:after="60" w:line="240" w:lineRule="auto"/>
                  </w:pPr>
                  <w:r>
                    <w:rPr>
                      <w:rFonts w:ascii="Calibri" w:hAnsi="Calibri"/>
                      <w:b/>
                      <w:sz w:val="20"/>
                    </w:rPr>
                    <w:t>L / I</w:t>
                  </w:r>
                </w:p>
              </w:tc>
              <w:tc>
                <w:tcPr>
                  <w:tcW w:type="dxa" w:w="7056"/>
                </w:tcPr>
                <w:p>
                  <w:pPr>
                    <w:keepLines/>
                    <w:spacing w:after="60" w:line="240" w:lineRule="auto"/>
                  </w:pPr>
                  <w:r>
                    <w:rPr>
                      <w:rFonts w:ascii="Calibri" w:hAnsi="Calibri"/>
                      <w:b/>
                      <w:sz w:val="20"/>
                    </w:rPr>
                    <w:t>Trigger, mitigation and affected tasks</w:t>
                  </w:r>
                </w:p>
              </w:tc>
            </w:tr>
            <w:tr>
              <w:trPr>
                <w:trHeight w:hRule="auto"/>
                <w:cantSplit/>
              </w:trPr>
              <w:tc>
                <w:tcPr>
                  <w:tcW w:type="dxa" w:w="2376"/>
                </w:tcPr>
                <w:p>
                  <w:pPr>
                    <w:keepLines/>
                    <w:spacing w:after="60" w:line="240" w:lineRule="auto"/>
                  </w:pPr>
                  <w:r>
                    <w:rPr>
                      <w:rFonts w:ascii="Calibri" w:hAnsi="Calibri"/>
                      <w:sz w:val="20"/>
                    </w:rPr>
                    <w:t>R1 Extraction failure</w:t>
                  </w:r>
                </w:p>
              </w:tc>
              <w:tc>
                <w:tcPr>
                  <w:tcW w:type="dxa" w:w="792"/>
                </w:tcPr>
                <w:p>
                  <w:pPr>
                    <w:keepLines/>
                    <w:spacing w:after="60" w:line="240" w:lineRule="auto"/>
                  </w:pPr>
                  <w:r>
                    <w:rPr>
                      <w:rFonts w:ascii="Calibri" w:hAnsi="Calibri"/>
                      <w:sz w:val="20"/>
                    </w:rPr>
                    <w:t>H / H</w:t>
                  </w:r>
                </w:p>
              </w:tc>
              <w:tc>
                <w:tcPr>
                  <w:tcW w:type="dxa" w:w="7056"/>
                </w:tcPr>
                <w:p>
                  <w:pPr>
                    <w:keepLines/>
                    <w:spacing w:after="60" w:line="240" w:lineRule="auto"/>
                  </w:pPr>
                  <w:r>
                    <w:rPr>
                      <w:rFonts w:ascii="Calibri" w:hAnsi="Calibri"/>
                      <w:sz w:val="20"/>
                    </w:rPr>
                    <w:t>Scans, broken tables or lost units: audit pages, replace unsuitable files and log exclusions; no silent ingestion. T03/T06, before M2.</w:t>
                  </w:r>
                </w:p>
              </w:tc>
            </w:tr>
            <w:tr>
              <w:trPr>
                <w:trHeight w:hRule="auto"/>
                <w:cantSplit/>
              </w:trPr>
              <w:tc>
                <w:tcPr>
                  <w:tcW w:type="dxa" w:w="2376"/>
                </w:tcPr>
                <w:p>
                  <w:pPr>
                    <w:keepLines/>
                    <w:spacing w:after="60" w:line="240" w:lineRule="auto"/>
                  </w:pPr>
                  <w:r>
                    <w:rPr>
                      <w:rFonts w:ascii="Calibri" w:hAnsi="Calibri"/>
                      <w:sz w:val="20"/>
                    </w:rPr>
                    <w:t>R2 Wrong edition or duplicates</w:t>
                  </w:r>
                </w:p>
              </w:tc>
              <w:tc>
                <w:tcPr>
                  <w:tcW w:type="dxa" w:w="792"/>
                </w:tcPr>
                <w:p>
                  <w:pPr>
                    <w:keepLines/>
                    <w:spacing w:after="60" w:line="240" w:lineRule="auto"/>
                  </w:pPr>
                  <w:r>
                    <w:rPr>
                      <w:rFonts w:ascii="Calibri" w:hAnsi="Calibri"/>
                      <w:sz w:val="20"/>
                    </w:rPr>
                    <w:t>H / H</w:t>
                  </w:r>
                </w:p>
              </w:tc>
              <w:tc>
                <w:tcPr>
                  <w:tcW w:type="dxa" w:w="7056"/>
                </w:tcPr>
                <w:p>
                  <w:pPr>
                    <w:keepLines/>
                    <w:spacing w:after="60" w:line="240" w:lineRule="auto"/>
                  </w:pPr>
                  <w:r>
                    <w:rPr>
                      <w:rFonts w:ascii="Calibri" w:hAnsi="Calibri"/>
                      <w:sz w:val="20"/>
                    </w:rPr>
                    <w:t>Metadata conflicts: verify document pages and hashes, preserve years and test missing editions. T06/T08, before M3.</w:t>
                  </w:r>
                </w:p>
              </w:tc>
            </w:tr>
            <w:tr>
              <w:trPr>
                <w:trHeight w:hRule="auto"/>
                <w:cantSplit/>
              </w:trPr>
              <w:tc>
                <w:tcPr>
                  <w:tcW w:type="dxa" w:w="2376"/>
                </w:tcPr>
                <w:p>
                  <w:pPr>
                    <w:keepLines/>
                    <w:spacing w:after="60" w:line="240" w:lineRule="auto"/>
                  </w:pPr>
                  <w:r>
                    <w:rPr>
                      <w:rFonts w:ascii="Calibri" w:hAnsi="Calibri"/>
                      <w:sz w:val="20"/>
                    </w:rPr>
                    <w:t>R3 Unsupported answers</w:t>
                  </w:r>
                </w:p>
              </w:tc>
              <w:tc>
                <w:tcPr>
                  <w:tcW w:type="dxa" w:w="792"/>
                </w:tcPr>
                <w:p>
                  <w:pPr>
                    <w:keepLines/>
                    <w:spacing w:after="60" w:line="240" w:lineRule="auto"/>
                  </w:pPr>
                  <w:r>
                    <w:rPr>
                      <w:rFonts w:ascii="Calibri" w:hAnsi="Calibri"/>
                      <w:sz w:val="20"/>
                    </w:rPr>
                    <w:t>M / H</w:t>
                  </w:r>
                </w:p>
              </w:tc>
              <w:tc>
                <w:tcPr>
                  <w:tcW w:type="dxa" w:w="7056"/>
                </w:tcPr>
                <w:p>
                  <w:pPr>
                    <w:keepLines/>
                    <w:spacing w:after="60" w:line="240" w:lineRule="auto"/>
                  </w:pPr>
                  <w:r>
                    <w:rPr>
                      <w:rFonts w:ascii="Calibri" w:hAnsi="Calibri"/>
                      <w:sz w:val="20"/>
                    </w:rPr>
                    <w:t>Claims lack support or omit conditions: evidence gate, excerpt checks and manual semantic scoring; report false refusals. T09/T12.</w:t>
                  </w:r>
                </w:p>
              </w:tc>
            </w:tr>
            <w:tr>
              <w:trPr>
                <w:trHeight w:hRule="auto"/>
                <w:cantSplit/>
              </w:trPr>
              <w:tc>
                <w:tcPr>
                  <w:tcW w:type="dxa" w:w="2376"/>
                </w:tcPr>
                <w:p>
                  <w:pPr>
                    <w:keepLines/>
                    <w:spacing w:after="60" w:line="240" w:lineRule="auto"/>
                  </w:pPr>
                  <w:r>
                    <w:rPr>
                      <w:rFonts w:ascii="Calibri" w:hAnsi="Calibri"/>
                      <w:sz w:val="20"/>
                    </w:rPr>
                    <w:t>R4 API/cost/model changes</w:t>
                  </w:r>
                </w:p>
              </w:tc>
              <w:tc>
                <w:tcPr>
                  <w:tcW w:type="dxa" w:w="792"/>
                </w:tcPr>
                <w:p>
                  <w:pPr>
                    <w:keepLines/>
                    <w:spacing w:after="60" w:line="240" w:lineRule="auto"/>
                  </w:pPr>
                  <w:r>
                    <w:rPr>
                      <w:rFonts w:ascii="Calibri" w:hAnsi="Calibri"/>
                      <w:sz w:val="20"/>
                    </w:rPr>
                    <w:t>M / H</w:t>
                  </w:r>
                </w:p>
              </w:tc>
              <w:tc>
                <w:tcPr>
                  <w:tcW w:type="dxa" w:w="7056"/>
                </w:tcPr>
                <w:p>
                  <w:pPr>
                    <w:keepLines/>
                    <w:spacing w:after="60" w:line="240" w:lineRule="auto"/>
                  </w:pPr>
                  <w:r>
                    <w:rPr>
                      <w:rFonts w:ascii="Calibri" w:hAnsi="Calibri"/>
                      <w:sz w:val="20"/>
                    </w:rPr>
                    <w:t>Access fails, model changes or 80% cap reached: pilot early, cache vectors, log failures, freeze model identifiers and retain local retrieval. Verify embedding access in T05; integration buffer T10.</w:t>
                  </w:r>
                </w:p>
              </w:tc>
            </w:tr>
            <w:tr>
              <w:trPr>
                <w:trHeight w:hRule="auto"/>
                <w:cantSplit/>
              </w:trPr>
              <w:tc>
                <w:tcPr>
                  <w:tcW w:type="dxa" w:w="2376"/>
                </w:tcPr>
                <w:p>
                  <w:pPr>
                    <w:keepLines/>
                    <w:spacing w:after="60" w:line="240" w:lineRule="auto"/>
                  </w:pPr>
                  <w:r>
                    <w:rPr>
                      <w:rFonts w:ascii="Calibri" w:hAnsi="Calibri"/>
                      <w:sz w:val="20"/>
                    </w:rPr>
                    <w:t>R5 Annotation/leakage</w:t>
                  </w:r>
                </w:p>
              </w:tc>
              <w:tc>
                <w:tcPr>
                  <w:tcW w:type="dxa" w:w="792"/>
                </w:tcPr>
                <w:p>
                  <w:pPr>
                    <w:keepLines/>
                    <w:spacing w:after="60" w:line="240" w:lineRule="auto"/>
                  </w:pPr>
                  <w:r>
                    <w:rPr>
                      <w:rFonts w:ascii="Calibri" w:hAnsi="Calibri"/>
                      <w:sz w:val="20"/>
                    </w:rPr>
                    <w:t>M / H</w:t>
                  </w:r>
                </w:p>
              </w:tc>
              <w:tc>
                <w:tcPr>
                  <w:tcW w:type="dxa" w:w="7056"/>
                </w:tcPr>
                <w:p>
                  <w:pPr>
                    <w:keepLines/>
                    <w:spacing w:after="60" w:line="240" w:lineRule="auto"/>
                  </w:pPr>
                  <w:r>
                    <w:rPr>
                      <w:rFonts w:ascii="Calibri" w:hAnsi="Calibri"/>
                      <w:sz w:val="20"/>
                    </w:rPr>
                    <w:t>Ambiguous labels or related facts cross splits: grouped split, separate label recheck and immutable freeze before testing; mask configuration during scoring. T07/T11/T12.</w:t>
                  </w:r>
                </w:p>
              </w:tc>
            </w:tr>
            <w:tr>
              <w:trPr>
                <w:trHeight w:hRule="auto"/>
                <w:cantSplit/>
              </w:trPr>
              <w:tc>
                <w:tcPr>
                  <w:tcW w:type="dxa" w:w="2376"/>
                </w:tcPr>
                <w:p>
                  <w:pPr>
                    <w:keepLines/>
                    <w:spacing w:after="60" w:line="240" w:lineRule="auto"/>
                  </w:pPr>
                  <w:r>
                    <w:rPr>
                      <w:rFonts w:ascii="Calibri" w:hAnsi="Calibri"/>
                      <w:sz w:val="20"/>
                    </w:rPr>
                    <w:t>R6 Data permissions</w:t>
                  </w:r>
                </w:p>
              </w:tc>
              <w:tc>
                <w:tcPr>
                  <w:tcW w:type="dxa" w:w="792"/>
                </w:tcPr>
                <w:p>
                  <w:pPr>
                    <w:keepLines/>
                    <w:spacing w:after="60" w:line="240" w:lineRule="auto"/>
                  </w:pPr>
                  <w:r>
                    <w:rPr>
                      <w:rFonts w:ascii="Calibri" w:hAnsi="Calibri"/>
                      <w:sz w:val="20"/>
                    </w:rPr>
                    <w:t>M / H</w:t>
                  </w:r>
                </w:p>
              </w:tc>
              <w:tc>
                <w:tcPr>
                  <w:tcW w:type="dxa" w:w="7056"/>
                </w:tcPr>
                <w:p>
                  <w:pPr>
                    <w:keepLines/>
                    <w:spacing w:after="60" w:line="240" w:lineRule="auto"/>
                  </w:pPr>
                  <w:r>
                    <w:rPr>
                      <w:rFonts w:ascii="Calibri" w:hAnsi="Calibri"/>
                      <w:sz w:val="20"/>
                    </w:rPr>
                    <w:t>Cloud rights unresolved: keep affected files local and select authorised replacements before corpus freeze. T03/T06.</w:t>
                  </w:r>
                </w:p>
              </w:tc>
            </w:tr>
            <w:tr>
              <w:trPr>
                <w:trHeight w:hRule="auto"/>
                <w:cantSplit/>
              </w:trPr>
              <w:tc>
                <w:tcPr>
                  <w:tcW w:type="dxa" w:w="2376"/>
                </w:tcPr>
                <w:p>
                  <w:pPr>
                    <w:keepLines/>
                    <w:spacing w:after="60" w:line="240" w:lineRule="auto"/>
                  </w:pPr>
                  <w:r>
                    <w:rPr>
                      <w:rFonts w:ascii="Calibri" w:hAnsi="Calibri"/>
                      <w:sz w:val="20"/>
                    </w:rPr>
                    <w:t>R7 Schedule/scope</w:t>
                  </w:r>
                </w:p>
              </w:tc>
              <w:tc>
                <w:tcPr>
                  <w:tcW w:type="dxa" w:w="792"/>
                </w:tcPr>
                <w:p>
                  <w:pPr>
                    <w:keepLines/>
                    <w:spacing w:after="60" w:line="240" w:lineRule="auto"/>
                  </w:pPr>
                  <w:r>
                    <w:rPr>
                      <w:rFonts w:ascii="Calibri" w:hAnsi="Calibri"/>
                      <w:sz w:val="20"/>
                    </w:rPr>
                    <w:t>M / H</w:t>
                  </w:r>
                </w:p>
              </w:tc>
              <w:tc>
                <w:tcPr>
                  <w:tcW w:type="dxa" w:w="7056"/>
                </w:tcPr>
                <w:p>
                  <w:pPr>
                    <w:keepLines/>
                    <w:spacing w:after="60" w:line="240" w:lineRule="auto"/>
                  </w:pPr>
                  <w:r>
                    <w:rPr>
                      <w:rFonts w:ascii="Calibri" w:hAnsi="Calibri"/>
                      <w:sz w:val="20"/>
                    </w:rPr>
                    <w:t>Milestone slips: prioritise five comparisons, defer OCR/drawings, review effort and use Weeks 23–24 buffer. T11–T15; preserve Symposium attendance.</w:t>
                  </w:r>
                </w:p>
              </w:tc>
            </w:tr>
            <w:tr>
              <w:trPr>
                <w:trHeight w:hRule="auto"/>
                <w:cantSplit/>
              </w:trPr>
              <w:tc>
                <w:tcPr>
                  <w:tcW w:type="dxa" w:w="2376"/>
                </w:tcPr>
                <w:p>
                  <w:pPr>
                    <w:keepLines/>
                    <w:spacing w:after="60" w:line="240" w:lineRule="auto"/>
                  </w:pPr>
                  <w:r>
                    <w:rPr>
                      <w:rFonts w:ascii="Calibri" w:hAnsi="Calibri"/>
                      <w:sz w:val="20"/>
                    </w:rPr>
                    <w:t>R8 Data loss</w:t>
                  </w:r>
                </w:p>
              </w:tc>
              <w:tc>
                <w:tcPr>
                  <w:tcW w:type="dxa" w:w="792"/>
                </w:tcPr>
                <w:p>
                  <w:pPr>
                    <w:keepLines/>
                    <w:spacing w:after="60" w:line="240" w:lineRule="auto"/>
                  </w:pPr>
                  <w:r>
                    <w:rPr>
                      <w:rFonts w:ascii="Calibri" w:hAnsi="Calibri"/>
                      <w:sz w:val="20"/>
                    </w:rPr>
                    <w:t>L / H</w:t>
                  </w:r>
                </w:p>
              </w:tc>
              <w:tc>
                <w:tcPr>
                  <w:tcW w:type="dxa" w:w="7056"/>
                </w:tcPr>
                <w:p>
                  <w:pPr>
                    <w:keepLines/>
                    <w:spacing w:after="60" w:line="240" w:lineRule="auto"/>
                  </w:pPr>
                  <w:r>
                    <w:rPr>
                      <w:rFonts w:ascii="Calibri" w:hAnsi="Calibri"/>
                      <w:sz w:val="20"/>
                    </w:rPr>
                    <w:t>Missing/corrupt files: version code and labels, back up to separate approved storage and test restoration. T16, throughout.</w:t>
                  </w:r>
                </w:p>
              </w:tc>
            </w:tr>
          </w:tbl>
          <w:p>
            <w:pPr>
              <w:keepLines/>
              <w:spacing w:after="0" w:line="20" w:lineRule="exact"/>
            </w:pPr>
          </w:p>
          <w:p>
            <w:pPr>
              <w:keepLines/>
              <w:spacing w:after="60" w:line="240" w:lineRule="auto"/>
            </w:pPr>
            <w:r>
              <w:rPr>
                <w:rFonts w:ascii="Calibri" w:hAnsi="Calibri"/>
                <w:sz w:val="20"/>
              </w:rPr>
              <w:t>If an alternative provider becomes necessary, repeat all affected comparisons with the same replacement configuration; do not mix favourable outputs from different models. A local retrieval demo is a fallback deliverable, not evidence that online QA or hybrid evaluation has passed.</w:t>
            </w:r>
          </w:p>
        </w:tc>
      </w:tr>
    </w:tbl>
    <w:p w14:paraId="47BA48C7" w14:textId="77777777" w:rsidR="003D43FD" w:rsidRDefault="003D43FD">
      <w:pPr>
        <w:spacing w:line="40" w:lineRule="exact" w:before="0" w:after="0"/>
        <w:rPr>
          <w:rFonts w:ascii="Arial" w:eastAsia="Arial" w:hAnsi="Arial" w:cs="Arial"/>
          <w:i/>
          <w:iCs/>
        </w:rPr>
      </w:pPr>
    </w:p>
    <w:p w14:paraId="5086C944" w14:textId="77777777" w:rsidR="003D43FD" w:rsidRDefault="003D43FD">
      <w:pPr>
        <w:spacing w:line="40" w:lineRule="exact" w:before="0" w:after="0"/>
        <w:rPr>
          <w:rFonts w:ascii="Arial" w:eastAsia="Arial" w:hAnsi="Arial" w:cs="Arial"/>
          <w:i/>
          <w:iCs/>
        </w:rPr>
      </w:pPr>
    </w:p>
    <w:p w14:paraId="5DE420C6" w14:textId="77777777" w:rsidR="003D43FD" w:rsidRDefault="003D43FD">
      <w:pPr>
        <w:spacing w:line="40" w:lineRule="exact" w:before="0" w:after="0"/>
        <w:rPr>
          <w:rFonts w:ascii="Arial" w:eastAsia="Arial" w:hAnsi="Arial" w:cs="Arial"/>
          <w:i/>
          <w:iCs/>
        </w:rPr>
      </w:pPr>
    </w:p>
    <w:p w14:paraId="13CA3B6D" w14:textId="77777777" w:rsidR="003D43FD" w:rsidRDefault="00000000">
      <w:pPr>
        <w:keepNext/>
        <w:pageBreakBefore/>
        <w:spacing w:line="259" w:lineRule="auto"/>
        <w:rPr>
          <w:rFonts w:ascii="Arial" w:eastAsia="Arial" w:hAnsi="Arial" w:cs="Arial"/>
          <w:b/>
          <w:bCs/>
          <w:i/>
          <w:iCs/>
          <w:sz w:val="22"/>
          <w:szCs w:val="22"/>
        </w:rPr>
      </w:pPr>
      <w:r>
        <w:rPr>
          <w:rFonts w:ascii="Arial" w:eastAsia="Arial" w:hAnsi="Arial" w:cs="Arial"/>
          <w:b/>
          <w:bCs/>
          <w:i/>
          <w:iCs/>
          <w:sz w:val="22"/>
          <w:szCs w:val="22"/>
        </w:rPr>
        <w:t>Security</w:t>
      </w:r>
    </w:p>
    <w:tbl>
      <w:tblPr>
        <w:tblStyle w:val="a6"/>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cantSplit/>
        </w:trPr>
        <w:tc>
          <w:tcPr>
            <w:tcW w:type="dxa" w:w="10317"/>
          </w:tcPr>
          <w:p>
            <w:pPr>
              <w:keepNext w:val="0"/>
              <w:keepLines/>
              <w:spacing w:after="0" w:line="20" w:lineRule="exact"/>
            </w:pPr>
          </w:p>
          <w:p>
            <w:pPr>
              <w:keepLines/>
              <w:spacing w:after="60" w:line="240" w:lineRule="auto"/>
            </w:pPr>
            <w:r>
              <w:rPr>
                <w:rFonts w:ascii="Calibri" w:hAnsi="Calibri"/>
                <w:sz w:val="20"/>
              </w:rPr>
              <w:t>Protect API credentials, permitted document content and evaluation labels. Keep keys in an ignored local environment file and out of exports; rotate any exposed key. Bind the demo to localhost. Treat retrieved text as untrusted data: it cannot change system rules or execute tools. Limit upload type/size, isolate parser errors and validate citation identifiers and excerpts. Keep the test set and experiment configurations versioned; minimise logs and back up restricted files only to approved storage.</w:t>
            </w:r>
          </w:p>
        </w:tc>
      </w:tr>
    </w:tbl>
    <w:p w14:paraId="075F4859" w14:textId="77777777" w:rsidR="003D43FD" w:rsidRDefault="003D43FD">
      <w:pPr>
        <w:spacing w:line="40" w:lineRule="exact" w:before="0" w:after="0"/>
        <w:rPr>
          <w:rFonts w:ascii="Arial" w:eastAsia="Arial" w:hAnsi="Arial" w:cs="Arial"/>
          <w:i/>
          <w:iCs/>
        </w:rPr>
      </w:pPr>
    </w:p>
    <w:p w14:paraId="6D6728E4" w14:textId="77777777" w:rsidR="003D43FD" w:rsidRDefault="003D43FD">
      <w:pPr>
        <w:spacing w:line="40" w:lineRule="exact" w:before="0" w:after="0"/>
        <w:rPr>
          <w:rFonts w:ascii="Arial" w:eastAsia="Arial" w:hAnsi="Arial" w:cs="Arial"/>
          <w:b/>
          <w:bCs/>
          <w:i/>
          <w:iCs/>
          <w:sz w:val="20"/>
          <w:szCs w:val="20"/>
        </w:rPr>
      </w:pPr>
    </w:p>
    <w:p w14:paraId="29989343" w14:textId="77777777" w:rsidR="003D43FD" w:rsidRDefault="00000000">
      <w:pPr>
        <w:keepNext/>
        <w:spacing w:line="259" w:lineRule="auto"/>
        <w:rPr>
          <w:rFonts w:ascii="Arial" w:eastAsia="Arial" w:hAnsi="Arial" w:cs="Arial"/>
          <w:i/>
          <w:iCs/>
        </w:rPr>
      </w:pPr>
      <w:r>
        <w:rPr>
          <w:rFonts w:ascii="Arial" w:eastAsia="Arial" w:hAnsi="Arial" w:cs="Arial"/>
          <w:b/>
          <w:bCs/>
          <w:i/>
          <w:iCs/>
          <w:sz w:val="20"/>
          <w:szCs w:val="20"/>
        </w:rPr>
        <w:t>Safety</w:t>
      </w:r>
      <w:r>
        <w:rPr>
          <w:rFonts w:ascii="Arial" w:eastAsia="Arial" w:hAnsi="Arial" w:cs="Arial"/>
          <w:i/>
          <w:iCs/>
          <w:sz w:val="20"/>
          <w:szCs w:val="20"/>
        </w:rPr>
        <w:t>:</w:t>
      </w:r>
    </w:p>
    <w:p w14:paraId="5D56427C" w14:textId="77777777" w:rsidR="003D43FD" w:rsidRDefault="003D43FD">
      <w:pPr>
        <w:spacing w:before="0" w:after="0" w:line="40" w:lineRule="exact"/>
        <w:rPr>
          <w:rFonts w:ascii="Arial" w:eastAsia="Arial" w:hAnsi="Arial" w:cs="Arial"/>
          <w:sz w:val="8"/>
          <w:szCs w:val="8"/>
        </w:rPr>
      </w:pPr>
    </w:p>
    <w:tbl>
      <w:tblPr>
        <w:tblStyle w:val="a7"/>
        <w:tblW w:w="10317"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10317"/>
      </w:tblGrid>
      <w:tr>
        <w:trPr>
          <w:trHeight w:hRule="auto"/>
          <w:cantSplit/>
        </w:trPr>
        <w:tc>
          <w:tcPr>
            <w:tcW w:type="dxa" w:w="10317"/>
          </w:tcPr>
          <w:p>
            <w:pPr>
              <w:keepNext w:val="0"/>
              <w:keepLines/>
              <w:spacing w:after="0" w:line="20" w:lineRule="exact"/>
            </w:pPr>
          </w:p>
          <w:p>
            <w:pPr>
              <w:keepLines/>
              <w:spacing w:after="60" w:line="240" w:lineRule="auto"/>
            </w:pPr>
            <w:r>
              <w:rPr>
                <w:rFonts w:ascii="Calibri" w:hAnsi="Calibri"/>
                <w:sz w:val="20"/>
              </w:rPr>
              <w:t>Specialist laboratory required: No. Work is desktop software and document analysis; there are no live railway, high-voltage, workshop or field experiments. Follow workstation ergonomics and normal computer electrical-safety procedures. Existing risk-assessment coverage / whether a new assessment is required: [TO BE CONFIRMED WITH SUPERVISOR].</w:t>
            </w:r>
          </w:p>
          <w:p>
            <w:pPr>
              <w:keepLines/>
              <w:spacing w:after="60" w:line="240" w:lineRule="auto"/>
            </w:pPr>
            <w:r>
              <w:rPr>
                <w:rFonts w:ascii="Calibri" w:hAnsi="Calibri"/>
                <w:sz w:val="20"/>
              </w:rPr>
              <w:t>Safety briefing attendance: [TO BE COMPLETED BY STUDENT]. The official declaration and signature fields remain for personal confirmation; no attendance is asserted by this document.</w:t>
            </w:r>
          </w:p>
          <w:p>
            <w:pPr>
              <w:keepLines/>
              <w:spacing w:after="60" w:line="240" w:lineRule="auto"/>
            </w:pPr>
            <w:r>
              <w:rPr>
                <w:rFonts w:ascii="Calibri" w:hAnsi="Calibri"/>
                <w:sz w:val="20"/>
              </w:rPr>
              <w:t>Official declaration — unsigned; complete only after personally verifying it:</w:t>
            </w:r>
          </w:p>
          <w:p>
            <w:pPr>
              <w:keepLines/>
              <w:spacing w:after="60" w:line="240" w:lineRule="auto"/>
            </w:pPr>
            <w:r>
              <w:rPr>
                <w:rFonts w:ascii="Calibri" w:hAnsi="Calibri"/>
                <w:sz w:val="20"/>
              </w:rPr>
              <w:t>“I have attended the Safety Briefing (included in the ELEC3801 introductory lectures) and my attendance was recorded. I am aware that full Risk Assessments relating to project work within the School have been conducted. I agree to comply with all the relevant safety policies.”</w:t>
            </w:r>
          </w:p>
          <w:p>
            <w:pPr>
              <w:keepLines/>
              <w:spacing w:after="60" w:line="240" w:lineRule="auto"/>
            </w:pPr>
            <w:r>
              <w:rPr>
                <w:rFonts w:ascii="Calibri" w:hAnsi="Calibri"/>
                <w:sz w:val="20"/>
              </w:rPr>
              <w:t>Student signature: [TO BE COMPLETED BY STUDENT]     Date: [TO BE COMPLETED BY STUDENT]</w:t>
            </w:r>
          </w:p>
        </w:tc>
      </w:tr>
    </w:tbl>
    <w:p w14:paraId="410487F0" w14:textId="77777777" w:rsidR="003D43FD" w:rsidRDefault="003D43FD">
      <w:pPr>
        <w:spacing w:before="0" w:after="0" w:line="40" w:lineRule="exact"/>
      </w:pPr>
    </w:p>
    <w:p w14:paraId="65DFC7B8" w14:textId="77777777" w:rsidR="003D43FD" w:rsidRDefault="00000000">
      <w:pPr>
        <w:spacing w:before="0" w:after="0" w:line="40" w:lineRule="exact"/>
      </w:pPr>
      <w:r>
        <w:rPr>
          <w:sz w:val="4"/>
        </w:rPr>
        <w:br/>
      </w:r>
    </w:p>
    <w:p w14:paraId="54FDCD43" w14:textId="77777777" w:rsidR="003D43FD" w:rsidRDefault="003D43FD">
      <w:pPr>
        <w:spacing w:before="0" w:after="0" w:line="40" w:lineRule="exact"/>
      </w:pPr>
    </w:p>
    <w:tbl>
      <w:tblPr>
        <w:tblStyle w:val="a8"/>
        <w:tblW w:w="10317"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0317"/>
      </w:tblGrid>
      <w:tr>
        <w:trPr>
          <w:trHeight w:hRule="auto"/>
          <w:cantSplit/>
        </w:trPr>
        <w:tc>
          <w:tcPr>
            <w:tcW w:type="dxa" w:w="10317"/>
          </w:tcPr>
          <w:p>
            <w:pPr>
              <w:keepNext w:val="0"/>
              <w:keepLines/>
              <w:spacing w:after="0" w:line="20" w:lineRule="exact"/>
            </w:pPr>
          </w:p>
          <w:p>
            <w:pPr>
              <w:keepLines/>
              <w:spacing w:after="60" w:line="240" w:lineRule="auto"/>
            </w:pPr>
            <w:r>
              <w:rPr>
                <w:rFonts w:ascii="Calibri" w:hAnsi="Calibri"/>
                <w:sz w:val="20"/>
              </w:rPr>
              <w:t>Before submission, the supervisor should check and approve this form. A signature, or verbal, email or Teams confirmation, is accepted.</w:t>
            </w:r>
          </w:p>
          <w:p>
            <w:pPr>
              <w:keepLines/>
              <w:spacing w:after="60" w:line="240" w:lineRule="auto"/>
            </w:pPr>
            <w:r>
              <w:rPr>
                <w:rFonts w:ascii="Calibri" w:hAnsi="Calibri"/>
                <w:sz w:val="20"/>
              </w:rPr>
              <w:t>“My student has completed this form satisfactorily and is aware of their safety responsibilities.”</w:t>
            </w:r>
          </w:p>
          <w:p>
            <w:pPr>
              <w:keepLines/>
              <w:spacing w:after="60" w:line="240" w:lineRule="auto"/>
            </w:pPr>
            <w:r>
              <w:rPr>
                <w:rFonts w:ascii="Calibri" w:hAnsi="Calibri"/>
                <w:sz w:val="20"/>
              </w:rPr>
              <w:t>Supervisor signature or confirmation (date and means): [PENDING; TO BE RECORDED AFTER REVIEW].</w:t>
            </w:r>
          </w:p>
        </w:tc>
      </w:tr>
    </w:tbl>
    <w:p w14:paraId="69F07741" w14:textId="77777777" w:rsidR="003D43FD" w:rsidRDefault="003D43FD">
      <w:pPr>
        <w:spacing w:before="0" w:after="0" w:line="40" w:lineRule="exact"/>
        <w:rPr>
          <w:rFonts w:ascii="Arial" w:eastAsia="Arial" w:hAnsi="Arial" w:cs="Arial"/>
          <w:sz w:val="20"/>
          <w:szCs w:val="20"/>
        </w:rPr>
      </w:pPr>
    </w:p>
    <w:p w14:paraId="491BF61E" w14:textId="77777777" w:rsidR="003D43FD" w:rsidRDefault="003D43FD">
      <w:pPr>
        <w:spacing w:before="0" w:after="0" w:line="40" w:lineRule="exact"/>
        <w:ind w:firstLine="720"/>
        <w:rPr>
          <w:rFonts w:ascii="Arial" w:eastAsia="Arial" w:hAnsi="Arial" w:cs="Arial"/>
          <w:sz w:val="20"/>
          <w:szCs w:val="20"/>
        </w:rPr>
      </w:pPr>
    </w:p>
    <w:sectPr w:rsidR="003D43FD">
      <w:pgSz w:w="11907" w:h="16840"/>
      <w:pgMar w:top="720" w:right="720" w:bottom="720" w:left="72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4589C" w14:textId="77777777" w:rsidR="006F0D48" w:rsidRDefault="006F0D48">
      <w:r>
        <w:separator/>
      </w:r>
    </w:p>
  </w:endnote>
  <w:endnote w:type="continuationSeparator" w:id="0">
    <w:p w14:paraId="084B3CFE" w14:textId="77777777" w:rsidR="006F0D48" w:rsidRDefault="006F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3D28" w14:textId="77777777" w:rsidR="003D43FD" w:rsidRDefault="00000000">
    <w:pPr>
      <w:pBdr>
        <w:top w:val="nil"/>
        <w:left w:val="nil"/>
        <w:bottom w:val="nil"/>
        <w:right w:val="nil"/>
        <w:between w:val="nil"/>
      </w:pBdr>
      <w:tabs>
        <w:tab w:val="center" w:pos="4320"/>
        <w:tab w:val="right" w:pos="8640"/>
      </w:tabs>
      <w:rPr>
        <w:color w:val="000000"/>
      </w:rPr>
    </w:pPr>
    <w:r>
      <w:rPr>
        <w:rFonts w:ascii="Arial" w:eastAsia="Arial" w:hAnsi="Arial" w:cs="Arial"/>
        <w:color w:val="000000"/>
        <w:sz w:val="14"/>
        <w:szCs w:val="14"/>
      </w:rPr>
      <w:t>ELEC38</w:t>
    </w:r>
    <w:r>
      <w:rPr>
        <w:rFonts w:ascii="Arial" w:eastAsia="Arial" w:hAnsi="Arial" w:cs="Arial"/>
        <w:sz w:val="14"/>
        <w:szCs w:val="14"/>
      </w:rPr>
      <w:t>01</w:t>
    </w:r>
    <w:r>
      <w:rPr>
        <w:rFonts w:ascii="Arial" w:eastAsia="Arial" w:hAnsi="Arial" w:cs="Arial"/>
        <w:color w:val="000000"/>
        <w:sz w:val="14"/>
        <w:szCs w:val="14"/>
      </w:rPr>
      <w:t xml:space="preserve"> Project Proposal Form                                                                                                                                                                     </w:t>
    </w:r>
    <w:r>
      <w:rPr>
        <w:rFonts w:ascii="Arial" w:eastAsia="Arial" w:hAnsi="Arial" w:cs="Arial"/>
        <w:b/>
        <w:bCs/>
        <w:color w:val="000000"/>
        <w:sz w:val="16"/>
        <w:szCs w:val="16"/>
      </w:rPr>
      <w:t xml:space="preserve">Page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PAGE</w:instrText>
    </w:r>
    <w:r>
      <w:rPr>
        <w:rFonts w:ascii="Arial" w:eastAsia="Arial" w:hAnsi="Arial" w:cs="Arial"/>
        <w:b/>
        <w:bCs/>
        <w:color w:val="000000"/>
        <w:sz w:val="16"/>
        <w:szCs w:val="16"/>
      </w:rPr>
      <w:fldChar w:fldCharType="separate"/>
    </w:r>
    <w:r w:rsidR="00476420">
      <w:rPr>
        <w:rFonts w:ascii="Arial" w:eastAsia="Arial" w:hAnsi="Arial" w:cs="Arial"/>
        <w:b/>
        <w:bCs/>
        <w:noProof/>
        <w:color w:val="000000"/>
        <w:sz w:val="16"/>
        <w:szCs w:val="16"/>
      </w:rPr>
      <w:t>1</w:t>
    </w:r>
    <w:r>
      <w:rPr>
        <w:rFonts w:ascii="Arial" w:eastAsia="Arial" w:hAnsi="Arial" w:cs="Arial"/>
        <w:b/>
        <w:bCs/>
        <w:color w:val="000000"/>
        <w:sz w:val="16"/>
        <w:szCs w:val="16"/>
      </w:rPr>
      <w:fldChar w:fldCharType="end"/>
    </w:r>
    <w:r>
      <w:rPr>
        <w:rFonts w:ascii="Arial" w:eastAsia="Arial" w:hAnsi="Arial" w:cs="Arial"/>
        <w:b/>
        <w:bCs/>
        <w:color w:val="000000"/>
        <w:sz w:val="16"/>
        <w:szCs w:val="16"/>
      </w:rPr>
      <w:t xml:space="preserve"> of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NUMPAGES</w:instrText>
    </w:r>
    <w:r>
      <w:rPr>
        <w:rFonts w:ascii="Arial" w:eastAsia="Arial" w:hAnsi="Arial" w:cs="Arial"/>
        <w:b/>
        <w:bCs/>
        <w:color w:val="000000"/>
        <w:sz w:val="16"/>
        <w:szCs w:val="16"/>
      </w:rPr>
      <w:fldChar w:fldCharType="separate"/>
    </w:r>
    <w:r w:rsidR="00476420">
      <w:rPr>
        <w:rFonts w:ascii="Arial" w:eastAsia="Arial" w:hAnsi="Arial" w:cs="Arial"/>
        <w:b/>
        <w:bCs/>
        <w:noProof/>
        <w:color w:val="000000"/>
        <w:sz w:val="16"/>
        <w:szCs w:val="16"/>
      </w:rPr>
      <w:t>2</w:t>
    </w:r>
    <w:r>
      <w:rPr>
        <w:rFonts w:ascii="Arial" w:eastAsia="Arial" w:hAnsi="Arial" w:cs="Arial"/>
        <w:b/>
        <w:bCs/>
        <w:color w:val="000000"/>
        <w:sz w:val="16"/>
        <w:szCs w:val="16"/>
      </w:rPr>
      <w:fldChar w:fldCharType="end"/>
    </w:r>
    <w:r>
      <w:rPr>
        <w:rFonts w:ascii="Arial" w:eastAsia="Arial" w:hAnsi="Arial" w:cs="Arial"/>
        <w:color w:val="000000"/>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909BF" w14:textId="77777777" w:rsidR="006F0D48" w:rsidRDefault="006F0D48">
      <w:r>
        <w:separator/>
      </w:r>
    </w:p>
  </w:footnote>
  <w:footnote w:type="continuationSeparator" w:id="0">
    <w:p w14:paraId="227CE4FE" w14:textId="77777777" w:rsidR="006F0D48" w:rsidRDefault="006F0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5664B"/>
    <w:multiLevelType w:val="multilevel"/>
    <w:tmpl w:val="33A47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585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3FD"/>
    <w:rsid w:val="003D43FD"/>
    <w:rsid w:val="00476420"/>
    <w:rsid w:val="00615A94"/>
    <w:rsid w:val="006F0D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2FB0"/>
  <w15:docId w15:val="{DF865A5E-D0B9-4418-88F8-40F33B11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5CB"/>
    <w:rPr>
      <w:lang w:eastAsia="en-US"/>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rsid w:val="003258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E3207A"/>
    <w:pPr>
      <w:tabs>
        <w:tab w:val="center" w:pos="4320"/>
        <w:tab w:val="right" w:pos="8640"/>
      </w:tabs>
    </w:pPr>
  </w:style>
  <w:style w:type="paragraph" w:styleId="Footer">
    <w:name w:val="footer"/>
    <w:basedOn w:val="Normal"/>
    <w:rsid w:val="00E3207A"/>
    <w:pPr>
      <w:tabs>
        <w:tab w:val="center" w:pos="4320"/>
        <w:tab w:val="right" w:pos="8640"/>
      </w:tabs>
    </w:pPr>
  </w:style>
  <w:style w:type="character" w:styleId="PageNumber">
    <w:name w:val="page number"/>
    <w:basedOn w:val="DefaultParagraphFont"/>
    <w:rsid w:val="00E3207A"/>
  </w:style>
  <w:style w:type="paragraph" w:styleId="BalloonText">
    <w:name w:val="Balloon Text"/>
    <w:basedOn w:val="Normal"/>
    <w:semiHidden/>
    <w:rsid w:val="00C6277B"/>
    <w:rPr>
      <w:rFonts w:ascii="Tahoma" w:hAnsi="Tahoma" w:cs="Tahoma"/>
      <w:sz w:val="16"/>
      <w:szCs w:val="16"/>
    </w:rPr>
  </w:style>
  <w:style w:type="character" w:styleId="Hyperlink">
    <w:name w:val="Hyperlink"/>
    <w:uiPriority w:val="99"/>
    <w:unhideWhenUsed/>
    <w:rsid w:val="00713601"/>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13" w:type="dxa"/>
        <w:left w:w="115" w:type="dxa"/>
        <w:bottom w:w="113"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www.leeds.ac.uk/ethics" TargetMode="External"/><Relationship Id="rId13" Type="http://schemas.openxmlformats.org/officeDocument/2006/relationships/hyperlink" Target="https://papers.nips.cc/paper/2020/hash/6b493230205f780e1bc26945df7481e5-Abstract.html" TargetMode="External"/><Relationship Id="rId14" Type="http://schemas.openxmlformats.org/officeDocument/2006/relationships/hyperlink" Target="https://www.nowpublishers.com/article/DownloadEBook/INR-019" TargetMode="External"/><Relationship Id="rId15" Type="http://schemas.openxmlformats.org/officeDocument/2006/relationships/hyperlink" Target="https://aclanthology.org/2020.emnlp-main.550/" TargetMode="External"/><Relationship Id="rId16" Type="http://schemas.openxmlformats.org/officeDocument/2006/relationships/hyperlink" Target="https://aclanthology.org/2023.emnlp-main.322/" TargetMode="External"/><Relationship Id="rId17" Type="http://schemas.openxmlformats.org/officeDocument/2006/relationships/hyperlink" Target="https://proceedings.mlr.press/v202/shi23a.html" TargetMode="External"/><Relationship Id="rId18" Type="http://schemas.openxmlformats.org/officeDocument/2006/relationships/hyperlink" Target="https://aclanthology.org/2024.eacl-demo.16/" TargetMode="Externa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Vkn65hUjMpQvO6UT5xz2QD0lA==">CgMxLjAyCGguZ2pkZ3hzMgppZC4zMGowemxsMg5oLnBwd2ZqNWI4OW1ndDgAciExUS02Ynk1NDFFOUJLdk5DelJlZTJJcFJTWE9aUVR1TEI=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Sadegh Azizi</cp:lastModifiedBy>
  <cp:revision>2</cp:revision>
  <dcterms:created xsi:type="dcterms:W3CDTF">2022-11-14T09:20:00Z</dcterms:created>
  <dcterms:modified xsi:type="dcterms:W3CDTF">2026-09-27T12:09:00Z</dcterms:modified>
  <dc:title>A Study on a Large-Model-Based Intelligent Question-Answering System for the Overhead Contact System Field</dc:title>
  <dc:subject>ELEC3801 2026–27 proposal for supervisor review</dc:subject>
  <dc:description>Draft prepared with assistant support; personal declarations and approval remain incomplete.</dc:description>
</cp:coreProperties>
</file>