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9FF4" w14:textId="77777777" w:rsidR="003D43FD" w:rsidRDefault="00000000">
      <w:pPr>
        <w:rPr>
          <w:rFonts w:ascii="Trebuchet MS" w:eastAsia="Trebuchet MS" w:hAnsi="Trebuchet MS" w:cs="Trebuchet MS"/>
          <w:b/>
          <w:bCs/>
          <w:sz w:val="32"/>
          <w:szCs w:val="32"/>
        </w:rPr>
      </w:pPr>
      <w:r>
        <w:rPr>
          <w:rFonts w:ascii="Arial" w:eastAsia="Arial" w:hAnsi="Arial" w:cs="Arial"/>
          <w:b/>
          <w:bCs/>
          <w:sz w:val="28"/>
          <w:szCs w:val="28"/>
        </w:rPr>
        <w:t>ELEC3801   Individual Engineering</w:t>
      </w:r>
      <w:r>
        <w:rPr>
          <w:rFonts w:ascii="Arial" w:eastAsia="Arial" w:hAnsi="Arial" w:cs="Arial"/>
          <w:b/>
          <w:bCs/>
          <w:color w:val="000000"/>
          <w:sz w:val="28"/>
          <w:szCs w:val="28"/>
        </w:rPr>
        <w:t xml:space="preserve"> Project</w:t>
      </w:r>
    </w:p>
    <w:p w14:paraId="1CA12278" w14:textId="77777777" w:rsidR="003D43FD" w:rsidRDefault="003D43FD">
      <w:pPr>
        <w:spacing w:after="0" w:before="0"/>
        <w:rPr>
          <w:rFonts w:ascii="Arial" w:eastAsia="Arial" w:hAnsi="Arial" w:cs="Arial"/>
          <w:sz w:val="48"/>
          <w:szCs w:val="48"/>
        </w:rPr>
      </w:pPr>
    </w:p>
    <w:p w14:paraId="6CB40C5D" w14:textId="77777777" w:rsidR="003D43FD" w:rsidRDefault="003D43FD">
      <w:pPr>
        <w:spacing w:after="0" w:before="0"/>
        <w:rPr>
          <w:rFonts w:ascii="Arial" w:eastAsia="Arial" w:hAnsi="Arial" w:cs="Arial"/>
          <w:sz w:val="48"/>
          <w:szCs w:val="48"/>
        </w:rPr>
      </w:pPr>
    </w:p>
    <w:p w14:paraId="524B4385" w14:textId="77777777" w:rsidR="003D43FD" w:rsidRDefault="003D43FD">
      <w:pPr>
        <w:spacing w:after="0" w:before="0"/>
        <w:rPr>
          <w:rFonts w:ascii="Arial" w:eastAsia="Arial" w:hAnsi="Arial" w:cs="Arial"/>
          <w:sz w:val="48"/>
          <w:szCs w:val="48"/>
        </w:rPr>
      </w:pPr>
    </w:p>
    <w:p w14:paraId="2C6A2959" w14:textId="77777777" w:rsidR="003D43FD" w:rsidRDefault="00000000">
      <w:pPr>
        <w:jc w:val="center"/>
        <w:rPr>
          <w:rFonts w:ascii="Trebuchet MS" w:eastAsia="Trebuchet MS" w:hAnsi="Trebuchet MS" w:cs="Trebuchet MS"/>
          <w:color w:val="008000"/>
          <w:sz w:val="20"/>
          <w:szCs w:val="20"/>
        </w:rPr>
      </w:pPr>
      <w:r>
        <w:rPr>
          <w:rFonts w:ascii="Arial" w:eastAsia="Arial" w:hAnsi="Arial" w:cs="Arial"/>
          <w:sz w:val="48"/>
          <w:szCs w:val="48"/>
        </w:rPr>
        <w:t>Project Proposal Form</w:t>
      </w:r>
    </w:p>
    <w:p w14:paraId="7FC1019C" w14:textId="77777777" w:rsidR="003D43FD" w:rsidRDefault="003D43FD">
      <w:pPr>
        <w:spacing w:after="0" w:before="0"/>
        <w:jc w:val="center"/>
        <w:rPr>
          <w:rFonts w:ascii="Arial" w:eastAsia="Arial" w:hAnsi="Arial" w:cs="Arial"/>
          <w:sz w:val="48"/>
          <w:szCs w:val="48"/>
        </w:rPr>
      </w:pPr>
    </w:p>
    <w:p w14:paraId="2A67CC69" w14:textId="77777777" w:rsidR="003D43FD" w:rsidRDefault="00000000">
      <w:pPr>
        <w:jc w:val="center"/>
        <w:rPr>
          <w:rFonts w:ascii="Arial" w:eastAsia="Arial" w:hAnsi="Arial" w:cs="Arial"/>
          <w:sz w:val="20"/>
          <w:szCs w:val="20"/>
        </w:rPr>
      </w:pPr>
      <w:r>
        <w:rPr>
          <w:rFonts w:ascii="Arial" w:eastAsia="Arial" w:hAnsi="Arial" w:cs="Arial"/>
          <w:sz w:val="48"/>
          <w:szCs w:val="48"/>
        </w:rPr>
        <w:t>2</w:t>
      </w:r>
      <w:r>
        <w:rPr>
          <w:rFonts w:ascii="Arial" w:eastAsia="Arial" w:hAnsi="Arial" w:cs="Arial"/>
          <w:color w:val="000000"/>
          <w:sz w:val="48"/>
          <w:szCs w:val="48"/>
        </w:rPr>
        <w:t>02</w:t>
      </w:r>
      <w:r>
        <w:rPr>
          <w:rFonts w:ascii="Arial" w:eastAsia="Arial" w:hAnsi="Arial" w:cs="Arial"/>
          <w:sz w:val="48"/>
          <w:szCs w:val="48"/>
        </w:rPr>
        <w:t>6</w:t>
      </w:r>
      <w:r>
        <w:rPr>
          <w:rFonts w:ascii="Arial" w:eastAsia="Arial" w:hAnsi="Arial" w:cs="Arial"/>
          <w:color w:val="000000"/>
          <w:sz w:val="48"/>
          <w:szCs w:val="48"/>
        </w:rPr>
        <w:t>-2</w:t>
      </w:r>
      <w:r>
        <w:rPr>
          <w:rFonts w:ascii="Arial" w:eastAsia="Arial" w:hAnsi="Arial" w:cs="Arial"/>
          <w:sz w:val="48"/>
          <w:szCs w:val="48"/>
        </w:rPr>
        <w:t>7</w:t>
      </w:r>
    </w:p>
    <w:p w14:paraId="6B19B308" w14:textId="77777777" w:rsidR="003D43FD" w:rsidRDefault="003D43FD">
      <w:pPr>
        <w:spacing w:after="0" w:before="0"/>
        <w:rPr>
          <w:rFonts w:ascii="Arial" w:eastAsia="Arial" w:hAnsi="Arial" w:cs="Arial"/>
          <w:sz w:val="20"/>
          <w:szCs w:val="20"/>
        </w:rPr>
      </w:pPr>
    </w:p>
    <w:p w14:paraId="53F62068" w14:textId="77777777" w:rsidR="003D43FD" w:rsidRDefault="003D43FD">
      <w:pPr>
        <w:spacing w:after="0" w:before="0"/>
        <w:rPr>
          <w:rFonts w:ascii="Arial" w:eastAsia="Arial" w:hAnsi="Arial" w:cs="Arial"/>
          <w:sz w:val="20"/>
          <w:szCs w:val="20"/>
        </w:rPr>
      </w:pPr>
    </w:p>
    <w:p w14:paraId="24462234" w14:textId="77777777" w:rsidR="003D43FD" w:rsidRDefault="003D43FD">
      <w:pPr>
        <w:spacing w:after="0" w:before="0"/>
        <w:rPr>
          <w:rFonts w:ascii="Arial" w:eastAsia="Arial" w:hAnsi="Arial" w:cs="Arial"/>
          <w:sz w:val="20"/>
          <w:szCs w:val="20"/>
        </w:rPr>
      </w:pPr>
    </w:p>
    <w:p w14:paraId="319AF85D" w14:textId="77777777" w:rsidR="003D43FD" w:rsidRDefault="00000000">
      <w:pPr>
        <w:rPr>
          <w:rFonts w:ascii="Arial" w:eastAsia="Arial" w:hAnsi="Arial" w:cs="Arial"/>
        </w:rPr>
      </w:pPr>
      <w:bookmarkStart w:id="0" w:name="_heading=h.gjdgxs" w:colFirst="0" w:colLast="0"/>
      <w:bookmarkEnd w:id="0"/>
      <w:r>
        <w:rPr>
          <w:rFonts w:ascii="Arial" w:eastAsia="Arial" w:hAnsi="Arial" w:cs="Arial"/>
        </w:rPr>
        <w:t xml:space="preserve">This form must be completed by the student and submitted online on Minerva </w:t>
      </w:r>
      <w:r>
        <w:rPr>
          <w:rFonts w:ascii="Arial" w:eastAsia="Arial" w:hAnsi="Arial" w:cs="Arial"/>
          <w:b/>
          <w:bCs/>
        </w:rPr>
        <w:t xml:space="preserve">by 14:00 on Thursday of Week 8 (29 October 2026). </w:t>
      </w:r>
      <w:r>
        <w:rPr>
          <w:rFonts w:ascii="Arial" w:eastAsia="Arial" w:hAnsi="Arial" w:cs="Arial"/>
        </w:rPr>
        <w:t xml:space="preserve">A link to submit this form will be available on the Module’s Minerva page. </w:t>
      </w:r>
    </w:p>
    <w:p w14:paraId="2136C89A" w14:textId="77777777" w:rsidR="003D43FD" w:rsidRDefault="003D43FD">
      <w:pPr>
        <w:spacing w:after="0" w:before="0"/>
        <w:rPr>
          <w:rFonts w:ascii="Arial" w:eastAsia="Arial" w:hAnsi="Arial" w:cs="Arial"/>
        </w:rPr>
      </w:pPr>
    </w:p>
    <w:p w14:paraId="0500AC05" w14:textId="14288AA2" w:rsidR="003D43FD" w:rsidRDefault="00000000" w:rsidP="00476420">
      <w:pPr>
        <w:rPr>
          <w:rFonts w:ascii="Arial" w:eastAsia="Arial" w:hAnsi="Arial" w:cs="Arial"/>
          <w:sz w:val="20"/>
          <w:szCs w:val="20"/>
        </w:rPr>
      </w:pPr>
      <w:r>
        <w:rPr>
          <w:rFonts w:ascii="Arial" w:eastAsia="Arial" w:hAnsi="Arial" w:cs="Arial"/>
        </w:rPr>
        <w:t xml:space="preserve">Guidelines for completing this form are in Section 2 (Project Proposal) of the module handbook. The proposal is worth 10% of the module mark and is assessed by your Supervisor and Assessor against the rubric in Appendix 2 of the handbook: aims, objectives and scope (40%); societal, environmental and ethical considerations (20%); and project planning and risk management (40%).</w:t>
      </w:r>
    </w:p>
    <w:p w14:paraId="05D40001" w14:textId="77777777" w:rsidR="003D43FD" w:rsidRDefault="003D43FD">
      <w:pPr>
        <w:spacing w:after="0" w:before="0"/>
        <w:rPr>
          <w:rFonts w:ascii="Arial" w:eastAsia="Arial" w:hAnsi="Arial" w:cs="Arial"/>
          <w:sz w:val="20"/>
          <w:szCs w:val="20"/>
        </w:rPr>
      </w:pPr>
    </w:p>
    <w:p w14:paraId="3110E514" w14:textId="77777777" w:rsidR="003D43FD" w:rsidRDefault="003D43FD">
      <w:pPr>
        <w:spacing w:after="0" w:before="0"/>
        <w:rPr>
          <w:rFonts w:ascii="Arial" w:eastAsia="Arial" w:hAnsi="Arial" w:cs="Arial"/>
          <w:sz w:val="20"/>
          <w:szCs w:val="20"/>
        </w:rPr>
      </w:pPr>
    </w:p>
    <w:p w14:paraId="70310B60" w14:textId="77777777" w:rsidR="003D43FD" w:rsidRDefault="003D43FD">
      <w:pPr>
        <w:spacing w:after="0" w:before="0"/>
        <w:rPr>
          <w:rFonts w:ascii="Arial" w:eastAsia="Arial" w:hAnsi="Arial" w:cs="Arial"/>
          <w:sz w:val="20"/>
          <w:szCs w:val="20"/>
        </w:rPr>
      </w:pPr>
    </w:p>
    <w:p w14:paraId="248E5D49" w14:textId="77777777" w:rsidR="003D43FD" w:rsidRDefault="003D43FD">
      <w:pPr>
        <w:spacing w:after="0" w:before="0"/>
        <w:rPr>
          <w:rFonts w:ascii="Arial" w:eastAsia="Arial" w:hAnsi="Arial" w:cs="Arial"/>
          <w:sz w:val="8"/>
          <w:szCs w:val="8"/>
        </w:rPr>
      </w:pPr>
    </w:p>
    <w:tbl>
      <w:tblPr>
        <w:tblStyle w:val="a"/>
        <w:tblW w:w="10317" w:type="dxa"/>
        <w:tblInd w:w="108" w:type="dxa"/>
        <w:tblBorders>
          <w:top w:val="single" w:sz="12" w:space="0" w:color="000000"/>
          <w:left w:val="single" w:sz="12" w:space="0" w:color="000000"/>
          <w:bottom w:val="single" w:sz="12" w:space="0" w:color="000000"/>
          <w:right w:val="single" w:sz="12" w:space="0" w:color="000000"/>
          <w:insideH w:val="single" w:sz="8" w:space="0" w:color="808080"/>
          <w:insideV w:val="single" w:sz="4" w:space="0" w:color="FFFFFF"/>
        </w:tblBorders>
        <w:tblLayout w:type="fixed"/>
        <w:tblLook w:val="0000" w:firstRow="0" w:lastRow="0" w:firstColumn="0" w:lastColumn="0" w:noHBand="0" w:noVBand="0"/>
      </w:tblPr>
      <w:tblGrid>
        <w:gridCol w:w="2127"/>
        <w:gridCol w:w="8190"/>
      </w:tblGrid>
      <w:tr w:rsidR="003D43FD" w14:paraId="2B4322E8" w14:textId="77777777">
        <w:trPr>
          <w:trHeight w:hRule="auto"/>
        </w:trPr>
        <w:tc>
          <w:tcPr>
            <w:tcW w:w="2127" w:type="dxa"/>
            <w:tcMar>
              <w:top w:w="170" w:type="dxa"/>
            </w:tcMar>
          </w:tcPr>
          <w:p w14:paraId="049D734B" w14:textId="77777777" w:rsidR="003D43FD" w:rsidRDefault="00000000">
            <w:pPr>
              <w:jc w:val="right"/>
              <w:rPr>
                <w:rFonts w:ascii="Arial" w:eastAsia="Arial" w:hAnsi="Arial" w:cs="Arial"/>
                <w:sz w:val="20"/>
                <w:szCs w:val="20"/>
              </w:rPr>
            </w:pPr>
            <w:r>
              <w:rPr>
                <w:rFonts w:ascii="Arial" w:eastAsia="Arial" w:hAnsi="Arial" w:cs="Arial"/>
                <w:sz w:val="20"/>
                <w:szCs w:val="20"/>
              </w:rPr>
              <w:t xml:space="preserve">Name and SID:   </w:t>
            </w:r>
          </w:p>
        </w:tc>
        <w:tc>
          <w:tcPr>
            <w:tcW w:w="8190" w:type="dxa"/>
            <w:tcMar>
              <w:top w:w="170" w:type="dxa"/>
            </w:tcMar>
          </w:tcPr>
          <w:p>
            <w:pPr>
              <w:keepLines/>
              <w:widowControl/>
              <w:spacing w:after="60" w:before="0" w:line="240" w:lineRule="auto"/>
            </w:pPr>
            <w:r>
              <w:rPr>
                <w:rFonts w:ascii="Arial" w:hAnsi="Arial"/>
                <w:b w:val="0"/>
                <w:sz w:val="20"/>
              </w:rPr>
              <w:t>Junkai Huang, 201804121</w:t>
            </w:r>
          </w:p>
        </w:tc>
      </w:tr>
      <w:tr w:rsidR="003D43FD" w14:paraId="55051538" w14:textId="77777777">
        <w:trPr>
          <w:trHeight w:hRule="auto"/>
        </w:trPr>
        <w:tc>
          <w:tcPr>
            <w:tcW w:w="2127" w:type="dxa"/>
            <w:tcMar>
              <w:top w:w="170" w:type="dxa"/>
            </w:tcMar>
          </w:tcPr>
          <w:p w14:paraId="499EE59D" w14:textId="77777777" w:rsidR="003D43FD" w:rsidRDefault="00000000">
            <w:pPr>
              <w:jc w:val="right"/>
              <w:rPr>
                <w:rFonts w:ascii="Arial" w:eastAsia="Arial" w:hAnsi="Arial" w:cs="Arial"/>
                <w:sz w:val="20"/>
                <w:szCs w:val="20"/>
              </w:rPr>
            </w:pPr>
            <w:r>
              <w:rPr>
                <w:rFonts w:ascii="Arial" w:eastAsia="Arial" w:hAnsi="Arial" w:cs="Arial"/>
                <w:sz w:val="20"/>
                <w:szCs w:val="20"/>
              </w:rPr>
              <w:t>Degree programme:</w:t>
            </w:r>
          </w:p>
        </w:tc>
        <w:tc>
          <w:tcPr>
            <w:tcW w:w="8190" w:type="dxa"/>
            <w:tcMar>
              <w:top w:w="170" w:type="dxa"/>
            </w:tcMar>
          </w:tcPr>
          <w:p>
            <w:pPr>
              <w:keepLines/>
              <w:widowControl/>
              <w:spacing w:after="60" w:before="0" w:line="240" w:lineRule="auto"/>
            </w:pPr>
            <w:r>
              <w:rPr>
                <w:rFonts w:ascii="Arial" w:hAnsi="Arial"/>
                <w:b w:val="0"/>
                <w:sz w:val="20"/>
              </w:rPr>
              <w:t>Electronic and Electrical Engineering</w:t>
            </w:r>
          </w:p>
        </w:tc>
      </w:tr>
      <w:tr w:rsidR="003D43FD" w14:paraId="49B2B398" w14:textId="77777777">
        <w:trPr>
          <w:trHeight w:hRule="auto"/>
        </w:trPr>
        <w:tc>
          <w:tcPr>
            <w:tcW w:w="2127" w:type="dxa"/>
            <w:tcMar>
              <w:top w:w="170" w:type="dxa"/>
            </w:tcMar>
          </w:tcPr>
          <w:p w14:paraId="3F0BEA46" w14:textId="77777777" w:rsidR="003D43FD" w:rsidRDefault="00000000">
            <w:pPr>
              <w:jc w:val="right"/>
              <w:rPr>
                <w:rFonts w:ascii="Arial" w:eastAsia="Arial" w:hAnsi="Arial" w:cs="Arial"/>
                <w:sz w:val="20"/>
                <w:szCs w:val="20"/>
              </w:rPr>
            </w:pPr>
            <w:r>
              <w:rPr>
                <w:rFonts w:ascii="Arial" w:eastAsia="Arial" w:hAnsi="Arial" w:cs="Arial"/>
                <w:sz w:val="20"/>
                <w:szCs w:val="20"/>
              </w:rPr>
              <w:t>Supervisor’s name:</w:t>
            </w:r>
          </w:p>
        </w:tc>
        <w:tc>
          <w:tcPr>
            <w:tcW w:w="8190" w:type="dxa"/>
            <w:tcMar>
              <w:top w:w="170" w:type="dxa"/>
            </w:tcMar>
          </w:tcPr>
          <w:p>
            <w:pPr>
              <w:keepLines/>
              <w:widowControl/>
              <w:spacing w:after="60" w:before="0" w:line="240" w:lineRule="auto"/>
            </w:pPr>
            <w:r>
              <w:rPr>
                <w:rFonts w:ascii="Arial" w:hAnsi="Arial"/>
                <w:b w:val="0"/>
                <w:sz w:val="20"/>
              </w:rPr>
              <w:t>Deqing Huang</w:t>
            </w:r>
          </w:p>
        </w:tc>
      </w:tr>
      <w:tr w:rsidR="003D43FD" w14:paraId="6F50C5AB" w14:textId="77777777">
        <w:trPr>
          <w:trHeight w:hRule="auto"/>
        </w:trPr>
        <w:tc>
          <w:tcPr>
            <w:tcW w:w="2127" w:type="dxa"/>
            <w:tcMar>
              <w:top w:w="170" w:type="dxa"/>
            </w:tcMar>
          </w:tcPr>
          <w:p w14:paraId="67A0AD87" w14:textId="77777777" w:rsidR="003D43FD" w:rsidRDefault="00000000">
            <w:pPr>
              <w:jc w:val="right"/>
              <w:rPr>
                <w:rFonts w:ascii="Arial" w:eastAsia="Arial" w:hAnsi="Arial" w:cs="Arial"/>
                <w:sz w:val="20"/>
                <w:szCs w:val="20"/>
              </w:rPr>
            </w:pPr>
            <w:r>
              <w:rPr>
                <w:rFonts w:ascii="Arial" w:eastAsia="Arial" w:hAnsi="Arial" w:cs="Arial"/>
                <w:sz w:val="20"/>
                <w:szCs w:val="20"/>
              </w:rPr>
              <w:t>Project title:</w:t>
            </w:r>
          </w:p>
        </w:tc>
        <w:tc>
          <w:tcPr>
            <w:tcW w:w="8190" w:type="dxa"/>
            <w:tcMar>
              <w:top w:w="170" w:type="dxa"/>
            </w:tcMar>
          </w:tcPr>
          <w:p>
            <w:pPr>
              <w:keepLines/>
              <w:widowControl/>
              <w:spacing w:after="60" w:before="0" w:line="240" w:lineRule="auto"/>
            </w:pPr>
            <w:r>
              <w:rPr>
                <w:rFonts w:ascii="Arial" w:hAnsi="Arial"/>
                <w:b w:val="0"/>
                <w:sz w:val="20"/>
              </w:rPr>
              <w:t>A Study on a Large-Model-Based Intelligent Question-Answering System for the Overhead Contact System Field</w:t>
            </w:r>
          </w:p>
        </w:tc>
      </w:tr>
    </w:tbl>
    <w:p w14:paraId="08BC1AB3" w14:textId="77777777" w:rsidR="003D43FD" w:rsidRDefault="003D43FD">
      <w:pPr>
        <w:spacing w:after="0" w:before="0"/>
        <w:rPr>
          <w:rFonts w:ascii="Arial" w:eastAsia="Arial" w:hAnsi="Arial" w:cs="Arial"/>
          <w:sz w:val="20"/>
          <w:szCs w:val="20"/>
        </w:rPr>
      </w:pPr>
    </w:p>
    <w:p w14:paraId="3358F5F5" w14:textId="77777777" w:rsidR="003D43FD" w:rsidRDefault="003D43FD">
      <w:pPr>
        <w:spacing w:after="0" w:before="0"/>
        <w:rPr>
          <w:rFonts w:ascii="Arial" w:eastAsia="Arial" w:hAnsi="Arial" w:cs="Arial"/>
          <w:sz w:val="20"/>
          <w:szCs w:val="20"/>
        </w:rPr>
      </w:pPr>
    </w:p>
    <w:p w14:paraId="76E082EE" w14:textId="77777777" w:rsidR="003D43FD" w:rsidRDefault="003D43FD">
      <w:pPr>
        <w:rPr>
          <w:rFonts w:ascii="Arial" w:eastAsia="Arial" w:hAnsi="Arial" w:cs="Arial"/>
          <w:sz w:val="20"/>
          <w:szCs w:val="20"/>
        </w:rPr>
        <w:sectPr w:rsidR="003D43FD">
          <w:footerReference w:type="default" r:id="rId8"/>
          <w:pgSz w:w="11907" w:h="16840"/>
          <w:pgMar w:top="1260" w:right="720" w:bottom="720" w:left="720" w:header="709" w:footer="709" w:gutter="0"/>
          <w:pgNumType w:start="1"/>
          <w:cols w:space="720"/>
        </w:sectPr>
      </w:pPr>
    </w:p>
    <w:p w14:paraId="1E0BD6E1" w14:textId="77777777" w:rsidR="003D43FD" w:rsidRDefault="00000000">
      <w:pPr>
        <w:rPr>
          <w:rFonts w:ascii="Arial" w:eastAsia="Arial" w:hAnsi="Arial" w:cs="Arial"/>
          <w:b/>
          <w:bCs/>
          <w:sz w:val="22"/>
          <w:szCs w:val="22"/>
        </w:rPr>
      </w:pPr>
      <w:r>
        <w:rPr>
          <w:rFonts w:ascii="Arial" w:eastAsia="Arial" w:hAnsi="Arial" w:cs="Arial"/>
          <w:b/>
          <w:bCs/>
          <w:sz w:val="22"/>
          <w:szCs w:val="22"/>
        </w:rPr>
        <w:lastRenderedPageBreak/>
        <w:t>Section 1: Project Description</w:t>
      </w:r>
    </w:p>
    <w:p w14:paraId="473F374D" w14:textId="77777777" w:rsidR="003D43FD" w:rsidRDefault="003D43FD">
      <w:pPr>
        <w:spacing w:after="0" w:before="0"/>
        <w:rPr>
          <w:rFonts w:ascii="Arial" w:eastAsia="Arial" w:hAnsi="Arial" w:cs="Arial"/>
          <w:sz w:val="8"/>
          <w:szCs w:val="8"/>
        </w:rPr>
      </w:pPr>
    </w:p>
    <w:p w14:paraId="5F395C56" w14:textId="77777777" w:rsidR="003D43FD" w:rsidRDefault="00000000">
      <w:pPr>
        <w:rPr>
          <w:rFonts w:ascii="Arial" w:eastAsia="Arial" w:hAnsi="Arial" w:cs="Arial"/>
          <w:i/>
          <w:iCs/>
          <w:sz w:val="20"/>
          <w:szCs w:val="20"/>
        </w:rPr>
      </w:pPr>
      <w:r>
        <w:rPr>
          <w:rFonts w:ascii="Arial" w:eastAsia="Arial" w:hAnsi="Arial" w:cs="Arial"/>
          <w:i/>
          <w:iCs/>
          <w:sz w:val="20"/>
          <w:szCs w:val="20"/>
        </w:rPr>
        <w:t xml:space="preserve">Describe</w:t>
      </w:r>
      <w:r>
        <w:rPr>
          <w:rFonts w:ascii="Arial" w:eastAsia="Arial" w:hAnsi="Arial" w:cs="Arial"/>
          <w:i/>
          <w:iCs/>
          <w:sz w:val="20"/>
          <w:szCs w:val="20"/>
        </w:rPr>
        <w:t xml:space="preserve"> the </w:t>
      </w:r>
      <w:r>
        <w:rPr>
          <w:rFonts w:ascii="Arial" w:eastAsia="Arial" w:hAnsi="Arial" w:cs="Arial"/>
          <w:i/>
          <w:iCs/>
          <w:sz w:val="20"/>
          <w:szCs w:val="20"/>
        </w:rPr>
        <w:t xml:space="preserve">background</w:t>
      </w:r>
      <w:r>
        <w:rPr>
          <w:rFonts w:ascii="Arial" w:eastAsia="Arial" w:hAnsi="Arial" w:cs="Arial"/>
          <w:i/>
          <w:iCs/>
          <w:sz w:val="20"/>
          <w:szCs w:val="20"/>
        </w:rPr>
        <w:t xml:space="preserve">, </w:t>
      </w:r>
      <w:r>
        <w:rPr>
          <w:rFonts w:ascii="Arial" w:eastAsia="Arial" w:hAnsi="Arial" w:cs="Arial"/>
          <w:i/>
          <w:iCs/>
          <w:sz w:val="20"/>
          <w:szCs w:val="20"/>
        </w:rPr>
        <w:t xml:space="preserve">problem, aim</w:t>
      </w:r>
      <w:r>
        <w:rPr>
          <w:rFonts w:ascii="Arial" w:eastAsia="Arial" w:hAnsi="Arial" w:cs="Arial"/>
          <w:i/>
          <w:iCs/>
          <w:sz w:val="20"/>
          <w:szCs w:val="20"/>
        </w:rPr>
        <w:t xml:space="preserve"> and objectives of your project (max</w:t>
      </w:r>
      <w:r>
        <w:rPr>
          <w:rFonts w:ascii="Arial" w:eastAsia="Arial" w:hAnsi="Arial" w:cs="Arial"/>
          <w:i/>
          <w:iCs/>
          <w:sz w:val="20"/>
          <w:szCs w:val="20"/>
        </w:rPr>
        <w:t xml:space="preserve">.</w:t>
      </w:r>
      <w:r>
        <w:rPr>
          <w:rFonts w:ascii="Arial" w:eastAsia="Arial" w:hAnsi="Arial" w:cs="Arial"/>
          <w:i/>
          <w:iCs/>
          <w:sz w:val="20"/>
          <w:szCs w:val="20"/>
        </w:rPr>
        <w:t xml:space="preserve"> 750 words</w:t>
      </w:r>
      <w:r>
        <w:rPr>
          <w:rFonts w:ascii="Arial" w:eastAsia="Arial" w:hAnsi="Arial" w:cs="Arial"/>
          <w:i/>
          <w:iCs/>
          <w:sz w:val="20"/>
          <w:szCs w:val="20"/>
        </w:rPr>
        <w:t xml:space="preserve">, excluding the reference list</w:t>
      </w:r>
      <w:r>
        <w:rPr>
          <w:rFonts w:ascii="Arial" w:eastAsia="Arial" w:hAnsi="Arial" w:cs="Arial"/>
          <w:i/>
          <w:iCs/>
          <w:sz w:val="20"/>
          <w:szCs w:val="20"/>
        </w:rPr>
        <w:t xml:space="preserve">):</w:t>
      </w:r>
    </w:p>
    <w:p>
      <w:pPr>
        <w:rPr/>
      </w:pPr>
      <w:r>
        <w:rPr>
          <w:rFonts w:ascii="Arial" w:eastAsia="Arial" w:hAnsi="Arial" w:cs="Arial"/>
          <w:i/>
          <w:iCs/>
          <w:sz w:val="20"/>
          <w:szCs w:val="20"/>
        </w:rPr>
        <w:t xml:space="preserve">Include: the problem statement and overall aim; specific, measurable objectives; testable success criteria; your technical approach, described as an integrated system with its key components and interfaces; any knowledge gaps you need to fill; and a short list of five to seven references (IEEE style).</w:t>
      </w:r>
    </w:p>
    <w:p w14:paraId="36984781" w14:textId="77777777" w:rsidR="003D43FD" w:rsidRDefault="003D43FD">
      <w:pPr>
        <w:spacing w:after="0" w:before="0"/>
        <w:rPr>
          <w:rFonts w:ascii="Arial" w:eastAsia="Arial" w:hAnsi="Arial" w:cs="Arial"/>
          <w:sz w:val="8"/>
          <w:szCs w:val="8"/>
        </w:rPr>
      </w:pPr>
    </w:p>
    <w:tbl>
      <w:tblPr>
        <w:tblStyle w:val="a0"/>
        <w:tblW w:w="103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29"/>
      </w:tblGrid>
      <w:tr>
        <w:trPr>
          <w:trHeight w:hRule="auto"/>
        </w:trPr>
        <w:tc>
          <w:tcPr>
            <w:tcW w:type="dxa" w:w="10329"/>
          </w:tcPr>
          <w:p>
            <w:pPr>
              <w:keepLines/>
              <w:widowControl/>
              <w:spacing w:after="0" w:before="0" w:line="20" w:lineRule="exact"/>
            </w:pPr>
          </w:p>
          <w:p>
            <w:pPr>
              <w:keepNext/>
              <w:keepLines/>
              <w:widowControl/>
              <w:spacing w:after="60" w:before="0" w:line="240" w:lineRule="auto"/>
            </w:pPr>
            <w:r>
              <w:rPr>
                <w:rFonts w:ascii="Arial" w:hAnsi="Arial"/>
                <w:b/>
                <w:sz w:val="20"/>
              </w:rPr>
              <w:t>Background and problem</w:t>
            </w:r>
          </w:p>
          <w:p>
            <w:pPr>
              <w:keepLines/>
              <w:widowControl/>
              <w:spacing w:after="60" w:before="0" w:line="240" w:lineRule="auto"/>
            </w:pPr>
            <w:r>
              <w:rPr>
                <w:rFonts w:ascii="Arial" w:hAnsi="Arial"/>
                <w:b w:val="0"/>
                <w:sz w:val="20"/>
              </w:rPr>
              <w:t>Chinese railway overhead contact system standards contain specialised terms, numerical limits and edition-dependent requirements. Answers must preserve editions, units and conditions.</w:t>
            </w:r>
          </w:p>
          <w:p>
            <w:pPr>
              <w:keepLines/>
              <w:widowControl/>
              <w:spacing w:after="60" w:before="0" w:line="240" w:lineRule="auto"/>
            </w:pPr>
            <w:r>
              <w:rPr>
                <w:rFonts w:ascii="Arial" w:hAnsi="Arial"/>
                <w:b w:val="0"/>
                <w:sz w:val="20"/>
              </w:rPr>
              <w:t>Retrieval-augmented generation (RAG) connects retrieval and generation [1]. BM25 matches terms [2]; dense retrieval represents semantic similarity [3]. Query rewriting [4] informs rule-based follow-ups. Distractor research [5] motivates irrelevant-evidence tests, without establishing railway performance. RAGAs [6] motivates separate retrieval and answer assessment; semantic scoring here is manual.</w:t>
            </w:r>
          </w:p>
          <w:p>
            <w:pPr>
              <w:keepNext/>
              <w:keepLines/>
              <w:widowControl/>
              <w:spacing w:after="60" w:before="0" w:line="240" w:lineRule="auto"/>
            </w:pPr>
            <w:r>
              <w:rPr>
                <w:rFonts w:ascii="Arial" w:hAnsi="Arial"/>
                <w:b/>
                <w:sz w:val="20"/>
              </w:rPr>
              <w:t>Aim, research questions and objectives</w:t>
            </w:r>
          </w:p>
          <w:p>
            <w:pPr>
              <w:keepLines/>
              <w:widowControl/>
              <w:spacing w:after="60" w:before="0" w:line="240" w:lineRule="auto"/>
            </w:pPr>
            <w:r>
              <w:rPr>
                <w:rFonts w:ascii="Arial" w:hAnsi="Arial"/>
                <w:b w:val="0"/>
                <w:sz w:val="20"/>
              </w:rPr>
              <w:t>The aim is to develop and evaluate evidence-based question answering for these standards. RQ1: Does hybrid retrieval improve recall over BM25 and dense retrieval? RQ2: Does edition filtering reduce wrong-edition answers? RQ3: Does an evidence gate reduce unsupported answers without excessive refusal?</w:t>
            </w:r>
          </w:p>
          <w:p>
            <w:pPr>
              <w:keepLines/>
              <w:widowControl/>
              <w:spacing w:after="60" w:before="0" w:line="240" w:lineRule="auto"/>
            </w:pPr>
            <w:r>
              <w:rPr>
                <w:rFonts w:ascii="Arial" w:hAnsi="Arial"/>
                <w:b w:val="0"/>
                <w:sz w:val="20"/>
              </w:rPr>
              <w:t>O1 — By Week 11, curate 20–30 usable documents, recording hashes, provenance, identifiers, years, extraction quality and permissions. Distinguish duplicates from formal editions. Seek two families with two usable editions each; availability remains unconfirmed. Exclude scans and drafts.</w:t>
            </w:r>
          </w:p>
          <w:p>
            <w:pPr>
              <w:keepLines/>
              <w:widowControl/>
              <w:spacing w:after="60" w:before="0" w:line="240" w:lineRule="auto"/>
            </w:pPr>
            <w:r>
              <w:rPr>
                <w:rFonts w:ascii="Arial" w:hAnsi="Arial"/>
                <w:b w:val="0"/>
                <w:sz w:val="20"/>
              </w:rPr>
              <w:t>O2 — By Week 16, integrate PDF/DOCX parsing, chunking, SQLite, retrieval, DeepSeek generation, rule-based follow-ups and Streamlit. Locate citations by PDF file-page or DOCX paragraph/table. Missing requested editions require explicit refusal; ambiguous editions require clarification.</w:t>
            </w:r>
          </w:p>
          <w:p>
            <w:pPr>
              <w:keepLines/>
              <w:widowControl/>
              <w:spacing w:after="60" w:before="0" w:line="240" w:lineRule="auto"/>
            </w:pPr>
            <w:r>
              <w:rPr>
                <w:rFonts w:ascii="Arial" w:hAnsi="Arial"/>
                <w:b w:val="0"/>
                <w:sz w:val="20"/>
              </w:rPr>
              <w:t>O3 — By Week 17, freeze 100 manually checked questions: 20 development (16 answerable) and 80 test (64 answerable). Cover clauses, terms, specified/missing/conflicting editions and follow-ups. Record facts, units, conditions and evidence spans in JSONL; keep related facts/dialogues within one split.</w:t>
            </w:r>
          </w:p>
          <w:p>
            <w:pPr>
              <w:keepLines/>
              <w:widowControl/>
              <w:spacing w:after="60" w:before="0" w:line="240" w:lineRule="auto"/>
            </w:pPr>
            <w:r>
              <w:rPr>
                <w:rFonts w:ascii="Arial" w:hAnsi="Arial"/>
                <w:b w:val="0"/>
                <w:sz w:val="20"/>
              </w:rPr>
              <w:t>O4 — By Week 20, compare B1 BM25, B2 dense, B3 hybrid, A1 hybrid without edition filtering, and A2 hybrid without the retrieval gate. A1 retains family filtering but disables year restrictions and edition-availability/ambiguity checks. A2 retains prompts, citation checks and error handling. A2 measures only the gate's incremental effect.</w:t>
            </w:r>
          </w:p>
          <w:p>
            <w:pPr>
              <w:keepLines/>
              <w:widowControl/>
              <w:spacing w:after="60" w:before="0" w:line="240" w:lineRule="auto"/>
            </w:pPr>
            <w:r>
              <w:rPr>
                <w:rFonts w:ascii="Arial" w:hAnsi="Arial"/>
                <w:b w:val="0"/>
                <w:sz w:val="20"/>
              </w:rPr>
              <w:t>O5 — By Week 24, deliver code, evaluation records, report, Portfolio and video; attend the Week 18 Symposium and prepare for the Week 25–27 viva.</w:t>
            </w:r>
          </w:p>
        </w:tc>
      </w:tr>
      <w:tr>
        <w:trPr>
          <w:trHeight w:hRule="auto"/>
          <w:cantSplit/>
        </w:trPr>
        <w:tc>
          <w:tcPr>
            <w:tcW w:type="dxa" w:w="10329"/>
          </w:tcPr>
          <w:p/>
          <w:p>
            <w:pPr>
              <w:keepNext/>
              <w:keepLines/>
              <w:widowControl/>
              <w:spacing w:after="60" w:before="0" w:line="240" w:lineRule="auto"/>
            </w:pPr>
            <w:r>
              <w:rPr>
                <w:rFonts w:ascii="Arial" w:hAnsi="Arial"/>
                <w:b/>
                <w:sz w:val="20"/>
              </w:rPr>
              <w:t>Reproducible method and assessment</w:t>
            </w:r>
          </w:p>
          <w:p>
            <w:pPr>
              <w:keepLines/>
              <w:widowControl/>
              <w:spacing w:after="60" w:before="0" w:line="240" w:lineRule="auto"/>
            </w:pPr>
            <w:r>
              <w:rPr>
                <w:rFonts w:ascii="Arial" w:hAnsi="Arial"/>
                <w:b w:val="0"/>
                <w:sz w:val="20"/>
              </w:rPr>
              <w:t>Use consistent Chinese tokenisation for indexing and queries: an existing segmenter with a small domain dictionary, preserving standard identifiers, technical terms, numbers and units. No training is required. Freeze tokenisation and stopwords before testing.</w:t>
            </w:r>
          </w:p>
          <w:p>
            <w:pPr>
              <w:keepLines/>
              <w:widowControl/>
              <w:spacing w:after="60" w:before="0" w:line="240" w:lineRule="auto"/>
            </w:pPr>
            <w:r>
              <w:rPr>
                <w:rFonts w:ascii="Arial" w:hAnsi="Arial"/>
                <w:b w:val="0"/>
                <w:sz w:val="20"/>
              </w:rPr>
              <w:t>Use Top-K=5, BM25 and cosine similarity. Min–max normalise scores across eligible chunks per query; combine as (1−w)B+wD. Constant positive scores map to one; other constant scores map to zero. Select w from {0.25,0.50,0.75} by development Recall@5, then MRR@5; ties favour 0.50. Select gate thresholds using development evidence labels only. Freeze corpus, models, prompts, chunking and parameters; automatically log inputs, outputs, evidence, configurations, tokens and timings.</w:t>
            </w:r>
          </w:p>
          <w:p>
            <w:pPr>
              <w:keepLines/>
              <w:widowControl/>
              <w:spacing w:after="60" w:before="0" w:line="240" w:lineRule="auto"/>
            </w:pPr>
            <w:r>
              <w:rPr>
                <w:rFonts w:ascii="Arial" w:hAnsi="Arial"/>
                <w:b w:val="0"/>
                <w:sz w:val="20"/>
              </w:rPr>
              <w:t>Lexical coverage is matched distinct query content tokens divided by all distinct query content tokens, excluding standard identifiers and frozen stopwords; empty sets score zero. Matching uses passage tokens from the same segmenter. The gate accepts coverage or raw cosine above threshold. Metadata, citation identifiers and excerpt checks are automatic; semantic support, values, units and conditions require human assessment.</w:t>
            </w:r>
          </w:p>
          <w:p>
            <w:pPr>
              <w:keepLines/>
              <w:widowControl/>
              <w:spacing w:after="60" w:before="0" w:line="240" w:lineRule="auto"/>
            </w:pPr>
            <w:r>
              <w:rPr>
                <w:rFonts w:ascii="Arial" w:hAnsi="Arial"/>
                <w:b w:val="0"/>
                <w:sz w:val="20"/>
              </w:rPr>
              <w:t>Recall@5 and MRR@5 use all 64 answerable items and pre-gate rankings. Correctness is fully correct answers/64; errors and refusals score zero. Citation support is supported cited claims/all cited claims, judging each claim's citations jointly; report citation coverage. Wrong-edition rate is answers using non-requested editions/all unambiguously edition-specified items, including missing editions; report availability strata and answer coverage. Refusal recall is justified non-answering/16 unanswerable items; false refusal is refusals or unnecessary clarifications/64 answerable items. Clarification is justified only for pre-labelled ambiguous items. API/format failures are errors, never justified refusals. Zero denominators yield N/A. Unsupported-answer incidence uses all 80 items.</w:t>
            </w:r>
          </w:p>
          <w:p>
            <w:pPr>
              <w:keepLines/>
              <w:widowControl/>
              <w:spacing w:after="60" w:before="0" w:line="240" w:lineRule="auto"/>
            </w:pPr>
            <w:r>
              <w:rPr>
                <w:rFonts w:ascii="Arial" w:hAnsi="Arial"/>
                <w:b w:val="0"/>
                <w:sz w:val="20"/>
              </w:rPr>
              <w:t>Planning targets, not results: Recall@5 and correctness ≥0.80, citation support ≥0.90, refusal recall ≥0.80, false refusal ≤0.10. Report counts, paired differences, uncertainty, failures and latency.</w:t>
            </w:r>
          </w:p>
          <w:p>
            <w:pPr>
              <w:keepNext/>
              <w:keepLines/>
              <w:widowControl/>
              <w:spacing w:after="60" w:before="0" w:line="240" w:lineRule="auto"/>
            </w:pPr>
            <w:r>
              <w:rPr>
                <w:rFonts w:ascii="Arial" w:hAnsi="Arial"/>
                <w:b/>
                <w:sz w:val="20"/>
              </w:rPr>
              <w:t>Feasibility and boundaries</w:t>
            </w:r>
          </w:p>
          <w:p>
            <w:pPr>
              <w:keepLines/>
              <w:widowControl/>
              <w:spacing w:after="60" w:before="0" w:line="240" w:lineRule="auto"/>
            </w:pPr>
            <w:r>
              <w:rPr>
                <w:rFonts w:ascii="Arial" w:hAnsi="Arial"/>
                <w:b w:val="0"/>
                <w:sz w:val="20"/>
              </w:rPr>
              <w:t>A three-document BM25 prototype exists; live DeepSeek checks used synthetic evidence. Embedding, live dense/hybrid and formal evaluation remain unverified. Attribute reused code and APIs; develop calibration and annotation skills through development trials. Exclude training, agents, OCR, drawings, knowledge graphs, hardware and deployment. The system supports consultation, not engineering approval.</w:t>
            </w:r>
          </w:p>
          <w:p>
            <w:pPr>
              <w:keepNext/>
              <w:keepLines/>
              <w:widowControl/>
              <w:spacing w:after="60" w:before="0" w:line="240" w:lineRule="auto"/>
            </w:pPr>
            <w:r>
              <w:rPr>
                <w:rFonts w:ascii="Arial" w:hAnsi="Arial"/>
                <w:b/>
                <w:sz w:val="20"/>
              </w:rPr>
              <w:t>References</w:t>
            </w:r>
          </w:p>
          <w:p>
            <w:pPr>
              <w:keepLines/>
              <w:widowControl/>
              <w:spacing w:after="60" w:before="0" w:line="240" w:lineRule="auto"/>
            </w:pPr>
            <w:r>
              <w:rPr>
                <w:rFonts w:ascii="Arial" w:hAnsi="Arial"/>
                <w:b w:val="0"/>
                <w:sz w:val="18"/>
              </w:rPr>
              <w:t>[1] P. Lewis et al., “</w:t>
            </w:r>
            <w:hyperlink r:id="rId13">
              <w:r>
                <w:rPr>
                  <w:rStyle w:val="Hyperlink"/>
                  <w:rFonts w:ascii="Arial" w:hAnsi="Arial"/>
                  <w:sz w:val="18"/>
                </w:rPr>
                <w:t>Retrieval-Augmented Generation for Knowledge-Intensive NLP Tasks</w:t>
              </w:r>
            </w:hyperlink>
            <w:r>
              <w:rPr>
                <w:rFonts w:ascii="Arial" w:hAnsi="Arial"/>
                <w:b w:val="0"/>
                <w:sz w:val="18"/>
              </w:rPr>
              <w:t>,” in Advances in Neural Information Processing Systems, vol. 33, pp. 9459–9474, 2020.</w:t>
            </w:r>
          </w:p>
          <w:p>
            <w:pPr>
              <w:keepLines/>
              <w:widowControl/>
              <w:spacing w:after="60" w:before="0" w:line="240" w:lineRule="auto"/>
            </w:pPr>
            <w:r>
              <w:rPr>
                <w:rFonts w:ascii="Arial" w:hAnsi="Arial"/>
                <w:b w:val="0"/>
                <w:sz w:val="18"/>
              </w:rPr>
              <w:t xml:space="preserve">[2] S. Robertson and H. Zaragoza, “The Probabilistic Relevance Framework: BM25 and Beyond,” Foundations and Trends in Information Retrieval, vol. 3, no. 4, pp. 333–389, 2009, doi: </w:t>
            </w:r>
            <w:hyperlink r:id="rId14">
              <w:r>
                <w:rPr>
                  <w:rStyle w:val="Hyperlink"/>
                  <w:rFonts w:ascii="Arial" w:hAnsi="Arial"/>
                  <w:sz w:val="18"/>
                </w:rPr>
                <w:t>10.1561/1500000019</w:t>
              </w:r>
            </w:hyperlink>
            <w:r>
              <w:rPr>
                <w:rFonts w:ascii="Arial" w:hAnsi="Arial"/>
                <w:b w:val="0"/>
                <w:sz w:val="18"/>
              </w:rPr>
              <w:t>.</w:t>
            </w:r>
          </w:p>
          <w:p>
            <w:pPr>
              <w:keepLines/>
              <w:widowControl/>
              <w:spacing w:after="60" w:before="0" w:line="240" w:lineRule="auto"/>
            </w:pPr>
            <w:r>
              <w:rPr>
                <w:rFonts w:ascii="Arial" w:hAnsi="Arial"/>
                <w:b w:val="0"/>
                <w:sz w:val="18"/>
              </w:rPr>
              <w:t xml:space="preserve">[3] V. Karpukhin et al., “Dense Passage Retrieval for Open-Domain Question Answering,” in Proceedings of EMNLP, 2020, pp. 6769–6781, doi: </w:t>
            </w:r>
            <w:hyperlink r:id="rId15">
              <w:r>
                <w:rPr>
                  <w:rStyle w:val="Hyperlink"/>
                  <w:rFonts w:ascii="Arial" w:hAnsi="Arial"/>
                  <w:sz w:val="18"/>
                </w:rPr>
                <w:t>10.18653/v1/2020.emnlp-main.550</w:t>
              </w:r>
            </w:hyperlink>
            <w:r>
              <w:rPr>
                <w:rFonts w:ascii="Arial" w:hAnsi="Arial"/>
                <w:b w:val="0"/>
                <w:sz w:val="18"/>
              </w:rPr>
              <w:t>.</w:t>
            </w:r>
          </w:p>
          <w:p>
            <w:pPr>
              <w:keepLines/>
              <w:widowControl/>
              <w:spacing w:after="60" w:before="0" w:line="240" w:lineRule="auto"/>
            </w:pPr>
            <w:r>
              <w:rPr>
                <w:rFonts w:ascii="Arial" w:hAnsi="Arial"/>
                <w:b w:val="0"/>
                <w:sz w:val="18"/>
              </w:rPr>
              <w:t xml:space="preserve">[4] X. Ma, Y. Gong, P. He, H. Zhao, and N. Duan, “Query Rewriting in Retrieval-Augmented Large Language Models,” in Proceedings of EMNLP, 2023, pp. 5303–5315, doi: </w:t>
            </w:r>
            <w:hyperlink r:id="rId16">
              <w:r>
                <w:rPr>
                  <w:rStyle w:val="Hyperlink"/>
                  <w:rFonts w:ascii="Arial" w:hAnsi="Arial"/>
                  <w:sz w:val="18"/>
                </w:rPr>
                <w:t>10.18653/v1/2023.emnlp-main.322</w:t>
              </w:r>
            </w:hyperlink>
            <w:r>
              <w:rPr>
                <w:rFonts w:ascii="Arial" w:hAnsi="Arial"/>
                <w:b w:val="0"/>
                <w:sz w:val="18"/>
              </w:rPr>
              <w:t>.</w:t>
            </w:r>
          </w:p>
          <w:p>
            <w:pPr>
              <w:keepLines/>
              <w:widowControl/>
              <w:spacing w:after="60" w:before="0" w:line="240" w:lineRule="auto"/>
            </w:pPr>
            <w:r>
              <w:rPr>
                <w:rFonts w:ascii="Arial" w:hAnsi="Arial"/>
                <w:b w:val="0"/>
                <w:sz w:val="18"/>
              </w:rPr>
              <w:t>[5] F. Shi et al., “</w:t>
            </w:r>
            <w:hyperlink r:id="rId17">
              <w:r>
                <w:rPr>
                  <w:rStyle w:val="Hyperlink"/>
                  <w:rFonts w:ascii="Arial" w:hAnsi="Arial"/>
                  <w:sz w:val="18"/>
                </w:rPr>
                <w:t>Large Language Models Can Be Easily Distracted by Irrelevant Context</w:t>
              </w:r>
            </w:hyperlink>
            <w:r>
              <w:rPr>
                <w:rFonts w:ascii="Arial" w:hAnsi="Arial"/>
                <w:b w:val="0"/>
                <w:sz w:val="18"/>
              </w:rPr>
              <w:t>,” in Proceedings of ICML, PMLR, vol. 202, 2023, pp. 31210–31227.</w:t>
            </w:r>
          </w:p>
          <w:p>
            <w:pPr>
              <w:keepLines/>
              <w:widowControl/>
              <w:spacing w:after="60" w:before="0" w:line="240" w:lineRule="auto"/>
            </w:pPr>
            <w:r>
              <w:rPr>
                <w:rFonts w:ascii="Arial" w:hAnsi="Arial"/>
                <w:b w:val="0"/>
                <w:sz w:val="18"/>
              </w:rPr>
              <w:t xml:space="preserve">[6] S. Es, J. James, L. Espinosa Anke, and S. Schockaert, “RAGAs: Automated Evaluation of Retrieval Augmented Generation,” in Proceedings of EACL: System Demonstrations, 2024, pp. 150–158, doi: </w:t>
            </w:r>
            <w:hyperlink r:id="rId18">
              <w:r>
                <w:rPr>
                  <w:rStyle w:val="Hyperlink"/>
                  <w:rFonts w:ascii="Arial" w:hAnsi="Arial"/>
                  <w:sz w:val="18"/>
                </w:rPr>
                <w:t>10.18653/v1/2024.eacl-demo.16</w:t>
              </w:r>
            </w:hyperlink>
            <w:r>
              <w:rPr>
                <w:rFonts w:ascii="Arial" w:hAnsi="Arial"/>
                <w:b w:val="0"/>
                <w:sz w:val="18"/>
              </w:rPr>
              <w:t>.</w:t>
            </w:r>
          </w:p>
        </w:tc>
      </w:tr>
    </w:tbl>
    <w:p w14:paraId="73E9C726" w14:textId="77777777" w:rsidR="003D43FD" w:rsidRDefault="003D43FD">
      <w:pPr>
        <w:rPr>
          <w:rFonts w:ascii="Arial" w:eastAsia="Arial" w:hAnsi="Arial" w:cs="Arial"/>
          <w:sz w:val="20"/>
          <w:szCs w:val="20"/>
        </w:rPr>
        <w:sectPr w:rsidR="003D43FD">
          <w:pgSz w:w="11907" w:h="16840"/>
          <w:pgMar w:top="1260" w:right="720" w:bottom="720" w:left="720" w:header="709" w:footer="709" w:gutter="0"/>
          <w:cols w:space="720"/>
        </w:sectPr>
      </w:pPr>
    </w:p>
    <w:p w14:paraId="6A89E4F4" w14:textId="77777777" w:rsidR="003D43FD" w:rsidRDefault="00000000">
      <w:pPr>
        <w:rPr>
          <w:rFonts w:ascii="Arial" w:eastAsia="Arial" w:hAnsi="Arial" w:cs="Arial"/>
          <w:b/>
          <w:bCs/>
          <w:sz w:val="22"/>
          <w:szCs w:val="22"/>
        </w:rPr>
      </w:pPr>
      <w:r>
        <w:rPr>
          <w:rFonts w:ascii="Arial" w:eastAsia="Arial" w:hAnsi="Arial" w:cs="Arial"/>
          <w:b/>
          <w:bCs/>
          <w:sz w:val="22"/>
          <w:szCs w:val="22"/>
        </w:rPr>
        <w:t xml:space="preserve">Section 2: Gantt </w:t>
      </w:r>
      <w:r>
        <w:rPr>
          <w:rFonts w:ascii="Arial" w:eastAsia="Arial" w:hAnsi="Arial" w:cs="Arial"/>
          <w:b/>
          <w:bCs/>
          <w:sz w:val="22"/>
          <w:szCs w:val="22"/>
        </w:rPr>
        <w:t xml:space="preserve">Chart</w:t>
      </w:r>
    </w:p>
    <w:p w14:paraId="47215110" w14:textId="77777777" w:rsidR="003D43FD" w:rsidRDefault="003D43FD">
      <w:pPr>
        <w:spacing w:after="0" w:before="0"/>
        <w:rPr>
          <w:rFonts w:ascii="Arial" w:eastAsia="Arial" w:hAnsi="Arial" w:cs="Arial"/>
          <w:sz w:val="8"/>
          <w:szCs w:val="8"/>
        </w:rPr>
      </w:pPr>
    </w:p>
    <w:p w14:paraId="642FA648" w14:textId="77777777" w:rsidR="003D43FD" w:rsidRDefault="00000000">
      <w:pPr>
        <w:rPr>
          <w:rFonts w:ascii="Arial" w:eastAsia="Arial" w:hAnsi="Arial" w:cs="Arial"/>
          <w:i/>
          <w:iCs/>
          <w:sz w:val="20"/>
          <w:szCs w:val="20"/>
        </w:rPr>
      </w:pPr>
      <w:r>
        <w:rPr>
          <w:rFonts w:ascii="Arial" w:eastAsia="Arial" w:hAnsi="Arial" w:cs="Arial"/>
          <w:i/>
          <w:iCs/>
          <w:sz w:val="20"/>
          <w:szCs w:val="20"/>
        </w:rPr>
        <w:t xml:space="preserve">Your Gantt chart should show tasks and sub-tasks with clear timescales, milestones (e.g. “Architecture approved”) and the dependencies between tasks, covering the whole project up to the final submission in Week 24:</w:t>
      </w:r>
    </w:p>
    <w:p w14:paraId="130AFF56" w14:textId="77777777" w:rsidR="003D43FD" w:rsidRDefault="003D43FD">
      <w:pPr>
        <w:spacing w:after="0" w:before="0"/>
        <w:rPr>
          <w:rFonts w:ascii="Arial" w:eastAsia="Arial" w:hAnsi="Arial" w:cs="Arial"/>
          <w:sz w:val="8"/>
          <w:szCs w:val="8"/>
        </w:rPr>
      </w:pPr>
    </w:p>
    <w:tbl>
      <w:tblPr>
        <w:tblStyle w:val="a1"/>
        <w:tblW w:w="153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0"/>
      </w:tblGrid>
      <w:tr>
        <w:trPr>
          <w:trHeight w:hRule="auto"/>
        </w:trPr>
        <w:tc>
          <w:tcPr>
            <w:tcW w:type="dxa" w:w="15300"/>
          </w:tcPr>
          <w:p>
            <w:pPr>
              <w:keepLines/>
              <w:widowControl/>
              <w:spacing w:after="0" w:before="0" w:line="20" w:lineRule="exact"/>
            </w:pPr>
          </w:p>
          <w:p>
            <w:pPr>
              <w:spacing w:line="240" w:lineRule="auto" w:after="40"/>
              <w:jc w:val="center"/>
            </w:pPr>
            <w:r>
              <w:drawing>
                <wp:inline xmlns:a="http://schemas.openxmlformats.org/drawingml/2006/main" xmlns:pic="http://schemas.openxmlformats.org/drawingml/2006/picture">
                  <wp:extent cx="7863840" cy="5169747"/>
                  <wp:docPr id="7" name="Picture 7"/>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7863840" cy="5169747"/>
                          </a:xfrm>
                          <a:prstGeom prst="rect"/>
                        </pic:spPr>
                      </pic:pic>
                    </a:graphicData>
                  </a:graphic>
                </wp:inline>
              </w:drawing>
            </w:r>
          </w:p>
          <w:p>
            <w:pPr>
              <w:keepLines/>
              <w:widowControl/>
              <w:spacing w:after="60" w:before="0" w:line="240" w:lineRule="auto"/>
            </w:pPr>
            <w:r>
              <w:rPr>
                <w:rFonts w:ascii="Arial" w:hAnsi="Arial"/>
                <w:b w:val="0"/>
                <w:sz w:val="18"/>
              </w:rPr>
              <w:t>Figure 1. Planned project weeks and milestones; New Year work break: 1–14 February 2027 (Week 22–23). Table 1 gives dependencies and effort.</w:t>
            </w:r>
          </w:p>
        </w:tc>
      </w:tr>
      <w:tr>
        <w:trPr>
          <w:trHeight w:hRule="auto"/>
          <w:cantSplit/>
        </w:trPr>
        <w:tc>
          <w:tcPr>
            <w:tcW w:type="dxa" w:w="15300"/>
          </w:tcPr>
          <w:p/>
          <w:p>
            <w:pPr>
              <w:keepLines/>
              <w:widowControl/>
              <w:spacing w:after="60" w:before="0" w:line="240" w:lineRule="auto"/>
            </w:pPr>
            <w:r>
              <w:rPr>
                <w:rFonts w:ascii="Arial" w:hAnsi="Arial"/>
                <w:b w:val="0"/>
                <w:sz w:val="20"/>
              </w:rPr>
              <w:t>Week 1 begins on 7 September 2026, as confirmed in class. The confirmed Proposal deadline is Thursday 29 October 2026 (Week 8). Presentation follows the supplied ELEC3801 Proposal Form and example. The supplied course form specifies 14:00 UK time. Later date conversions assume consecutive weeks and remain provisional pending the semester timetable.</w:t>
            </w:r>
          </w:p>
          <w:p>
            <w:pPr>
              <w:keepLines/>
              <w:widowControl/>
              <w:spacing w:after="60" w:before="0" w:line="240" w:lineRule="auto"/>
            </w:pPr>
            <w:r>
              <w:rPr>
                <w:rFonts w:ascii="Arial" w:hAnsi="Arial"/>
                <w:b w:val="0"/>
                <w:sz w:val="20"/>
              </w:rPr>
              <w:t>The project plan sets 1–14 February 2027 as a two-week Chinese New Year work break, corresponding to Week 22–23 under the consecutive planning-week convention. This is the student's work schedule, not an institutional holiday approval. No task bars cross the break. Budget 400 hours overall: 372 through Week 24 and 28 for the viva. This is a planning allocation, not completed work. The handbook states approximately 400 module hours but describes a Week 4–24 working period without explicitly allocating viva hours; the inclusive total here is a project budgeting choice, not a confirmed course interpretation.</w:t>
            </w:r>
          </w:p>
          <w:p>
            <w:pPr>
              <w:keepLines/>
              <w:widowControl/>
              <w:spacing w:after="60" w:before="0" w:line="240" w:lineRule="auto"/>
            </w:pPr>
            <w:r>
              <w:rPr>
                <w:rFonts w:ascii="Arial" w:hAnsi="Arial"/>
                <w:b w:val="0"/>
                <w:sz w:val="20"/>
              </w:rPr>
              <w:t>Milestones: M1 Proposal (Week 8); M2 corpus/baseline (Week 11); M3 integration (Week 16); M4 frozen benchmark/configuration (Week 17); MS compulsory Symposium (Week 18); M5 evaluation (Week 20); M6 report draft (Week 21); M7 final submission (Week 24, Thursday 14:00 UK time, subject to the course notice). Viva: Week 25–27. Table 1 gives named tasks, active weeks, dependencies and hours. Equal predecessor-end and successor-start weeks mean an ordered handover within that week, not parallel dependency completion.</w:t>
            </w:r>
          </w:p>
          <w:p>
            <w:pPr>
              <w:keepLines/>
              <w:widowControl/>
              <w:spacing w:after="60" w:before="0" w:line="240" w:lineRule="auto"/>
            </w:pPr>
            <w:r>
              <w:rPr>
                <w:rFonts w:ascii="Arial" w:hAnsi="Arial"/>
                <w:b w:val="0"/>
                <w:sz w:val="20"/>
              </w:rPr>
              <w:t>Main dependency chain: T03 → T06 → T07 → T11 → T12 → T13 → T15; integration also gates T11. Literature informs the Proposal through an initial reading checkpoint in Week 6, with the remaining T02 review continuing afterwards. T06 starts with document curation; T05 must be complete before its final embedding/index check at M2. T15 leaves 12 hours for final checks after the break; complete the report draft and video beforehand.</w:t>
            </w:r>
          </w:p>
          <w:p>
            <w:pPr>
              <w:keepLines/>
              <w:widowControl/>
              <w:spacing w:after="60" w:before="0" w:line="240" w:lineRule="auto"/>
            </w:pPr>
            <w:r>
              <w:rPr>
                <w:rFonts w:ascii="Arial" w:hAnsi="Arial"/>
                <w:b w:val="0"/>
                <w:sz w:val="20"/>
              </w:rPr>
              <w:t>T16 covers ten formal supervision meetings, ten Review Documents (maximum two pages each) and weekly Progress Journal entries from Week 5 to Week 24 except examination weeks. Prepare each Review Document after its meeting and share it at least one day before the next; send Review Document 10 for approval before final submission. Hold the pre-Proposal review before Week 8. Meeting dates, approvals and holiday journal arrangements require agreement; the work break does not waive course requirements. Do not back-fill records.</w:t>
            </w:r>
          </w:p>
          <w:p>
            <w:pPr>
              <w:keepNext/>
              <w:keepLines/>
              <w:widowControl/>
              <w:spacing w:after="60" w:before="0" w:line="240" w:lineRule="auto"/>
            </w:pPr>
            <w:r>
              <w:rPr>
                <w:rFonts w:ascii="Arial" w:hAnsi="Arial"/>
                <w:b/>
                <w:sz w:val="20"/>
              </w:rPr>
              <w:t>Table 1. Task dependencies and planned effort</w:t>
            </w:r>
          </w:p>
          <w:tbl>
            <w:tblPr>
              <w:tblStyle w:val="TableGrid"/>
              <w:tblW w:type="auto" w:w="0"/>
              <w:tblLayout w:type="fixed"/>
              <w:tblLook w:firstColumn="1" w:firstRow="1" w:lastColumn="0" w:lastRow="0" w:noHBand="0" w:noVBand="1" w:val="04A0"/>
            </w:tblPr>
            <w:tblGrid>
              <w:gridCol w:w="648"/>
              <w:gridCol w:w="6480"/>
              <w:gridCol w:w="3168"/>
              <w:gridCol w:w="3312"/>
              <w:gridCol w:w="864"/>
            </w:tblGrid>
            <w:tr>
              <w:trPr>
                <w:cantSplit/>
                <w:tblHeader/>
              </w:trPr>
              <w:tc>
                <w:tcPr>
                  <w:tcW w:type="dxa" w:w="648"/>
                </w:tcPr>
                <w:p>
                  <w:pPr>
                    <w:keepLines/>
                    <w:widowControl/>
                    <w:spacing w:after="0" w:before="0" w:line="240" w:lineRule="auto"/>
                  </w:pPr>
                  <w:r>
                    <w:rPr>
                      <w:rFonts w:ascii="Arial" w:hAnsi="Arial"/>
                      <w:b/>
                      <w:sz w:val="18"/>
                    </w:rPr>
                    <w:t>ID</w:t>
                  </w:r>
                </w:p>
              </w:tc>
              <w:tc>
                <w:tcPr>
                  <w:tcW w:type="dxa" w:w="6480"/>
                </w:tcPr>
                <w:p>
                  <w:pPr>
                    <w:keepLines/>
                    <w:widowControl/>
                    <w:spacing w:after="0" w:before="0" w:line="240" w:lineRule="auto"/>
                  </w:pPr>
                  <w:r>
                    <w:rPr>
                      <w:rFonts w:ascii="Arial" w:hAnsi="Arial"/>
                      <w:b/>
                      <w:sz w:val="18"/>
                    </w:rPr>
                    <w:t>Task</w:t>
                  </w:r>
                </w:p>
              </w:tc>
              <w:tc>
                <w:tcPr>
                  <w:tcW w:type="dxa" w:w="3168"/>
                </w:tcPr>
                <w:p>
                  <w:pPr>
                    <w:keepLines/>
                    <w:widowControl/>
                    <w:spacing w:after="0" w:before="0" w:line="240" w:lineRule="auto"/>
                  </w:pPr>
                  <w:r>
                    <w:rPr>
                      <w:rFonts w:ascii="Arial" w:hAnsi="Arial"/>
                      <w:b/>
                      <w:sz w:val="18"/>
                    </w:rPr>
                    <w:t>Active weeks</w:t>
                  </w:r>
                </w:p>
              </w:tc>
              <w:tc>
                <w:tcPr>
                  <w:tcW w:type="dxa" w:w="3312"/>
                </w:tcPr>
                <w:p>
                  <w:pPr>
                    <w:keepLines/>
                    <w:widowControl/>
                    <w:spacing w:after="0" w:before="0" w:line="240" w:lineRule="auto"/>
                  </w:pPr>
                  <w:r>
                    <w:rPr>
                      <w:rFonts w:ascii="Arial" w:hAnsi="Arial"/>
                      <w:b/>
                      <w:sz w:val="18"/>
                    </w:rPr>
                    <w:t>Depends on</w:t>
                  </w:r>
                </w:p>
              </w:tc>
              <w:tc>
                <w:tcPr>
                  <w:tcW w:type="dxa" w:w="864"/>
                </w:tcPr>
                <w:p>
                  <w:pPr>
                    <w:keepLines/>
                    <w:widowControl/>
                    <w:spacing w:after="0" w:before="0" w:line="240" w:lineRule="auto"/>
                  </w:pPr>
                  <w:r>
                    <w:rPr>
                      <w:rFonts w:ascii="Arial" w:hAnsi="Arial"/>
                      <w:b/>
                      <w:sz w:val="18"/>
                    </w:rPr>
                    <w:t>Hours</w:t>
                  </w:r>
                </w:p>
              </w:tc>
            </w:tr>
            <w:tr>
              <w:trPr>
                <w:cantSplit/>
              </w:trPr>
              <w:tc>
                <w:tcPr>
                  <w:tcW w:type="dxa" w:w="648"/>
                </w:tcPr>
                <w:p>
                  <w:pPr>
                    <w:keepLines/>
                    <w:widowControl/>
                    <w:spacing w:after="0" w:before="0" w:line="240" w:lineRule="auto"/>
                  </w:pPr>
                  <w:r>
                    <w:rPr>
                      <w:rFonts w:ascii="Arial" w:hAnsi="Arial"/>
                      <w:b w:val="0"/>
                      <w:sz w:val="18"/>
                    </w:rPr>
                    <w:t>T01</w:t>
                  </w:r>
                </w:p>
              </w:tc>
              <w:tc>
                <w:tcPr>
                  <w:tcW w:type="dxa" w:w="6480"/>
                </w:tcPr>
                <w:p>
                  <w:pPr>
                    <w:keepLines/>
                    <w:widowControl/>
                    <w:spacing w:after="0" w:before="0" w:line="240" w:lineRule="auto"/>
                  </w:pPr>
                  <w:r>
                    <w:rPr>
                      <w:rFonts w:ascii="Arial" w:hAnsi="Arial"/>
                      <w:b w:val="0"/>
                      <w:sz w:val="18"/>
                    </w:rPr>
                    <w:t>Scope and success criteria</w:t>
                  </w:r>
                </w:p>
              </w:tc>
              <w:tc>
                <w:tcPr>
                  <w:tcW w:type="dxa" w:w="3168"/>
                </w:tcPr>
                <w:p>
                  <w:pPr>
                    <w:keepLines/>
                    <w:widowControl/>
                    <w:spacing w:after="0" w:before="0" w:line="240" w:lineRule="auto"/>
                  </w:pPr>
                  <w:r>
                    <w:rPr>
                      <w:rFonts w:ascii="Arial" w:hAnsi="Arial"/>
                      <w:b w:val="0"/>
                      <w:sz w:val="18"/>
                    </w:rPr>
                    <w:t>Week 5–6</w:t>
                  </w:r>
                </w:p>
              </w:tc>
              <w:tc>
                <w:tcPr>
                  <w:tcW w:type="dxa" w:w="3312"/>
                </w:tcPr>
                <w:p>
                  <w:pPr>
                    <w:keepLines/>
                    <w:widowControl/>
                    <w:spacing w:after="0" w:before="0" w:line="240" w:lineRule="auto"/>
                  </w:pPr>
                  <w:r>
                    <w:rPr>
                      <w:rFonts w:ascii="Arial" w:hAnsi="Arial"/>
                      <w:b w:val="0"/>
                      <w:sz w:val="18"/>
                    </w:rPr>
                    <w:t>—</w:t>
                  </w:r>
                </w:p>
              </w:tc>
              <w:tc>
                <w:tcPr>
                  <w:tcW w:type="dxa" w:w="864"/>
                </w:tcPr>
                <w:p>
                  <w:pPr>
                    <w:keepLines/>
                    <w:widowControl/>
                    <w:spacing w:after="0" w:before="0" w:line="240" w:lineRule="auto"/>
                  </w:pPr>
                  <w:r>
                    <w:rPr>
                      <w:rFonts w:ascii="Arial" w:hAnsi="Arial"/>
                      <w:b w:val="0"/>
                      <w:sz w:val="18"/>
                    </w:rPr>
                    <w:t>12</w:t>
                  </w:r>
                </w:p>
              </w:tc>
            </w:tr>
            <w:tr>
              <w:trPr>
                <w:cantSplit/>
              </w:trPr>
              <w:tc>
                <w:tcPr>
                  <w:tcW w:type="dxa" w:w="648"/>
                </w:tcPr>
                <w:p>
                  <w:pPr>
                    <w:keepLines/>
                    <w:widowControl/>
                    <w:spacing w:after="0" w:before="0" w:line="240" w:lineRule="auto"/>
                  </w:pPr>
                  <w:r>
                    <w:rPr>
                      <w:rFonts w:ascii="Arial" w:hAnsi="Arial"/>
                      <w:b w:val="0"/>
                      <w:sz w:val="18"/>
                    </w:rPr>
                    <w:t>T02</w:t>
                  </w:r>
                </w:p>
              </w:tc>
              <w:tc>
                <w:tcPr>
                  <w:tcW w:type="dxa" w:w="6480"/>
                </w:tcPr>
                <w:p>
                  <w:pPr>
                    <w:keepLines/>
                    <w:widowControl/>
                    <w:spacing w:after="0" w:before="0" w:line="240" w:lineRule="auto"/>
                  </w:pPr>
                  <w:r>
                    <w:rPr>
                      <w:rFonts w:ascii="Arial" w:hAnsi="Arial"/>
                      <w:b w:val="0"/>
                      <w:sz w:val="18"/>
                    </w:rPr>
                    <w:t>Literature review</w:t>
                  </w:r>
                </w:p>
              </w:tc>
              <w:tc>
                <w:tcPr>
                  <w:tcW w:type="dxa" w:w="3168"/>
                </w:tcPr>
                <w:p>
                  <w:pPr>
                    <w:keepLines/>
                    <w:widowControl/>
                    <w:spacing w:after="0" w:before="0" w:line="240" w:lineRule="auto"/>
                  </w:pPr>
                  <w:r>
                    <w:rPr>
                      <w:rFonts w:ascii="Arial" w:hAnsi="Arial"/>
                      <w:b w:val="0"/>
                      <w:sz w:val="18"/>
                    </w:rPr>
                    <w:t>Week 5–10</w:t>
                  </w:r>
                </w:p>
              </w:tc>
              <w:tc>
                <w:tcPr>
                  <w:tcW w:type="dxa" w:w="3312"/>
                </w:tcPr>
                <w:p>
                  <w:pPr>
                    <w:keepLines/>
                    <w:widowControl/>
                    <w:spacing w:after="0" w:before="0" w:line="240" w:lineRule="auto"/>
                  </w:pPr>
                  <w:r>
                    <w:rPr>
                      <w:rFonts w:ascii="Arial" w:hAnsi="Arial"/>
                      <w:b w:val="0"/>
                      <w:sz w:val="18"/>
                    </w:rPr>
                    <w:t>—</w:t>
                  </w:r>
                </w:p>
              </w:tc>
              <w:tc>
                <w:tcPr>
                  <w:tcW w:type="dxa" w:w="864"/>
                </w:tcPr>
                <w:p>
                  <w:pPr>
                    <w:keepLines/>
                    <w:widowControl/>
                    <w:spacing w:after="0" w:before="0" w:line="240" w:lineRule="auto"/>
                  </w:pPr>
                  <w:r>
                    <w:rPr>
                      <w:rFonts w:ascii="Arial" w:hAnsi="Arial"/>
                      <w:b w:val="0"/>
                      <w:sz w:val="18"/>
                    </w:rPr>
                    <w:t>20</w:t>
                  </w:r>
                </w:p>
              </w:tc>
            </w:tr>
            <w:tr>
              <w:trPr>
                <w:cantSplit/>
              </w:trPr>
              <w:tc>
                <w:tcPr>
                  <w:tcW w:type="dxa" w:w="648"/>
                </w:tcPr>
                <w:p>
                  <w:pPr>
                    <w:keepLines/>
                    <w:widowControl/>
                    <w:spacing w:after="0" w:before="0" w:line="240" w:lineRule="auto"/>
                  </w:pPr>
                  <w:r>
                    <w:rPr>
                      <w:rFonts w:ascii="Arial" w:hAnsi="Arial"/>
                      <w:b w:val="0"/>
                      <w:sz w:val="18"/>
                    </w:rPr>
                    <w:t>T03</w:t>
                  </w:r>
                </w:p>
              </w:tc>
              <w:tc>
                <w:tcPr>
                  <w:tcW w:type="dxa" w:w="6480"/>
                </w:tcPr>
                <w:p>
                  <w:pPr>
                    <w:keepLines/>
                    <w:widowControl/>
                    <w:spacing w:after="0" w:before="0" w:line="240" w:lineRule="auto"/>
                  </w:pPr>
                  <w:r>
                    <w:rPr>
                      <w:rFonts w:ascii="Arial" w:hAnsi="Arial"/>
                      <w:b w:val="0"/>
                      <w:sz w:val="18"/>
                    </w:rPr>
                    <w:t>Sample audit and permissions</w:t>
                  </w:r>
                </w:p>
              </w:tc>
              <w:tc>
                <w:tcPr>
                  <w:tcW w:type="dxa" w:w="3168"/>
                </w:tcPr>
                <w:p>
                  <w:pPr>
                    <w:keepLines/>
                    <w:widowControl/>
                    <w:spacing w:after="0" w:before="0" w:line="240" w:lineRule="auto"/>
                  </w:pPr>
                  <w:r>
                    <w:rPr>
                      <w:rFonts w:ascii="Arial" w:hAnsi="Arial"/>
                      <w:b w:val="0"/>
                      <w:sz w:val="18"/>
                    </w:rPr>
                    <w:t>Week 5–6</w:t>
                  </w:r>
                </w:p>
              </w:tc>
              <w:tc>
                <w:tcPr>
                  <w:tcW w:type="dxa" w:w="3312"/>
                </w:tcPr>
                <w:p>
                  <w:pPr>
                    <w:keepLines/>
                    <w:widowControl/>
                    <w:spacing w:after="0" w:before="0" w:line="240" w:lineRule="auto"/>
                  </w:pPr>
                  <w:r>
                    <w:rPr>
                      <w:rFonts w:ascii="Arial" w:hAnsi="Arial"/>
                      <w:b w:val="0"/>
                      <w:sz w:val="18"/>
                    </w:rPr>
                    <w:t>—</w:t>
                  </w:r>
                </w:p>
              </w:tc>
              <w:tc>
                <w:tcPr>
                  <w:tcW w:type="dxa" w:w="864"/>
                </w:tcPr>
                <w:p>
                  <w:pPr>
                    <w:keepLines/>
                    <w:widowControl/>
                    <w:spacing w:after="0" w:before="0" w:line="240" w:lineRule="auto"/>
                  </w:pPr>
                  <w:r>
                    <w:rPr>
                      <w:rFonts w:ascii="Arial" w:hAnsi="Arial"/>
                      <w:b w:val="0"/>
                      <w:sz w:val="18"/>
                    </w:rPr>
                    <w:t>18</w:t>
                  </w:r>
                </w:p>
              </w:tc>
            </w:tr>
            <w:tr>
              <w:trPr>
                <w:cantSplit/>
              </w:trPr>
              <w:tc>
                <w:tcPr>
                  <w:tcW w:type="dxa" w:w="648"/>
                </w:tcPr>
                <w:p>
                  <w:pPr>
                    <w:keepLines/>
                    <w:widowControl/>
                    <w:spacing w:after="0" w:before="0" w:line="240" w:lineRule="auto"/>
                  </w:pPr>
                  <w:r>
                    <w:rPr>
                      <w:rFonts w:ascii="Arial" w:hAnsi="Arial"/>
                      <w:b w:val="0"/>
                      <w:sz w:val="18"/>
                    </w:rPr>
                    <w:t>T04</w:t>
                  </w:r>
                </w:p>
              </w:tc>
              <w:tc>
                <w:tcPr>
                  <w:tcW w:type="dxa" w:w="6480"/>
                </w:tcPr>
                <w:p>
                  <w:pPr>
                    <w:keepLines/>
                    <w:widowControl/>
                    <w:spacing w:after="0" w:before="0" w:line="240" w:lineRule="auto"/>
                  </w:pPr>
                  <w:r>
                    <w:rPr>
                      <w:rFonts w:ascii="Arial" w:hAnsi="Arial"/>
                      <w:b w:val="0"/>
                      <w:sz w:val="18"/>
                    </w:rPr>
                    <w:t>Proposal drafting review and submission</w:t>
                  </w:r>
                </w:p>
              </w:tc>
              <w:tc>
                <w:tcPr>
                  <w:tcW w:type="dxa" w:w="3168"/>
                </w:tcPr>
                <w:p>
                  <w:pPr>
                    <w:keepLines/>
                    <w:widowControl/>
                    <w:spacing w:after="0" w:before="0" w:line="240" w:lineRule="auto"/>
                  </w:pPr>
                  <w:r>
                    <w:rPr>
                      <w:rFonts w:ascii="Arial" w:hAnsi="Arial"/>
                      <w:b w:val="0"/>
                      <w:sz w:val="18"/>
                    </w:rPr>
                    <w:t>Week 6–8</w:t>
                  </w:r>
                </w:p>
              </w:tc>
              <w:tc>
                <w:tcPr>
                  <w:tcW w:type="dxa" w:w="3312"/>
                </w:tcPr>
                <w:p>
                  <w:pPr>
                    <w:keepLines/>
                    <w:widowControl/>
                    <w:spacing w:after="0" w:before="0" w:line="240" w:lineRule="auto"/>
                  </w:pPr>
                  <w:r>
                    <w:rPr>
                      <w:rFonts w:ascii="Arial" w:hAnsi="Arial"/>
                      <w:b w:val="0"/>
                      <w:sz w:val="18"/>
                    </w:rPr>
                    <w:t>T01, T03</w:t>
                  </w:r>
                </w:p>
              </w:tc>
              <w:tc>
                <w:tcPr>
                  <w:tcW w:type="dxa" w:w="864"/>
                </w:tcPr>
                <w:p>
                  <w:pPr>
                    <w:keepLines/>
                    <w:widowControl/>
                    <w:spacing w:after="0" w:before="0" w:line="240" w:lineRule="auto"/>
                  </w:pPr>
                  <w:r>
                    <w:rPr>
                      <w:rFonts w:ascii="Arial" w:hAnsi="Arial"/>
                      <w:b w:val="0"/>
                      <w:sz w:val="18"/>
                    </w:rPr>
                    <w:t>12</w:t>
                  </w:r>
                </w:p>
              </w:tc>
            </w:tr>
            <w:tr>
              <w:trPr>
                <w:cantSplit/>
              </w:trPr>
              <w:tc>
                <w:tcPr>
                  <w:tcW w:type="dxa" w:w="648"/>
                </w:tcPr>
                <w:p>
                  <w:pPr>
                    <w:keepLines/>
                    <w:widowControl/>
                    <w:spacing w:after="0" w:before="0" w:line="240" w:lineRule="auto"/>
                  </w:pPr>
                  <w:r>
                    <w:rPr>
                      <w:rFonts w:ascii="Arial" w:hAnsi="Arial"/>
                      <w:b w:val="0"/>
                      <w:sz w:val="18"/>
                    </w:rPr>
                    <w:t>T05</w:t>
                  </w:r>
                </w:p>
              </w:tc>
              <w:tc>
                <w:tcPr>
                  <w:tcW w:type="dxa" w:w="6480"/>
                </w:tcPr>
                <w:p>
                  <w:pPr>
                    <w:keepLines/>
                    <w:widowControl/>
                    <w:spacing w:after="0" w:before="0" w:line="240" w:lineRule="auto"/>
                  </w:pPr>
                  <w:r>
                    <w:rPr>
                      <w:rFonts w:ascii="Arial" w:hAnsi="Arial"/>
                      <w:b w:val="0"/>
                      <w:sz w:val="18"/>
                    </w:rPr>
                    <w:t>Verify baseline and embedding access</w:t>
                  </w:r>
                </w:p>
              </w:tc>
              <w:tc>
                <w:tcPr>
                  <w:tcW w:type="dxa" w:w="3168"/>
                </w:tcPr>
                <w:p>
                  <w:pPr>
                    <w:keepLines/>
                    <w:widowControl/>
                    <w:spacing w:after="0" w:before="0" w:line="240" w:lineRule="auto"/>
                  </w:pPr>
                  <w:r>
                    <w:rPr>
                      <w:rFonts w:ascii="Arial" w:hAnsi="Arial"/>
                      <w:b w:val="0"/>
                      <w:sz w:val="18"/>
                    </w:rPr>
                    <w:t>Week 9–10</w:t>
                  </w:r>
                </w:p>
              </w:tc>
              <w:tc>
                <w:tcPr>
                  <w:tcW w:type="dxa" w:w="3312"/>
                </w:tcPr>
                <w:p>
                  <w:pPr>
                    <w:keepLines/>
                    <w:widowControl/>
                    <w:spacing w:after="0" w:before="0" w:line="240" w:lineRule="auto"/>
                  </w:pPr>
                  <w:r>
                    <w:rPr>
                      <w:rFonts w:ascii="Arial" w:hAnsi="Arial"/>
                      <w:b w:val="0"/>
                      <w:sz w:val="18"/>
                    </w:rPr>
                    <w:t>T04</w:t>
                  </w:r>
                </w:p>
              </w:tc>
              <w:tc>
                <w:tcPr>
                  <w:tcW w:type="dxa" w:w="864"/>
                </w:tcPr>
                <w:p>
                  <w:pPr>
                    <w:keepLines/>
                    <w:widowControl/>
                    <w:spacing w:after="0" w:before="0" w:line="240" w:lineRule="auto"/>
                  </w:pPr>
                  <w:r>
                    <w:rPr>
                      <w:rFonts w:ascii="Arial" w:hAnsi="Arial"/>
                      <w:b w:val="0"/>
                      <w:sz w:val="18"/>
                    </w:rPr>
                    <w:t>20</w:t>
                  </w:r>
                </w:p>
              </w:tc>
            </w:tr>
            <w:tr>
              <w:trPr>
                <w:cantSplit/>
              </w:trPr>
              <w:tc>
                <w:tcPr>
                  <w:tcW w:type="dxa" w:w="648"/>
                </w:tcPr>
                <w:p>
                  <w:pPr>
                    <w:keepLines/>
                    <w:widowControl/>
                    <w:spacing w:after="0" w:before="0" w:line="240" w:lineRule="auto"/>
                  </w:pPr>
                  <w:r>
                    <w:rPr>
                      <w:rFonts w:ascii="Arial" w:hAnsi="Arial"/>
                      <w:b w:val="0"/>
                      <w:sz w:val="18"/>
                    </w:rPr>
                    <w:t>T06</w:t>
                  </w:r>
                </w:p>
              </w:tc>
              <w:tc>
                <w:tcPr>
                  <w:tcW w:type="dxa" w:w="6480"/>
                </w:tcPr>
                <w:p>
                  <w:pPr>
                    <w:keepLines/>
                    <w:widowControl/>
                    <w:spacing w:after="0" w:before="0" w:line="240" w:lineRule="auto"/>
                  </w:pPr>
                  <w:r>
                    <w:rPr>
                      <w:rFonts w:ascii="Arial" w:hAnsi="Arial"/>
                      <w:b w:val="0"/>
                      <w:sz w:val="18"/>
                    </w:rPr>
                    <w:t>Curate corpus and build index</w:t>
                  </w:r>
                </w:p>
              </w:tc>
              <w:tc>
                <w:tcPr>
                  <w:tcW w:type="dxa" w:w="3168"/>
                </w:tcPr>
                <w:p>
                  <w:pPr>
                    <w:keepLines/>
                    <w:widowControl/>
                    <w:spacing w:after="0" w:before="0" w:line="240" w:lineRule="auto"/>
                  </w:pPr>
                  <w:r>
                    <w:rPr>
                      <w:rFonts w:ascii="Arial" w:hAnsi="Arial"/>
                      <w:b w:val="0"/>
                      <w:sz w:val="18"/>
                    </w:rPr>
                    <w:t>Week 9–11</w:t>
                  </w:r>
                </w:p>
              </w:tc>
              <w:tc>
                <w:tcPr>
                  <w:tcW w:type="dxa" w:w="3312"/>
                </w:tcPr>
                <w:p>
                  <w:pPr>
                    <w:keepLines/>
                    <w:widowControl/>
                    <w:spacing w:after="0" w:before="0" w:line="240" w:lineRule="auto"/>
                  </w:pPr>
                  <w:r>
                    <w:rPr>
                      <w:rFonts w:ascii="Arial" w:hAnsi="Arial"/>
                      <w:b w:val="0"/>
                      <w:sz w:val="18"/>
                    </w:rPr>
                    <w:t>T03, T04</w:t>
                  </w:r>
                </w:p>
              </w:tc>
              <w:tc>
                <w:tcPr>
                  <w:tcW w:type="dxa" w:w="864"/>
                </w:tcPr>
                <w:p>
                  <w:pPr>
                    <w:keepLines/>
                    <w:widowControl/>
                    <w:spacing w:after="0" w:before="0" w:line="240" w:lineRule="auto"/>
                  </w:pPr>
                  <w:r>
                    <w:rPr>
                      <w:rFonts w:ascii="Arial" w:hAnsi="Arial"/>
                      <w:b w:val="0"/>
                      <w:sz w:val="18"/>
                    </w:rPr>
                    <w:t>32</w:t>
                  </w:r>
                </w:p>
              </w:tc>
            </w:tr>
            <w:tr>
              <w:trPr>
                <w:cantSplit/>
              </w:trPr>
              <w:tc>
                <w:tcPr>
                  <w:tcW w:type="dxa" w:w="648"/>
                </w:tcPr>
                <w:p>
                  <w:pPr>
                    <w:keepLines/>
                    <w:widowControl/>
                    <w:spacing w:after="0" w:before="0" w:line="240" w:lineRule="auto"/>
                  </w:pPr>
                  <w:r>
                    <w:rPr>
                      <w:rFonts w:ascii="Arial" w:hAnsi="Arial"/>
                      <w:b w:val="0"/>
                      <w:sz w:val="18"/>
                    </w:rPr>
                    <w:t>T07</w:t>
                  </w:r>
                </w:p>
              </w:tc>
              <w:tc>
                <w:tcPr>
                  <w:tcW w:type="dxa" w:w="6480"/>
                </w:tcPr>
                <w:p>
                  <w:pPr>
                    <w:keepLines/>
                    <w:widowControl/>
                    <w:spacing w:after="0" w:before="0" w:line="240" w:lineRule="auto"/>
                  </w:pPr>
                  <w:r>
                    <w:rPr>
                      <w:rFonts w:ascii="Arial" w:hAnsi="Arial"/>
                      <w:b w:val="0"/>
                      <w:sz w:val="18"/>
                    </w:rPr>
                    <w:t>Author and check benchmark</w:t>
                  </w:r>
                </w:p>
              </w:tc>
              <w:tc>
                <w:tcPr>
                  <w:tcW w:type="dxa" w:w="3168"/>
                </w:tcPr>
                <w:p>
                  <w:pPr>
                    <w:keepLines/>
                    <w:widowControl/>
                    <w:spacing w:after="0" w:before="0" w:line="240" w:lineRule="auto"/>
                  </w:pPr>
                  <w:r>
                    <w:rPr>
                      <w:rFonts w:ascii="Arial" w:hAnsi="Arial"/>
                      <w:b w:val="0"/>
                      <w:sz w:val="18"/>
                    </w:rPr>
                    <w:t>Week 12–16</w:t>
                  </w:r>
                </w:p>
              </w:tc>
              <w:tc>
                <w:tcPr>
                  <w:tcW w:type="dxa" w:w="3312"/>
                </w:tcPr>
                <w:p>
                  <w:pPr>
                    <w:keepLines/>
                    <w:widowControl/>
                    <w:spacing w:after="0" w:before="0" w:line="240" w:lineRule="auto"/>
                  </w:pPr>
                  <w:r>
                    <w:rPr>
                      <w:rFonts w:ascii="Arial" w:hAnsi="Arial"/>
                      <w:b w:val="0"/>
                      <w:sz w:val="18"/>
                    </w:rPr>
                    <w:t>T06</w:t>
                  </w:r>
                </w:p>
              </w:tc>
              <w:tc>
                <w:tcPr>
                  <w:tcW w:type="dxa" w:w="864"/>
                </w:tcPr>
                <w:p>
                  <w:pPr>
                    <w:keepLines/>
                    <w:widowControl/>
                    <w:spacing w:after="0" w:before="0" w:line="240" w:lineRule="auto"/>
                  </w:pPr>
                  <w:r>
                    <w:rPr>
                      <w:rFonts w:ascii="Arial" w:hAnsi="Arial"/>
                      <w:b w:val="0"/>
                      <w:sz w:val="18"/>
                    </w:rPr>
                    <w:t>36</w:t>
                  </w:r>
                </w:p>
              </w:tc>
            </w:tr>
            <w:tr>
              <w:trPr>
                <w:cantSplit/>
              </w:trPr>
              <w:tc>
                <w:tcPr>
                  <w:tcW w:type="dxa" w:w="648"/>
                </w:tcPr>
                <w:p>
                  <w:pPr>
                    <w:keepLines/>
                    <w:widowControl/>
                    <w:spacing w:after="0" w:before="0" w:line="240" w:lineRule="auto"/>
                  </w:pPr>
                  <w:r>
                    <w:rPr>
                      <w:rFonts w:ascii="Arial" w:hAnsi="Arial"/>
                      <w:b w:val="0"/>
                      <w:sz w:val="18"/>
                    </w:rPr>
                    <w:t>T08</w:t>
                  </w:r>
                </w:p>
              </w:tc>
              <w:tc>
                <w:tcPr>
                  <w:tcW w:type="dxa" w:w="6480"/>
                </w:tcPr>
                <w:p>
                  <w:pPr>
                    <w:keepLines/>
                    <w:widowControl/>
                    <w:spacing w:after="0" w:before="0" w:line="240" w:lineRule="auto"/>
                  </w:pPr>
                  <w:r>
                    <w:rPr>
                      <w:rFonts w:ascii="Arial" w:hAnsi="Arial"/>
                      <w:b w:val="0"/>
                      <w:sz w:val="18"/>
                    </w:rPr>
                    <w:t>Refine and verify edition handling</w:t>
                  </w:r>
                </w:p>
              </w:tc>
              <w:tc>
                <w:tcPr>
                  <w:tcW w:type="dxa" w:w="3168"/>
                </w:tcPr>
                <w:p>
                  <w:pPr>
                    <w:keepLines/>
                    <w:widowControl/>
                    <w:spacing w:after="0" w:before="0" w:line="240" w:lineRule="auto"/>
                  </w:pPr>
                  <w:r>
                    <w:rPr>
                      <w:rFonts w:ascii="Arial" w:hAnsi="Arial"/>
                      <w:b w:val="0"/>
                      <w:sz w:val="18"/>
                    </w:rPr>
                    <w:t>Week 12–15</w:t>
                  </w:r>
                </w:p>
              </w:tc>
              <w:tc>
                <w:tcPr>
                  <w:tcW w:type="dxa" w:w="3312"/>
                </w:tcPr>
                <w:p>
                  <w:pPr>
                    <w:keepLines/>
                    <w:widowControl/>
                    <w:spacing w:after="0" w:before="0" w:line="240" w:lineRule="auto"/>
                  </w:pPr>
                  <w:r>
                    <w:rPr>
                      <w:rFonts w:ascii="Arial" w:hAnsi="Arial"/>
                      <w:b w:val="0"/>
                      <w:sz w:val="18"/>
                    </w:rPr>
                    <w:t>T05, T06</w:t>
                  </w:r>
                </w:p>
              </w:tc>
              <w:tc>
                <w:tcPr>
                  <w:tcW w:type="dxa" w:w="864"/>
                </w:tcPr>
                <w:p>
                  <w:pPr>
                    <w:keepLines/>
                    <w:widowControl/>
                    <w:spacing w:after="0" w:before="0" w:line="240" w:lineRule="auto"/>
                  </w:pPr>
                  <w:r>
                    <w:rPr>
                      <w:rFonts w:ascii="Arial" w:hAnsi="Arial"/>
                      <w:b w:val="0"/>
                      <w:sz w:val="18"/>
                    </w:rPr>
                    <w:t>20</w:t>
                  </w:r>
                </w:p>
              </w:tc>
            </w:tr>
            <w:tr>
              <w:trPr>
                <w:cantSplit/>
              </w:trPr>
              <w:tc>
                <w:tcPr>
                  <w:tcW w:type="dxa" w:w="648"/>
                </w:tcPr>
                <w:p>
                  <w:pPr>
                    <w:keepLines/>
                    <w:widowControl/>
                    <w:spacing w:after="0" w:before="0" w:line="240" w:lineRule="auto"/>
                  </w:pPr>
                  <w:r>
                    <w:rPr>
                      <w:rFonts w:ascii="Arial" w:hAnsi="Arial"/>
                      <w:b w:val="0"/>
                      <w:sz w:val="18"/>
                    </w:rPr>
                    <w:t>T09</w:t>
                  </w:r>
                </w:p>
              </w:tc>
              <w:tc>
                <w:tcPr>
                  <w:tcW w:type="dxa" w:w="6480"/>
                </w:tcPr>
                <w:p>
                  <w:pPr>
                    <w:keepLines/>
                    <w:widowControl/>
                    <w:spacing w:after="0" w:before="0" w:line="240" w:lineRule="auto"/>
                  </w:pPr>
                  <w:r>
                    <w:rPr>
                      <w:rFonts w:ascii="Arial" w:hAnsi="Arial"/>
                      <w:b w:val="0"/>
                      <w:sz w:val="18"/>
                    </w:rPr>
                    <w:t>Refine and verify evidence checks</w:t>
                  </w:r>
                </w:p>
              </w:tc>
              <w:tc>
                <w:tcPr>
                  <w:tcW w:type="dxa" w:w="3168"/>
                </w:tcPr>
                <w:p>
                  <w:pPr>
                    <w:keepLines/>
                    <w:widowControl/>
                    <w:spacing w:after="0" w:before="0" w:line="240" w:lineRule="auto"/>
                  </w:pPr>
                  <w:r>
                    <w:rPr>
                      <w:rFonts w:ascii="Arial" w:hAnsi="Arial"/>
                      <w:b w:val="0"/>
                      <w:sz w:val="18"/>
                    </w:rPr>
                    <w:t>Week 12–15</w:t>
                  </w:r>
                </w:p>
              </w:tc>
              <w:tc>
                <w:tcPr>
                  <w:tcW w:type="dxa" w:w="3312"/>
                </w:tcPr>
                <w:p>
                  <w:pPr>
                    <w:keepLines/>
                    <w:widowControl/>
                    <w:spacing w:after="0" w:before="0" w:line="240" w:lineRule="auto"/>
                  </w:pPr>
                  <w:r>
                    <w:rPr>
                      <w:rFonts w:ascii="Arial" w:hAnsi="Arial"/>
                      <w:b w:val="0"/>
                      <w:sz w:val="18"/>
                    </w:rPr>
                    <w:t>T05, T06</w:t>
                  </w:r>
                </w:p>
              </w:tc>
              <w:tc>
                <w:tcPr>
                  <w:tcW w:type="dxa" w:w="864"/>
                </w:tcPr>
                <w:p>
                  <w:pPr>
                    <w:keepLines/>
                    <w:widowControl/>
                    <w:spacing w:after="0" w:before="0" w:line="240" w:lineRule="auto"/>
                  </w:pPr>
                  <w:r>
                    <w:rPr>
                      <w:rFonts w:ascii="Arial" w:hAnsi="Arial"/>
                      <w:b w:val="0"/>
                      <w:sz w:val="18"/>
                    </w:rPr>
                    <w:t>20</w:t>
                  </w:r>
                </w:p>
              </w:tc>
            </w:tr>
            <w:tr>
              <w:trPr>
                <w:cantSplit/>
              </w:trPr>
              <w:tc>
                <w:tcPr>
                  <w:tcW w:type="dxa" w:w="648"/>
                </w:tcPr>
                <w:p>
                  <w:pPr>
                    <w:keepLines/>
                    <w:widowControl/>
                    <w:spacing w:after="0" w:before="0" w:line="240" w:lineRule="auto"/>
                  </w:pPr>
                  <w:r>
                    <w:rPr>
                      <w:rFonts w:ascii="Arial" w:hAnsi="Arial"/>
                      <w:b w:val="0"/>
                      <w:sz w:val="18"/>
                    </w:rPr>
                    <w:t>T10</w:t>
                  </w:r>
                </w:p>
              </w:tc>
              <w:tc>
                <w:tcPr>
                  <w:tcW w:type="dxa" w:w="6480"/>
                </w:tcPr>
                <w:p>
                  <w:pPr>
                    <w:keepLines/>
                    <w:widowControl/>
                    <w:spacing w:after="0" w:before="0" w:line="240" w:lineRule="auto"/>
                  </w:pPr>
                  <w:r>
                    <w:rPr>
                      <w:rFonts w:ascii="Arial" w:hAnsi="Arial"/>
                      <w:b w:val="0"/>
                      <w:sz w:val="18"/>
                    </w:rPr>
                    <w:t>Follow-ups and integration</w:t>
                  </w:r>
                </w:p>
              </w:tc>
              <w:tc>
                <w:tcPr>
                  <w:tcW w:type="dxa" w:w="3168"/>
                </w:tcPr>
                <w:p>
                  <w:pPr>
                    <w:keepLines/>
                    <w:widowControl/>
                    <w:spacing w:after="0" w:before="0" w:line="240" w:lineRule="auto"/>
                  </w:pPr>
                  <w:r>
                    <w:rPr>
                      <w:rFonts w:ascii="Arial" w:hAnsi="Arial"/>
                      <w:b w:val="0"/>
                      <w:sz w:val="18"/>
                    </w:rPr>
                    <w:t>Week 16</w:t>
                  </w:r>
                </w:p>
              </w:tc>
              <w:tc>
                <w:tcPr>
                  <w:tcW w:type="dxa" w:w="3312"/>
                </w:tcPr>
                <w:p>
                  <w:pPr>
                    <w:keepLines/>
                    <w:widowControl/>
                    <w:spacing w:after="0" w:before="0" w:line="240" w:lineRule="auto"/>
                  </w:pPr>
                  <w:r>
                    <w:rPr>
                      <w:rFonts w:ascii="Arial" w:hAnsi="Arial"/>
                      <w:b w:val="0"/>
                      <w:sz w:val="18"/>
                    </w:rPr>
                    <w:t>T08, T09</w:t>
                  </w:r>
                </w:p>
              </w:tc>
              <w:tc>
                <w:tcPr>
                  <w:tcW w:type="dxa" w:w="864"/>
                </w:tcPr>
                <w:p>
                  <w:pPr>
                    <w:keepLines/>
                    <w:widowControl/>
                    <w:spacing w:after="0" w:before="0" w:line="240" w:lineRule="auto"/>
                  </w:pPr>
                  <w:r>
                    <w:rPr>
                      <w:rFonts w:ascii="Arial" w:hAnsi="Arial"/>
                      <w:b w:val="0"/>
                      <w:sz w:val="18"/>
                    </w:rPr>
                    <w:t>12</w:t>
                  </w:r>
                </w:p>
              </w:tc>
            </w:tr>
            <w:tr>
              <w:trPr>
                <w:cantSplit/>
              </w:trPr>
              <w:tc>
                <w:tcPr>
                  <w:tcW w:type="dxa" w:w="648"/>
                </w:tcPr>
                <w:p>
                  <w:pPr>
                    <w:keepLines/>
                    <w:widowControl/>
                    <w:spacing w:after="0" w:before="0" w:line="240" w:lineRule="auto"/>
                  </w:pPr>
                  <w:r>
                    <w:rPr>
                      <w:rFonts w:ascii="Arial" w:hAnsi="Arial"/>
                      <w:b w:val="0"/>
                      <w:sz w:val="18"/>
                    </w:rPr>
                    <w:t>T11</w:t>
                  </w:r>
                </w:p>
              </w:tc>
              <w:tc>
                <w:tcPr>
                  <w:tcW w:type="dxa" w:w="6480"/>
                </w:tcPr>
                <w:p>
                  <w:pPr>
                    <w:keepLines/>
                    <w:widowControl/>
                    <w:spacing w:after="0" w:before="0" w:line="240" w:lineRule="auto"/>
                  </w:pPr>
                  <w:r>
                    <w:rPr>
                      <w:rFonts w:ascii="Arial" w:hAnsi="Arial"/>
                      <w:b w:val="0"/>
                      <w:sz w:val="18"/>
                    </w:rPr>
                    <w:t>Development-only tuning and freeze</w:t>
                  </w:r>
                </w:p>
              </w:tc>
              <w:tc>
                <w:tcPr>
                  <w:tcW w:type="dxa" w:w="3168"/>
                </w:tcPr>
                <w:p>
                  <w:pPr>
                    <w:keepLines/>
                    <w:widowControl/>
                    <w:spacing w:after="0" w:before="0" w:line="240" w:lineRule="auto"/>
                  </w:pPr>
                  <w:r>
                    <w:rPr>
                      <w:rFonts w:ascii="Arial" w:hAnsi="Arial"/>
                      <w:b w:val="0"/>
                      <w:sz w:val="18"/>
                    </w:rPr>
                    <w:t>Week 17</w:t>
                  </w:r>
                </w:p>
              </w:tc>
              <w:tc>
                <w:tcPr>
                  <w:tcW w:type="dxa" w:w="3312"/>
                </w:tcPr>
                <w:p>
                  <w:pPr>
                    <w:keepLines/>
                    <w:widowControl/>
                    <w:spacing w:after="0" w:before="0" w:line="240" w:lineRule="auto"/>
                  </w:pPr>
                  <w:r>
                    <w:rPr>
                      <w:rFonts w:ascii="Arial" w:hAnsi="Arial"/>
                      <w:b w:val="0"/>
                      <w:sz w:val="18"/>
                    </w:rPr>
                    <w:t>T07, T10</w:t>
                  </w:r>
                </w:p>
              </w:tc>
              <w:tc>
                <w:tcPr>
                  <w:tcW w:type="dxa" w:w="864"/>
                </w:tcPr>
                <w:p>
                  <w:pPr>
                    <w:keepLines/>
                    <w:widowControl/>
                    <w:spacing w:after="0" w:before="0" w:line="240" w:lineRule="auto"/>
                  </w:pPr>
                  <w:r>
                    <w:rPr>
                      <w:rFonts w:ascii="Arial" w:hAnsi="Arial"/>
                      <w:b w:val="0"/>
                      <w:sz w:val="18"/>
                    </w:rPr>
                    <w:t>16</w:t>
                  </w:r>
                </w:p>
              </w:tc>
            </w:tr>
            <w:tr>
              <w:trPr>
                <w:cantSplit/>
              </w:trPr>
              <w:tc>
                <w:tcPr>
                  <w:tcW w:type="dxa" w:w="648"/>
                </w:tcPr>
                <w:p>
                  <w:pPr>
                    <w:keepLines/>
                    <w:widowControl/>
                    <w:spacing w:after="0" w:before="0" w:line="240" w:lineRule="auto"/>
                  </w:pPr>
                  <w:r>
                    <w:rPr>
                      <w:rFonts w:ascii="Arial" w:hAnsi="Arial"/>
                      <w:b w:val="0"/>
                      <w:sz w:val="18"/>
                    </w:rPr>
                    <w:t>T12</w:t>
                  </w:r>
                </w:p>
              </w:tc>
              <w:tc>
                <w:tcPr>
                  <w:tcW w:type="dxa" w:w="6480"/>
                </w:tcPr>
                <w:p>
                  <w:pPr>
                    <w:keepLines/>
                    <w:widowControl/>
                    <w:spacing w:after="0" w:before="0" w:line="240" w:lineRule="auto"/>
                  </w:pPr>
                  <w:r>
                    <w:rPr>
                      <w:rFonts w:ascii="Arial" w:hAnsi="Arial"/>
                      <w:b w:val="0"/>
                      <w:sz w:val="18"/>
                    </w:rPr>
                    <w:t>Controlled evaluation and analysis</w:t>
                  </w:r>
                </w:p>
              </w:tc>
              <w:tc>
                <w:tcPr>
                  <w:tcW w:type="dxa" w:w="3168"/>
                </w:tcPr>
                <w:p>
                  <w:pPr>
                    <w:keepLines/>
                    <w:widowControl/>
                    <w:spacing w:after="0" w:before="0" w:line="240" w:lineRule="auto"/>
                  </w:pPr>
                  <w:r>
                    <w:rPr>
                      <w:rFonts w:ascii="Arial" w:hAnsi="Arial"/>
                      <w:b w:val="0"/>
                      <w:sz w:val="18"/>
                    </w:rPr>
                    <w:t>Week 18–20</w:t>
                  </w:r>
                </w:p>
              </w:tc>
              <w:tc>
                <w:tcPr>
                  <w:tcW w:type="dxa" w:w="3312"/>
                </w:tcPr>
                <w:p>
                  <w:pPr>
                    <w:keepLines/>
                    <w:widowControl/>
                    <w:spacing w:after="0" w:before="0" w:line="240" w:lineRule="auto"/>
                  </w:pPr>
                  <w:r>
                    <w:rPr>
                      <w:rFonts w:ascii="Arial" w:hAnsi="Arial"/>
                      <w:b w:val="0"/>
                      <w:sz w:val="18"/>
                    </w:rPr>
                    <w:t>T11</w:t>
                  </w:r>
                </w:p>
              </w:tc>
              <w:tc>
                <w:tcPr>
                  <w:tcW w:type="dxa" w:w="864"/>
                </w:tcPr>
                <w:p>
                  <w:pPr>
                    <w:keepLines/>
                    <w:widowControl/>
                    <w:spacing w:after="0" w:before="0" w:line="240" w:lineRule="auto"/>
                  </w:pPr>
                  <w:r>
                    <w:rPr>
                      <w:rFonts w:ascii="Arial" w:hAnsi="Arial"/>
                      <w:b w:val="0"/>
                      <w:sz w:val="18"/>
                    </w:rPr>
                    <w:t>40</w:t>
                  </w:r>
                </w:p>
              </w:tc>
            </w:tr>
            <w:tr>
              <w:trPr>
                <w:cantSplit/>
              </w:trPr>
              <w:tc>
                <w:tcPr>
                  <w:tcW w:type="dxa" w:w="648"/>
                </w:tcPr>
                <w:p>
                  <w:pPr>
                    <w:keepLines/>
                    <w:widowControl/>
                    <w:spacing w:after="0" w:before="0" w:line="240" w:lineRule="auto"/>
                  </w:pPr>
                  <w:r>
                    <w:rPr>
                      <w:rFonts w:ascii="Arial" w:hAnsi="Arial"/>
                      <w:b w:val="0"/>
                      <w:sz w:val="18"/>
                    </w:rPr>
                    <w:t>T18</w:t>
                  </w:r>
                </w:p>
              </w:tc>
              <w:tc>
                <w:tcPr>
                  <w:tcW w:type="dxa" w:w="6480"/>
                </w:tcPr>
                <w:p>
                  <w:pPr>
                    <w:keepLines/>
                    <w:widowControl/>
                    <w:spacing w:after="0" w:before="0" w:line="240" w:lineRule="auto"/>
                  </w:pPr>
                  <w:r>
                    <w:rPr>
                      <w:rFonts w:ascii="Arial" w:hAnsi="Arial"/>
                      <w:b w:val="0"/>
                      <w:sz w:val="18"/>
                    </w:rPr>
                    <w:t>Symposium preparation and attendance</w:t>
                  </w:r>
                </w:p>
              </w:tc>
              <w:tc>
                <w:tcPr>
                  <w:tcW w:type="dxa" w:w="3168"/>
                </w:tcPr>
                <w:p>
                  <w:pPr>
                    <w:keepLines/>
                    <w:widowControl/>
                    <w:spacing w:after="0" w:before="0" w:line="240" w:lineRule="auto"/>
                  </w:pPr>
                  <w:r>
                    <w:rPr>
                      <w:rFonts w:ascii="Arial" w:hAnsi="Arial"/>
                      <w:b w:val="0"/>
                      <w:sz w:val="18"/>
                    </w:rPr>
                    <w:t>Week 17–18</w:t>
                  </w:r>
                </w:p>
              </w:tc>
              <w:tc>
                <w:tcPr>
                  <w:tcW w:type="dxa" w:w="3312"/>
                </w:tcPr>
                <w:p>
                  <w:pPr>
                    <w:keepLines/>
                    <w:widowControl/>
                    <w:spacing w:after="0" w:before="0" w:line="240" w:lineRule="auto"/>
                  </w:pPr>
                  <w:r>
                    <w:rPr>
                      <w:rFonts w:ascii="Arial" w:hAnsi="Arial"/>
                      <w:b w:val="0"/>
                      <w:sz w:val="18"/>
                    </w:rPr>
                    <w:t>T10</w:t>
                  </w:r>
                </w:p>
              </w:tc>
              <w:tc>
                <w:tcPr>
                  <w:tcW w:type="dxa" w:w="864"/>
                </w:tcPr>
                <w:p>
                  <w:pPr>
                    <w:keepLines/>
                    <w:widowControl/>
                    <w:spacing w:after="0" w:before="0" w:line="240" w:lineRule="auto"/>
                  </w:pPr>
                  <w:r>
                    <w:rPr>
                      <w:rFonts w:ascii="Arial" w:hAnsi="Arial"/>
                      <w:b w:val="0"/>
                      <w:sz w:val="18"/>
                    </w:rPr>
                    <w:t>12</w:t>
                  </w:r>
                </w:p>
              </w:tc>
            </w:tr>
            <w:tr>
              <w:trPr>
                <w:cantSplit/>
              </w:trPr>
              <w:tc>
                <w:tcPr>
                  <w:tcW w:type="dxa" w:w="648"/>
                </w:tcPr>
                <w:p>
                  <w:pPr>
                    <w:keepLines/>
                    <w:widowControl/>
                    <w:spacing w:after="0" w:before="0" w:line="240" w:lineRule="auto"/>
                  </w:pPr>
                  <w:r>
                    <w:rPr>
                      <w:rFonts w:ascii="Arial" w:hAnsi="Arial"/>
                      <w:b w:val="0"/>
                      <w:sz w:val="18"/>
                    </w:rPr>
                    <w:t>T13</w:t>
                  </w:r>
                </w:p>
              </w:tc>
              <w:tc>
                <w:tcPr>
                  <w:tcW w:type="dxa" w:w="6480"/>
                </w:tcPr>
                <w:p>
                  <w:pPr>
                    <w:keepLines/>
                    <w:widowControl/>
                    <w:spacing w:after="0" w:before="0" w:line="240" w:lineRule="auto"/>
                  </w:pPr>
                  <w:r>
                    <w:rPr>
                      <w:rFonts w:ascii="Arial" w:hAnsi="Arial"/>
                      <w:b w:val="0"/>
                      <w:sz w:val="18"/>
                    </w:rPr>
                    <w:t>Report and outcome evidence</w:t>
                  </w:r>
                </w:p>
              </w:tc>
              <w:tc>
                <w:tcPr>
                  <w:tcW w:type="dxa" w:w="3168"/>
                </w:tcPr>
                <w:p>
                  <w:pPr>
                    <w:keepLines/>
                    <w:widowControl/>
                    <w:spacing w:after="0" w:before="0" w:line="240" w:lineRule="auto"/>
                  </w:pPr>
                  <w:r>
                    <w:rPr>
                      <w:rFonts w:ascii="Arial" w:hAnsi="Arial"/>
                      <w:b w:val="0"/>
                      <w:sz w:val="18"/>
                    </w:rPr>
                    <w:t>Week 20–21</w:t>
                  </w:r>
                </w:p>
              </w:tc>
              <w:tc>
                <w:tcPr>
                  <w:tcW w:type="dxa" w:w="3312"/>
                </w:tcPr>
                <w:p>
                  <w:pPr>
                    <w:keepLines/>
                    <w:widowControl/>
                    <w:spacing w:after="0" w:before="0" w:line="240" w:lineRule="auto"/>
                  </w:pPr>
                  <w:r>
                    <w:rPr>
                      <w:rFonts w:ascii="Arial" w:hAnsi="Arial"/>
                      <w:b w:val="0"/>
                      <w:sz w:val="18"/>
                    </w:rPr>
                    <w:t>T12, T18</w:t>
                  </w:r>
                </w:p>
              </w:tc>
              <w:tc>
                <w:tcPr>
                  <w:tcW w:type="dxa" w:w="864"/>
                </w:tcPr>
                <w:p>
                  <w:pPr>
                    <w:keepLines/>
                    <w:widowControl/>
                    <w:spacing w:after="0" w:before="0" w:line="240" w:lineRule="auto"/>
                  </w:pPr>
                  <w:r>
                    <w:rPr>
                      <w:rFonts w:ascii="Arial" w:hAnsi="Arial"/>
                      <w:b w:val="0"/>
                      <w:sz w:val="18"/>
                    </w:rPr>
                    <w:t>32</w:t>
                  </w:r>
                </w:p>
              </w:tc>
            </w:tr>
            <w:tr>
              <w:trPr>
                <w:cantSplit/>
              </w:trPr>
              <w:tc>
                <w:tcPr>
                  <w:tcW w:type="dxa" w:w="648"/>
                </w:tcPr>
                <w:p>
                  <w:pPr>
                    <w:keepLines/>
                    <w:widowControl/>
                    <w:spacing w:after="0" w:before="0" w:line="240" w:lineRule="auto"/>
                  </w:pPr>
                  <w:r>
                    <w:rPr>
                      <w:rFonts w:ascii="Arial" w:hAnsi="Arial"/>
                      <w:b w:val="0"/>
                      <w:sz w:val="18"/>
                    </w:rPr>
                    <w:t>T14</w:t>
                  </w:r>
                </w:p>
              </w:tc>
              <w:tc>
                <w:tcPr>
                  <w:tcW w:type="dxa" w:w="6480"/>
                </w:tcPr>
                <w:p>
                  <w:pPr>
                    <w:keepLines/>
                    <w:widowControl/>
                    <w:spacing w:after="0" w:before="0" w:line="240" w:lineRule="auto"/>
                  </w:pPr>
                  <w:r>
                    <w:rPr>
                      <w:rFonts w:ascii="Arial" w:hAnsi="Arial"/>
                      <w:b w:val="0"/>
                      <w:sz w:val="18"/>
                    </w:rPr>
                    <w:t>Video and submission preparation</w:t>
                  </w:r>
                </w:p>
              </w:tc>
              <w:tc>
                <w:tcPr>
                  <w:tcW w:type="dxa" w:w="3168"/>
                </w:tcPr>
                <w:p>
                  <w:pPr>
                    <w:keepLines/>
                    <w:widowControl/>
                    <w:spacing w:after="0" w:before="0" w:line="240" w:lineRule="auto"/>
                  </w:pPr>
                  <w:r>
                    <w:rPr>
                      <w:rFonts w:ascii="Arial" w:hAnsi="Arial"/>
                      <w:b w:val="0"/>
                      <w:sz w:val="18"/>
                    </w:rPr>
                    <w:t>Week 21</w:t>
                  </w:r>
                </w:p>
              </w:tc>
              <w:tc>
                <w:tcPr>
                  <w:tcW w:type="dxa" w:w="3312"/>
                </w:tcPr>
                <w:p>
                  <w:pPr>
                    <w:keepLines/>
                    <w:widowControl/>
                    <w:spacing w:after="0" w:before="0" w:line="240" w:lineRule="auto"/>
                  </w:pPr>
                  <w:r>
                    <w:rPr>
                      <w:rFonts w:ascii="Arial" w:hAnsi="Arial"/>
                      <w:b w:val="0"/>
                      <w:sz w:val="18"/>
                    </w:rPr>
                    <w:t>T12</w:t>
                  </w:r>
                </w:p>
              </w:tc>
              <w:tc>
                <w:tcPr>
                  <w:tcW w:type="dxa" w:w="864"/>
                </w:tcPr>
                <w:p>
                  <w:pPr>
                    <w:keepLines/>
                    <w:widowControl/>
                    <w:spacing w:after="0" w:before="0" w:line="240" w:lineRule="auto"/>
                  </w:pPr>
                  <w:r>
                    <w:rPr>
                      <w:rFonts w:ascii="Arial" w:hAnsi="Arial"/>
                      <w:b w:val="0"/>
                      <w:sz w:val="18"/>
                    </w:rPr>
                    <w:t>10</w:t>
                  </w:r>
                </w:p>
              </w:tc>
            </w:tr>
            <w:tr>
              <w:trPr>
                <w:cantSplit/>
              </w:trPr>
              <w:tc>
                <w:tcPr>
                  <w:tcW w:type="dxa" w:w="648"/>
                </w:tcPr>
                <w:p>
                  <w:pPr>
                    <w:keepLines/>
                    <w:widowControl/>
                    <w:spacing w:after="0" w:before="0" w:line="240" w:lineRule="auto"/>
                  </w:pPr>
                  <w:r>
                    <w:rPr>
                      <w:rFonts w:ascii="Arial" w:hAnsi="Arial"/>
                      <w:b w:val="0"/>
                      <w:sz w:val="18"/>
                    </w:rPr>
                    <w:t>T15</w:t>
                  </w:r>
                </w:p>
              </w:tc>
              <w:tc>
                <w:tcPr>
                  <w:tcW w:type="dxa" w:w="6480"/>
                </w:tcPr>
                <w:p>
                  <w:pPr>
                    <w:keepLines/>
                    <w:widowControl/>
                    <w:spacing w:after="0" w:before="0" w:line="240" w:lineRule="auto"/>
                  </w:pPr>
                  <w:r>
                    <w:rPr>
                      <w:rFonts w:ascii="Arial" w:hAnsi="Arial"/>
                      <w:b w:val="0"/>
                      <w:sz w:val="18"/>
                    </w:rPr>
                    <w:t>Final review and submission</w:t>
                  </w:r>
                </w:p>
              </w:tc>
              <w:tc>
                <w:tcPr>
                  <w:tcW w:type="dxa" w:w="3168"/>
                </w:tcPr>
                <w:p>
                  <w:pPr>
                    <w:keepLines/>
                    <w:widowControl/>
                    <w:spacing w:after="0" w:before="0" w:line="240" w:lineRule="auto"/>
                  </w:pPr>
                  <w:r>
                    <w:rPr>
                      <w:rFonts w:ascii="Arial" w:hAnsi="Arial"/>
                      <w:b w:val="0"/>
                      <w:sz w:val="18"/>
                    </w:rPr>
                    <w:t>Week 24</w:t>
                  </w:r>
                </w:p>
              </w:tc>
              <w:tc>
                <w:tcPr>
                  <w:tcW w:type="dxa" w:w="3312"/>
                </w:tcPr>
                <w:p>
                  <w:pPr>
                    <w:keepLines/>
                    <w:widowControl/>
                    <w:spacing w:after="0" w:before="0" w:line="240" w:lineRule="auto"/>
                  </w:pPr>
                  <w:r>
                    <w:rPr>
                      <w:rFonts w:ascii="Arial" w:hAnsi="Arial"/>
                      <w:b w:val="0"/>
                      <w:sz w:val="18"/>
                    </w:rPr>
                    <w:t>T13, T14</w:t>
                  </w:r>
                </w:p>
              </w:tc>
              <w:tc>
                <w:tcPr>
                  <w:tcW w:type="dxa" w:w="864"/>
                </w:tcPr>
                <w:p>
                  <w:pPr>
                    <w:keepLines/>
                    <w:widowControl/>
                    <w:spacing w:after="0" w:before="0" w:line="240" w:lineRule="auto"/>
                  </w:pPr>
                  <w:r>
                    <w:rPr>
                      <w:rFonts w:ascii="Arial" w:hAnsi="Arial"/>
                      <w:b w:val="0"/>
                      <w:sz w:val="18"/>
                    </w:rPr>
                    <w:t>12</w:t>
                  </w:r>
                </w:p>
              </w:tc>
            </w:tr>
            <w:tr>
              <w:trPr>
                <w:cantSplit/>
              </w:trPr>
              <w:tc>
                <w:tcPr>
                  <w:tcW w:type="dxa" w:w="648"/>
                </w:tcPr>
                <w:p>
                  <w:pPr>
                    <w:keepLines/>
                    <w:widowControl/>
                    <w:spacing w:after="0" w:before="0" w:line="240" w:lineRule="auto"/>
                  </w:pPr>
                  <w:r>
                    <w:rPr>
                      <w:rFonts w:ascii="Arial" w:hAnsi="Arial"/>
                      <w:b w:val="0"/>
                      <w:sz w:val="18"/>
                    </w:rPr>
                    <w:t>T16</w:t>
                  </w:r>
                </w:p>
              </w:tc>
              <w:tc>
                <w:tcPr>
                  <w:tcW w:type="dxa" w:w="6480"/>
                </w:tcPr>
                <w:p>
                  <w:pPr>
                    <w:keepLines/>
                    <w:widowControl/>
                    <w:spacing w:after="0" w:before="0" w:line="240" w:lineRule="auto"/>
                  </w:pPr>
                  <w:r>
                    <w:rPr>
                      <w:rFonts w:ascii="Arial" w:hAnsi="Arial"/>
                      <w:b w:val="0"/>
                      <w:sz w:val="18"/>
                    </w:rPr>
                    <w:t>Journals reviews and supervision</w:t>
                  </w:r>
                </w:p>
              </w:tc>
              <w:tc>
                <w:tcPr>
                  <w:tcW w:type="dxa" w:w="3168"/>
                </w:tcPr>
                <w:p>
                  <w:pPr>
                    <w:keepLines/>
                    <w:widowControl/>
                    <w:spacing w:after="0" w:before="0" w:line="240" w:lineRule="auto"/>
                  </w:pPr>
                  <w:r>
                    <w:rPr>
                      <w:rFonts w:ascii="Arial" w:hAnsi="Arial"/>
                      <w:b w:val="0"/>
                      <w:sz w:val="18"/>
                    </w:rPr>
                    <w:t>Week 5–21; Week 24</w:t>
                  </w:r>
                </w:p>
              </w:tc>
              <w:tc>
                <w:tcPr>
                  <w:tcW w:type="dxa" w:w="3312"/>
                </w:tcPr>
                <w:p>
                  <w:pPr>
                    <w:keepLines/>
                    <w:widowControl/>
                    <w:spacing w:after="0" w:before="0" w:line="240" w:lineRule="auto"/>
                  </w:pPr>
                  <w:r>
                    <w:rPr>
                      <w:rFonts w:ascii="Arial" w:hAnsi="Arial"/>
                      <w:b w:val="0"/>
                      <w:sz w:val="18"/>
                    </w:rPr>
                    <w:t>—</w:t>
                  </w:r>
                </w:p>
              </w:tc>
              <w:tc>
                <w:tcPr>
                  <w:tcW w:type="dxa" w:w="864"/>
                </w:tcPr>
                <w:p>
                  <w:pPr>
                    <w:keepLines/>
                    <w:widowControl/>
                    <w:spacing w:after="0" w:before="0" w:line="240" w:lineRule="auto"/>
                  </w:pPr>
                  <w:r>
                    <w:rPr>
                      <w:rFonts w:ascii="Arial" w:hAnsi="Arial"/>
                      <w:b w:val="0"/>
                      <w:sz w:val="18"/>
                    </w:rPr>
                    <w:t>48</w:t>
                  </w:r>
                </w:p>
              </w:tc>
            </w:tr>
            <w:tr>
              <w:trPr>
                <w:cantSplit/>
              </w:trPr>
              <w:tc>
                <w:tcPr>
                  <w:tcW w:type="dxa" w:w="648"/>
                </w:tcPr>
                <w:p>
                  <w:pPr>
                    <w:keepLines/>
                    <w:widowControl/>
                    <w:spacing w:after="0" w:before="0" w:line="240" w:lineRule="auto"/>
                  </w:pPr>
                  <w:r>
                    <w:rPr>
                      <w:rFonts w:ascii="Arial" w:hAnsi="Arial"/>
                      <w:b w:val="0"/>
                      <w:sz w:val="18"/>
                    </w:rPr>
                    <w:t>T17</w:t>
                  </w:r>
                </w:p>
              </w:tc>
              <w:tc>
                <w:tcPr>
                  <w:tcW w:type="dxa" w:w="6480"/>
                </w:tcPr>
                <w:p>
                  <w:pPr>
                    <w:keepLines/>
                    <w:widowControl/>
                    <w:spacing w:after="0" w:before="0" w:line="240" w:lineRule="auto"/>
                  </w:pPr>
                  <w:r>
                    <w:rPr>
                      <w:rFonts w:ascii="Arial" w:hAnsi="Arial"/>
                      <w:b w:val="0"/>
                      <w:sz w:val="18"/>
                    </w:rPr>
                    <w:t>Viva preparation and defence</w:t>
                  </w:r>
                </w:p>
              </w:tc>
              <w:tc>
                <w:tcPr>
                  <w:tcW w:type="dxa" w:w="3168"/>
                </w:tcPr>
                <w:p>
                  <w:pPr>
                    <w:keepLines/>
                    <w:widowControl/>
                    <w:spacing w:after="0" w:before="0" w:line="240" w:lineRule="auto"/>
                  </w:pPr>
                  <w:r>
                    <w:rPr>
                      <w:rFonts w:ascii="Arial" w:hAnsi="Arial"/>
                      <w:b w:val="0"/>
                      <w:sz w:val="18"/>
                    </w:rPr>
                    <w:t>Week 25–27</w:t>
                  </w:r>
                </w:p>
              </w:tc>
              <w:tc>
                <w:tcPr>
                  <w:tcW w:type="dxa" w:w="3312"/>
                </w:tcPr>
                <w:p>
                  <w:pPr>
                    <w:keepLines/>
                    <w:widowControl/>
                    <w:spacing w:after="0" w:before="0" w:line="240" w:lineRule="auto"/>
                  </w:pPr>
                  <w:r>
                    <w:rPr>
                      <w:rFonts w:ascii="Arial" w:hAnsi="Arial"/>
                      <w:b w:val="0"/>
                      <w:sz w:val="18"/>
                    </w:rPr>
                    <w:t>T15</w:t>
                  </w:r>
                </w:p>
              </w:tc>
              <w:tc>
                <w:tcPr>
                  <w:tcW w:type="dxa" w:w="864"/>
                </w:tcPr>
                <w:p>
                  <w:pPr>
                    <w:keepLines/>
                    <w:widowControl/>
                    <w:spacing w:after="0" w:before="0" w:line="240" w:lineRule="auto"/>
                  </w:pPr>
                  <w:r>
                    <w:rPr>
                      <w:rFonts w:ascii="Arial" w:hAnsi="Arial"/>
                      <w:b w:val="0"/>
                      <w:sz w:val="18"/>
                    </w:rPr>
                    <w:t>28</w:t>
                  </w:r>
                </w:p>
              </w:tc>
            </w:tr>
          </w:tbl>
          <w:p/>
          <w:p>
            <w:pPr>
              <w:keepLines/>
              <w:widowControl/>
              <w:spacing w:after="60" w:before="0" w:line="240" w:lineRule="auto"/>
            </w:pPr>
            <w:r>
              <w:rPr>
                <w:rFonts w:ascii="Arial" w:hAnsi="Arial"/>
                <w:b w:val="0"/>
                <w:sz w:val="18"/>
              </w:rPr>
              <w:t>Planned effort: 372 h through Week 24 + 28 h viva = 400 h total.</w:t>
            </w:r>
          </w:p>
        </w:tc>
      </w:tr>
    </w:tbl>
    <w:p w14:paraId="6E6F5582" w14:textId="77777777" w:rsidR="003D43FD" w:rsidRDefault="003D43FD">
      <w:pPr>
        <w:rPr>
          <w:rFonts w:ascii="Arial" w:eastAsia="Arial" w:hAnsi="Arial" w:cs="Arial"/>
          <w:b/>
          <w:bCs/>
          <w:sz w:val="22"/>
          <w:szCs w:val="22"/>
        </w:rPr>
        <w:sectPr w:rsidR="003D43FD">
          <w:pgSz w:w="16840" w:h="11907" w:orient="landscape"/>
          <w:pgMar w:top="1260" w:right="720" w:bottom="720" w:left="720" w:header="709" w:footer="709" w:gutter="0"/>
          <w:cols w:space="720"/>
        </w:sectPr>
      </w:pPr>
    </w:p>
    <w:p w14:paraId="40305E87" w14:textId="77777777" w:rsidR="003D43FD" w:rsidRDefault="00000000">
      <w:pPr>
        <w:rPr>
          <w:rFonts w:ascii="Arial" w:eastAsia="Arial" w:hAnsi="Arial" w:cs="Arial"/>
          <w:b/>
          <w:bCs/>
          <w:sz w:val="22"/>
          <w:szCs w:val="22"/>
        </w:rPr>
      </w:pPr>
      <w:r>
        <w:rPr>
          <w:rFonts w:ascii="Arial" w:eastAsia="Arial" w:hAnsi="Arial" w:cs="Arial"/>
          <w:b/>
          <w:bCs/>
          <w:sz w:val="22"/>
          <w:szCs w:val="22"/>
        </w:rPr>
        <w:t>Section 3: Preliminary Resources Estimate</w:t>
      </w:r>
    </w:p>
    <w:p w14:paraId="1AA73617" w14:textId="77777777" w:rsidR="003D43FD" w:rsidRDefault="003D43FD">
      <w:pPr>
        <w:spacing w:after="0" w:before="0"/>
        <w:rPr>
          <w:rFonts w:ascii="Arial" w:eastAsia="Arial" w:hAnsi="Arial" w:cs="Arial"/>
          <w:sz w:val="8"/>
          <w:szCs w:val="8"/>
        </w:rPr>
      </w:pPr>
    </w:p>
    <w:p w14:paraId="1BD2CA0E" w14:textId="77777777" w:rsidR="003D43FD" w:rsidRDefault="00000000">
      <w:pPr>
        <w:rPr>
          <w:rFonts w:ascii="Arial" w:eastAsia="Arial" w:hAnsi="Arial" w:cs="Arial"/>
          <w:i/>
          <w:iCs/>
          <w:sz w:val="20"/>
          <w:szCs w:val="20"/>
        </w:rPr>
      </w:pPr>
      <w:r>
        <w:rPr>
          <w:rFonts w:ascii="Arial" w:eastAsia="Arial" w:hAnsi="Arial" w:cs="Arial"/>
          <w:i/>
          <w:iCs/>
          <w:sz w:val="20"/>
          <w:szCs w:val="20"/>
        </w:rPr>
        <w:t>Please supply as much information as you can (at this stage) about the resources you are likely to need.</w:t>
      </w:r>
    </w:p>
    <w:p w14:paraId="009E2952" w14:textId="77777777" w:rsidR="003D43FD" w:rsidRDefault="003D43FD">
      <w:pPr>
        <w:spacing w:after="0" w:before="0"/>
        <w:rPr>
          <w:rFonts w:ascii="Arial" w:eastAsia="Arial" w:hAnsi="Arial" w:cs="Arial"/>
          <w:sz w:val="8"/>
          <w:szCs w:val="8"/>
        </w:rPr>
      </w:pPr>
    </w:p>
    <w:tbl>
      <w:tblPr>
        <w:tblStyle w:val="a2"/>
        <w:tblW w:w="10317" w:type="dxa"/>
        <w:tblInd w:w="108" w:type="dxa"/>
        <w:tblBorders>
          <w:top w:val="single" w:sz="12" w:space="0" w:color="000000"/>
          <w:left w:val="single" w:sz="12" w:space="0" w:color="000000"/>
          <w:bottom w:val="single" w:sz="12" w:space="0" w:color="000000"/>
          <w:right w:val="single" w:sz="12" w:space="0" w:color="000000"/>
          <w:insideH w:val="single" w:sz="8" w:space="0" w:color="808080"/>
          <w:insideV w:val="single" w:sz="8" w:space="0" w:color="808080"/>
        </w:tblBorders>
        <w:tblLayout w:type="fixed"/>
        <w:tblLook w:val="0000" w:firstRow="0" w:lastRow="0" w:firstColumn="0" w:lastColumn="0" w:noHBand="0" w:noVBand="0"/>
      </w:tblPr>
      <w:tblGrid>
        <w:gridCol w:w="10317"/>
      </w:tblGrid>
      <w:tr>
        <w:trPr>
          <w:trHeight w:hRule="auto"/>
        </w:trPr>
        <w:tc>
          <w:tcPr>
            <w:tcW w:type="dxa" w:w="10317"/>
          </w:tcPr>
          <w:p>
            <w:pPr>
              <w:keepLines/>
              <w:widowControl/>
              <w:spacing w:after="0" w:before="0" w:line="20" w:lineRule="exact"/>
            </w:pPr>
          </w:p>
          <w:tbl>
            <w:tblPr>
              <w:tblStyle w:val="TableGrid"/>
              <w:tblW w:type="auto" w:w="0"/>
              <w:tblLayout w:type="fixed"/>
              <w:tblLook w:firstColumn="1" w:firstRow="1" w:lastColumn="0" w:lastRow="0" w:noHBand="0" w:noVBand="1" w:val="04A0"/>
            </w:tblPr>
            <w:tblGrid>
              <w:gridCol w:w="1728"/>
              <w:gridCol w:w="2952"/>
              <w:gridCol w:w="2088"/>
              <w:gridCol w:w="3312"/>
            </w:tblGrid>
            <w:tr>
              <w:trPr>
                <w:cantSplit/>
                <w:tblHeader/>
              </w:trPr>
              <w:tc>
                <w:tcPr>
                  <w:tcW w:type="dxa" w:w="1728"/>
                </w:tcPr>
                <w:p>
                  <w:pPr>
                    <w:keepLines/>
                    <w:widowControl/>
                    <w:spacing w:after="0" w:before="0" w:line="240" w:lineRule="auto"/>
                  </w:pPr>
                  <w:r>
                    <w:rPr>
                      <w:rFonts w:ascii="Arial" w:hAnsi="Arial"/>
                      <w:b/>
                      <w:sz w:val="18"/>
                    </w:rPr>
                    <w:t>Resource</w:t>
                  </w:r>
                </w:p>
              </w:tc>
              <w:tc>
                <w:tcPr>
                  <w:tcW w:type="dxa" w:w="2952"/>
                </w:tcPr>
                <w:p>
                  <w:pPr>
                    <w:keepLines/>
                    <w:widowControl/>
                    <w:spacing w:after="0" w:before="0" w:line="240" w:lineRule="auto"/>
                  </w:pPr>
                  <w:r>
                    <w:rPr>
                      <w:rFonts w:ascii="Arial" w:hAnsi="Arial"/>
                      <w:b/>
                      <w:sz w:val="18"/>
                    </w:rPr>
                    <w:t>Choice and justification</w:t>
                  </w:r>
                </w:p>
              </w:tc>
              <w:tc>
                <w:tcPr>
                  <w:tcW w:type="dxa" w:w="2088"/>
                </w:tcPr>
                <w:p>
                  <w:pPr>
                    <w:keepLines/>
                    <w:widowControl/>
                    <w:spacing w:after="0" w:before="0" w:line="240" w:lineRule="auto"/>
                  </w:pPr>
                  <w:r>
                    <w:rPr>
                      <w:rFonts w:ascii="Arial" w:hAnsi="Arial"/>
                      <w:b/>
                      <w:sz w:val="18"/>
                    </w:rPr>
                    <w:t>Cost / lead time</w:t>
                  </w:r>
                </w:p>
              </w:tc>
              <w:tc>
                <w:tcPr>
                  <w:tcW w:type="dxa" w:w="3312"/>
                </w:tcPr>
                <w:p>
                  <w:pPr>
                    <w:keepLines/>
                    <w:widowControl/>
                    <w:spacing w:after="0" w:before="0" w:line="240" w:lineRule="auto"/>
                  </w:pPr>
                  <w:r>
                    <w:rPr>
                      <w:rFonts w:ascii="Arial" w:hAnsi="Arial"/>
                      <w:b/>
                      <w:sz w:val="18"/>
                    </w:rPr>
                    <w:t>Limitation and alternative</w:t>
                  </w:r>
                </w:p>
              </w:tc>
            </w:tr>
            <w:tr>
              <w:trPr>
                <w:cantSplit/>
              </w:trPr>
              <w:tc>
                <w:tcPr>
                  <w:tcW w:type="dxa" w:w="1728"/>
                </w:tcPr>
                <w:p>
                  <w:pPr>
                    <w:keepLines/>
                    <w:widowControl/>
                    <w:spacing w:after="0" w:before="0" w:line="240" w:lineRule="auto"/>
                  </w:pPr>
                  <w:r>
                    <w:rPr>
                      <w:rFonts w:ascii="Arial" w:hAnsi="Arial"/>
                      <w:b w:val="0"/>
                      <w:sz w:val="18"/>
                    </w:rPr>
                    <w:t>Existing computer and storage</w:t>
                  </w:r>
                </w:p>
              </w:tc>
              <w:tc>
                <w:tcPr>
                  <w:tcW w:type="dxa" w:w="2952"/>
                </w:tcPr>
                <w:p>
                  <w:pPr>
                    <w:keepLines/>
                    <w:widowControl/>
                    <w:spacing w:after="0" w:before="0" w:line="240" w:lineRule="auto"/>
                  </w:pPr>
                  <w:r>
                    <w:rPr>
                      <w:rFonts w:ascii="Arial" w:hAnsi="Arial"/>
                      <w:b w:val="0"/>
                      <w:sz w:val="18"/>
                    </w:rPr>
                    <w:t>CPU parsing and a small local index; existing machine already runs the prototype. No training GPU needed.</w:t>
                  </w:r>
                </w:p>
              </w:tc>
              <w:tc>
                <w:tcPr>
                  <w:tcW w:type="dxa" w:w="2088"/>
                </w:tcPr>
                <w:p>
                  <w:pPr>
                    <w:keepLines/>
                    <w:widowControl/>
                    <w:spacing w:after="0" w:before="0" w:line="240" w:lineRule="auto"/>
                  </w:pPr>
                  <w:r>
                    <w:rPr>
                      <w:rFonts w:ascii="Arial" w:hAnsi="Arial"/>
                      <w:b w:val="0"/>
                      <w:sz w:val="18"/>
                    </w:rPr>
                    <w:t>£0 new hardware planned; available.</w:t>
                  </w:r>
                </w:p>
              </w:tc>
              <w:tc>
                <w:tcPr>
                  <w:tcW w:type="dxa" w:w="3312"/>
                </w:tcPr>
                <w:p>
                  <w:pPr>
                    <w:keepLines/>
                    <w:widowControl/>
                    <w:spacing w:after="0" w:before="0" w:line="240" w:lineRule="auto"/>
                  </w:pPr>
                  <w:r>
                    <w:rPr>
                      <w:rFonts w:ascii="Arial" w:hAnsi="Arial"/>
                      <w:b w:val="0"/>
                      <w:sz w:val="18"/>
                    </w:rPr>
                    <w:t>Measure memory and disk use on the selected corpus; reduce batch size if necessary.</w:t>
                  </w:r>
                </w:p>
              </w:tc>
            </w:tr>
            <w:tr>
              <w:trPr>
                <w:cantSplit/>
              </w:trPr>
              <w:tc>
                <w:tcPr>
                  <w:tcW w:type="dxa" w:w="1728"/>
                </w:tcPr>
                <w:p>
                  <w:pPr>
                    <w:keepLines/>
                    <w:widowControl/>
                    <w:spacing w:after="0" w:before="0" w:line="240" w:lineRule="auto"/>
                  </w:pPr>
                  <w:r>
                    <w:rPr>
                      <w:rFonts w:ascii="Arial" w:hAnsi="Arial"/>
                      <w:b w:val="0"/>
                      <w:sz w:val="18"/>
                    </w:rPr>
                    <w:t>Python, PyMuPDF, python-docx, NumPy, SQLite and Streamlit</w:t>
                  </w:r>
                </w:p>
              </w:tc>
              <w:tc>
                <w:tcPr>
                  <w:tcW w:type="dxa" w:w="2952"/>
                </w:tcPr>
                <w:p>
                  <w:pPr>
                    <w:keepLines/>
                    <w:widowControl/>
                    <w:spacing w:after="0" w:before="0" w:line="240" w:lineRule="auto"/>
                  </w:pPr>
                  <w:r>
                    <w:rPr>
                      <w:rFonts w:ascii="Arial" w:hAnsi="Arial"/>
                      <w:b w:val="0"/>
                      <w:sz w:val="18"/>
                    </w:rPr>
                    <w:t>Inspectable parsing, scoring and persistence; a local interface and evaluator share the pipeline.</w:t>
                  </w:r>
                </w:p>
              </w:tc>
              <w:tc>
                <w:tcPr>
                  <w:tcW w:type="dxa" w:w="2088"/>
                </w:tcPr>
                <w:p>
                  <w:pPr>
                    <w:keepLines/>
                    <w:widowControl/>
                    <w:spacing w:after="0" w:before="0" w:line="240" w:lineRule="auto"/>
                  </w:pPr>
                  <w:r>
                    <w:rPr>
                      <w:rFonts w:ascii="Arial" w:hAnsi="Arial"/>
                      <w:b w:val="0"/>
                      <w:sz w:val="18"/>
                    </w:rPr>
                    <w:t>£0 software purchase planned; environment working.</w:t>
                  </w:r>
                </w:p>
              </w:tc>
              <w:tc>
                <w:tcPr>
                  <w:tcW w:type="dxa" w:w="3312"/>
                </w:tcPr>
                <w:p>
                  <w:pPr>
                    <w:keepLines/>
                    <w:widowControl/>
                    <w:spacing w:after="0" w:before="0" w:line="240" w:lineRule="auto"/>
                  </w:pPr>
                  <w:r>
                    <w:rPr>
                      <w:rFonts w:ascii="Arial" w:hAnsi="Arial"/>
                      <w:b w:val="0"/>
                      <w:sz w:val="18"/>
                    </w:rPr>
                    <w:t>Complex layouts need manual checks. Review library licences before distribution. A larger vector database is unnecessary for this small corpus.</w:t>
                  </w:r>
                </w:p>
              </w:tc>
            </w:tr>
            <w:tr>
              <w:trPr>
                <w:cantSplit/>
              </w:trPr>
              <w:tc>
                <w:tcPr>
                  <w:tcW w:type="dxa" w:w="1728"/>
                </w:tcPr>
                <w:p>
                  <w:pPr>
                    <w:keepLines/>
                    <w:widowControl/>
                    <w:spacing w:after="0" w:before="0" w:line="240" w:lineRule="auto"/>
                  </w:pPr>
                  <w:r>
                    <w:rPr>
                      <w:rFonts w:ascii="Arial" w:hAnsi="Arial"/>
                      <w:b w:val="0"/>
                      <w:sz w:val="18"/>
                    </w:rPr>
                    <w:t>DeepSeek chat and a separate embedding API</w:t>
                  </w:r>
                </w:p>
              </w:tc>
              <w:tc>
                <w:tcPr>
                  <w:tcW w:type="dxa" w:w="2952"/>
                </w:tcPr>
                <w:p>
                  <w:pPr>
                    <w:keepLines/>
                    <w:widowControl/>
                    <w:spacing w:after="0" w:before="0" w:line="240" w:lineRule="auto"/>
                  </w:pPr>
                  <w:r>
                    <w:rPr>
                      <w:rFonts w:ascii="Arial" w:hAnsi="Arial"/>
                      <w:b w:val="0"/>
                      <w:sz w:val="18"/>
                    </w:rPr>
                    <w:t>Reuse verified chat access; online vectors avoid local model deployment.</w:t>
                  </w:r>
                </w:p>
              </w:tc>
              <w:tc>
                <w:tcPr>
                  <w:tcW w:type="dxa" w:w="2088"/>
                </w:tcPr>
                <w:p>
                  <w:pPr>
                    <w:keepLines/>
                    <w:widowControl/>
                    <w:spacing w:after="0" w:before="0" w:line="240" w:lineRule="auto"/>
                  </w:pPr>
                  <w:r>
                    <w:rPr>
                      <w:rFonts w:ascii="Arial" w:hAnsi="Arial"/>
                      <w:b w:val="0"/>
                      <w:sz w:val="18"/>
                    </w:rPr>
                    <w:t>Proposed combined ceiling £50; chat access verified, allow one week to verify embedding access.</w:t>
                  </w:r>
                </w:p>
              </w:tc>
              <w:tc>
                <w:tcPr>
                  <w:tcW w:type="dxa" w:w="3312"/>
                </w:tcPr>
                <w:p>
                  <w:pPr>
                    <w:keepLines/>
                    <w:widowControl/>
                    <w:spacing w:after="0" w:before="0" w:line="240" w:lineRule="auto"/>
                  </w:pPr>
                  <w:r>
                    <w:rPr>
                      <w:rFonts w:ascii="Arial" w:hAnsi="Arial"/>
                      <w:b w:val="0"/>
                      <w:sz w:val="18"/>
                    </w:rPr>
                    <w:t>Chat access does not provide a configured embedding service. Record model identifiers, cost units and availability before full runs. No guaranteed price or service continuity.</w:t>
                  </w:r>
                </w:p>
              </w:tc>
            </w:tr>
            <w:tr>
              <w:trPr>
                <w:cantSplit/>
              </w:trPr>
              <w:tc>
                <w:tcPr>
                  <w:tcW w:type="dxa" w:w="1728"/>
                </w:tcPr>
                <w:p>
                  <w:pPr>
                    <w:keepLines/>
                    <w:widowControl/>
                    <w:spacing w:after="0" w:before="0" w:line="240" w:lineRule="auto"/>
                  </w:pPr>
                  <w:r>
                    <w:rPr>
                      <w:rFonts w:ascii="Arial" w:hAnsi="Arial"/>
                      <w:b w:val="0"/>
                      <w:sz w:val="18"/>
                    </w:rPr>
                    <w:t>Standards and literature</w:t>
                  </w:r>
                </w:p>
              </w:tc>
              <w:tc>
                <w:tcPr>
                  <w:tcW w:type="dxa" w:w="2952"/>
                </w:tcPr>
                <w:p>
                  <w:pPr>
                    <w:keepLines/>
                    <w:widowControl/>
                    <w:spacing w:after="0" w:before="0" w:line="240" w:lineRule="auto"/>
                  </w:pPr>
                  <w:r>
                    <w:rPr>
                      <w:rFonts w:ascii="Arial" w:hAnsi="Arial"/>
                      <w:b w:val="0"/>
                      <w:sz w:val="18"/>
                    </w:rPr>
                    <w:t>Select 20–30 usable documents from local candidates; use six initial papers to justify design and assessment.</w:t>
                  </w:r>
                </w:p>
              </w:tc>
              <w:tc>
                <w:tcPr>
                  <w:tcW w:type="dxa" w:w="2088"/>
                </w:tcPr>
                <w:p>
                  <w:pPr>
                    <w:keepLines/>
                    <w:widowControl/>
                    <w:spacing w:after="0" w:before="0" w:line="240" w:lineRule="auto"/>
                  </w:pPr>
                  <w:r>
                    <w:rPr>
                      <w:rFonts w:ascii="Arial" w:hAnsi="Arial"/>
                      <w:b w:val="0"/>
                      <w:sz w:val="18"/>
                    </w:rPr>
                    <w:t>No new acquisition cost assumed; selection/permissions in Week 9–11.</w:t>
                  </w:r>
                </w:p>
              </w:tc>
              <w:tc>
                <w:tcPr>
                  <w:tcW w:type="dxa" w:w="3312"/>
                </w:tcPr>
                <w:p>
                  <w:pPr>
                    <w:keepLines/>
                    <w:widowControl/>
                    <w:spacing w:after="0" w:before="0" w:line="240" w:lineRule="auto"/>
                  </w:pPr>
                  <w:r>
                    <w:rPr>
                      <w:rFonts w:ascii="Arial" w:hAnsi="Arial"/>
                      <w:b w:val="0"/>
                      <w:sz w:val="18"/>
                    </w:rPr>
                    <w:t>Replace unusable or unauthorised files. Reserve 36 hours in T07 for structured questions and source checking; confirm usable edition pairs before M2.</w:t>
                  </w:r>
                </w:p>
              </w:tc>
            </w:tr>
            <w:tr>
              <w:trPr>
                <w:cantSplit/>
              </w:trPr>
              <w:tc>
                <w:tcPr>
                  <w:tcW w:type="dxa" w:w="1728"/>
                </w:tcPr>
                <w:p>
                  <w:pPr>
                    <w:keepLines/>
                    <w:widowControl/>
                    <w:spacing w:after="0" w:before="0" w:line="240" w:lineRule="auto"/>
                  </w:pPr>
                  <w:r>
                    <w:rPr>
                      <w:rFonts w:ascii="Arial" w:hAnsi="Arial"/>
                      <w:b w:val="0"/>
                      <w:sz w:val="18"/>
                    </w:rPr>
                    <w:t>Git and separate backup</w:t>
                  </w:r>
                </w:p>
              </w:tc>
              <w:tc>
                <w:tcPr>
                  <w:tcW w:type="dxa" w:w="2952"/>
                </w:tcPr>
                <w:p>
                  <w:pPr>
                    <w:keepLines/>
                    <w:widowControl/>
                    <w:spacing w:after="0" w:before="0" w:line="240" w:lineRule="auto"/>
                  </w:pPr>
                  <w:r>
                    <w:rPr>
                      <w:rFonts w:ascii="Arial" w:hAnsi="Arial"/>
                      <w:b w:val="0"/>
                      <w:sz w:val="18"/>
                    </w:rPr>
                    <w:t>Track code, labels and report changes; keep an independent approved backup.</w:t>
                  </w:r>
                </w:p>
              </w:tc>
              <w:tc>
                <w:tcPr>
                  <w:tcW w:type="dxa" w:w="2088"/>
                </w:tcPr>
                <w:p>
                  <w:pPr>
                    <w:keepLines/>
                    <w:widowControl/>
                    <w:spacing w:after="0" w:before="0" w:line="240" w:lineRule="auto"/>
                  </w:pPr>
                  <w:r>
                    <w:rPr>
                      <w:rFonts w:ascii="Arial" w:hAnsi="Arial"/>
                      <w:b w:val="0"/>
                      <w:sz w:val="18"/>
                    </w:rPr>
                    <w:t>£0 if existing storage suffices; Git already initialised.</w:t>
                  </w:r>
                </w:p>
              </w:tc>
              <w:tc>
                <w:tcPr>
                  <w:tcW w:type="dxa" w:w="3312"/>
                </w:tcPr>
                <w:p>
                  <w:pPr>
                    <w:keepLines/>
                    <w:widowControl/>
                    <w:spacing w:after="0" w:before="0" w:line="240" w:lineRule="auto"/>
                  </w:pPr>
                  <w:r>
                    <w:rPr>
                      <w:rFonts w:ascii="Arial" w:hAnsi="Arial"/>
                      <w:b w:val="0"/>
                      <w:sz w:val="18"/>
                    </w:rPr>
                    <w:t>Local Git alone is not a backup. Keep keys and restricted source documents out of published history.</w:t>
                  </w:r>
                </w:p>
              </w:tc>
            </w:tr>
          </w:tbl>
          <w:p/>
          <w:p>
            <w:pPr>
              <w:keepLines/>
              <w:widowControl/>
              <w:spacing w:after="60" w:before="0" w:line="240" w:lineRule="auto"/>
            </w:pPr>
            <w:r>
              <w:rPr>
                <w:rFonts w:ascii="Arial" w:hAnsi="Arial"/>
                <w:b w:val="0"/>
                <w:sz w:val="20"/>
              </w:rPr>
              <w:t>Budget basis: the main comparison contains 80 × 5 = 400 test executions, requiring at most 400 first-attempt generation calls. Early refusal/clarification can avoid generation; log actual calls separately. One development pass adds 20 × 5 = 100 executions, so one pass over all 100 questions totals at most 500 generation calls, not 400 + 500. Reserve a further 100 calls for bounded development and recovery: at most 600 planned new calls overall. Retries consume the reserve and retain their original failures; they are not extra scored test items. Retrieval-weight and gate-grid selection reuse cached development retrieval and need no generation. There is no routine repeated test sweep or LLM judge.</w:t>
            </w:r>
          </w:p>
          <w:p>
            <w:pPr>
              <w:keepLines/>
              <w:widowControl/>
              <w:spacing w:after="60" w:before="0" w:line="240" w:lineRule="auto"/>
            </w:pPr>
            <w:r>
              <w:rPr>
                <w:rFonts w:ascii="Arial" w:hAnsi="Arial"/>
                <w:b w:val="0"/>
                <w:sz w:val="20"/>
              </w:rPr>
              <w:t>Embedding costs are separate: one corpus build, cached development/test query vectors and any logged rebuilds. Embedding access is planned, not verified. Estimate token use from a permitted pilot and actual provider units. Allocate £35 to generation, £10 to embeddings and £5 contingency: a £50 planning ceiling, not a verified quotation, observed charge or approved funding. Check model/pricing availability before runs and reassess at £40 (80%). Previous chat-check expenditure must be read from the account ledger. No reimbursement is assumed.</w:t>
            </w:r>
          </w:p>
          <w:p>
            <w:pPr>
              <w:keepLines/>
              <w:widowControl/>
              <w:spacing w:after="60" w:before="0" w:line="240" w:lineRule="auto"/>
            </w:pPr>
            <w:r>
              <w:rPr>
                <w:rFonts w:ascii="Arial" w:hAnsi="Arial"/>
                <w:b w:val="0"/>
                <w:sz w:val="20"/>
              </w:rPr>
              <w:t>T07 allocates 36 hours: 4 hours for schema/pilot, 20 for drafting 100 narrow questions (12 minutes each), 10 for a separate source recheck (6 minutes each), and 2 for grouped splitting. T12 allocates 40 hours: 4 for automated runs/log checks, 20 for scoring 400 outputs (3 minutes each), 6 for reviewing 80 sampled/difficult outputs, 6 for analysis, and 4 contingency. Use one to three required facts per item and a shared rubric; AI may draft, but every gold answer needs human source verification. Mask configuration labels; identical answer-and-evidence tuples may reuse a checked judgement with traceable links. Pilot timings are unmeasured assumptions. If exceeded, use contingency and remove optional repeats, not source checking or difficult test items. Reuse the existing prototype and report skeleton to limit repeated setup and drafting. Preserve 36 hours for annotation, 40 for evaluation and 48 for journals, reviews and supervision within the 400-hour total, including viva.</w:t>
            </w:r>
          </w:p>
          <w:p>
            <w:pPr>
              <w:keepLines/>
              <w:widowControl/>
              <w:spacing w:after="60" w:before="0" w:line="240" w:lineRule="auto"/>
            </w:pPr>
            <w:r>
              <w:rPr>
                <w:rFonts w:ascii="Arial" w:hAnsi="Arial"/>
                <w:b w:val="0"/>
                <w:sz w:val="20"/>
              </w:rPr>
              <w:t>Workshop/access: allocated laboratory bench — No; Mechanical Workshop — No; Electronics Workshop — No; special IT support — No currently anticipated; purchase of special electronic components — No. This is desktop software work. If hardware scope changes, consult the School's purchasing/manufacturing process before ordering and account for its lead times.</w:t>
            </w:r>
          </w:p>
        </w:tc>
      </w:tr>
    </w:tbl>
    <w:p w14:paraId="49E0C12F" w14:textId="77777777" w:rsidR="003D43FD" w:rsidRDefault="003D43FD">
      <w:pPr>
        <w:spacing w:after="0" w:before="0"/>
        <w:rPr>
          <w:rFonts w:ascii="Arial" w:eastAsia="Arial" w:hAnsi="Arial" w:cs="Arial"/>
          <w:sz w:val="8"/>
          <w:szCs w:val="8"/>
        </w:rPr>
      </w:pPr>
    </w:p>
    <w:p w14:paraId="4E600596" w14:textId="77777777" w:rsidR="003D43FD" w:rsidRDefault="003D43FD">
      <w:pPr>
        <w:rPr>
          <w:rFonts w:ascii="Arial" w:eastAsia="Arial" w:hAnsi="Arial" w:cs="Arial"/>
          <w:sz w:val="20"/>
          <w:szCs w:val="20"/>
        </w:rPr>
        <w:sectPr w:rsidR="003D43FD">
          <w:pgSz w:w="11907" w:h="16840"/>
          <w:pgMar w:top="1260" w:right="720" w:bottom="720" w:left="720" w:header="709" w:footer="709" w:gutter="0"/>
          <w:cols w:space="720"/>
        </w:sectPr>
      </w:pPr>
    </w:p>
    <w:p w14:paraId="54C31957" w14:textId="77777777" w:rsidR="003D43FD" w:rsidRDefault="00000000">
      <w:pPr>
        <w:rPr>
          <w:rFonts w:ascii="Arial" w:eastAsia="Arial" w:hAnsi="Arial" w:cs="Arial"/>
          <w:b/>
          <w:bCs/>
          <w:sz w:val="22"/>
          <w:szCs w:val="22"/>
        </w:rPr>
      </w:pPr>
      <w:r>
        <w:rPr>
          <w:rFonts w:ascii="Arial" w:eastAsia="Arial" w:hAnsi="Arial" w:cs="Arial"/>
          <w:b/>
          <w:bCs/>
          <w:sz w:val="22"/>
          <w:szCs w:val="22"/>
        </w:rPr>
        <w:lastRenderedPageBreak/>
        <w:t>Section 4: Professional Practice, Risk, and Compliance</w:t>
      </w:r>
    </w:p>
    <w:p w14:paraId="5BB0143E" w14:textId="77777777" w:rsidR="003D43FD" w:rsidRDefault="003D43FD">
      <w:pPr>
        <w:spacing w:after="0" w:before="0" w:line="40" w:lineRule="exact"/>
        <w:rPr>
          <w:rFonts w:ascii="Arial" w:eastAsia="Arial" w:hAnsi="Arial" w:cs="Arial"/>
          <w:sz w:val="8"/>
          <w:szCs w:val="8"/>
        </w:rPr>
      </w:pPr>
    </w:p>
    <w:p w14:paraId="0D056F1C" w14:textId="77777777" w:rsidR="003D43FD" w:rsidRDefault="00000000">
      <w:pPr>
        <w:spacing w:line="259" w:lineRule="auto"/>
        <w:rPr>
          <w:rFonts w:ascii="Arial" w:eastAsia="Arial" w:hAnsi="Arial" w:cs="Arial"/>
          <w:i/>
          <w:iCs/>
          <w:sz w:val="20"/>
          <w:szCs w:val="20"/>
        </w:rPr>
      </w:pPr>
      <w:r>
        <w:rPr>
          <w:rFonts w:ascii="Arial" w:eastAsia="Arial" w:hAnsi="Arial" w:cs="Arial"/>
          <w:i/>
          <w:iCs/>
          <w:sz w:val="20"/>
          <w:szCs w:val="20"/>
        </w:rPr>
        <w:t>Before completing this section, please refer to the corresponding part of the handbook.</w:t>
      </w:r>
    </w:p>
    <w:p w14:paraId="24843DD2" w14:textId="77777777" w:rsidR="003D43FD" w:rsidRDefault="003D43FD">
      <w:pPr>
        <w:spacing w:line="40" w:lineRule="exact" w:after="0" w:before="0"/>
        <w:rPr>
          <w:rFonts w:ascii="Arial" w:eastAsia="Arial" w:hAnsi="Arial" w:cs="Arial"/>
          <w:i/>
          <w:iCs/>
        </w:rPr>
      </w:pPr>
    </w:p>
    <w:p w14:paraId="0044610F" w14:textId="77777777" w:rsidR="003D43FD" w:rsidRDefault="00000000">
      <w:pPr>
        <w:keepNext/>
        <w:spacing w:line="259" w:lineRule="auto"/>
        <w:rPr>
          <w:rFonts w:ascii="Arial" w:eastAsia="Arial" w:hAnsi="Arial" w:cs="Arial"/>
          <w:b/>
          <w:bCs/>
          <w:i/>
          <w:iCs/>
          <w:sz w:val="22"/>
          <w:szCs w:val="22"/>
        </w:rPr>
      </w:pPr>
      <w:r>
        <w:rPr>
          <w:rFonts w:ascii="Arial" w:eastAsia="Arial" w:hAnsi="Arial" w:cs="Arial"/>
          <w:b/>
          <w:bCs/>
          <w:i/>
          <w:iCs/>
          <w:sz w:val="22"/>
          <w:szCs w:val="22"/>
        </w:rPr>
        <w:t>Societal and environmental considerations</w:t>
      </w:r>
    </w:p>
    <w:tbl>
      <w:tblPr>
        <w:tblStyle w:val="a3"/>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trPr>
        <w:tc>
          <w:tcPr>
            <w:tcW w:type="dxa" w:w="10317"/>
          </w:tcPr>
          <w:p>
            <w:pPr>
              <w:keepLines/>
              <w:widowControl/>
              <w:spacing w:after="0" w:before="0" w:line="20" w:lineRule="exact"/>
            </w:pPr>
          </w:p>
          <w:p>
            <w:pPr>
              <w:keepLines/>
              <w:widowControl/>
              <w:spacing w:after="60" w:before="0" w:line="240" w:lineRule="auto"/>
            </w:pPr>
            <w:r>
              <w:rPr>
                <w:rFonts w:ascii="Arial" w:hAnsi="Arial"/>
                <w:b w:val="0"/>
                <w:sz w:val="20"/>
              </w:rPr>
              <w:t>User benefit is easier access to inspectable clauses. Wrong editions, numerical errors and omitted conditions could mislead users; the interface will show evidence and version labels and distinguish insufficient evidence from a supported answer. It will not certify compliance. No measured productivity or safety benefit is claimed.</w:t>
            </w:r>
          </w:p>
          <w:p>
            <w:pPr>
              <w:keepLines/>
              <w:widowControl/>
              <w:spacing w:after="60" w:before="0" w:line="240" w:lineRule="auto"/>
            </w:pPr>
            <w:r>
              <w:rPr>
                <w:rFonts w:ascii="Arial" w:hAnsi="Arial"/>
                <w:b w:val="0"/>
                <w:sz w:val="20"/>
              </w:rPr>
              <w:t>Inclusion: provide readable Chinese text, labelled keyboard-operable controls, selectable evidence and status messages independent of colour. Test specialist terms and ordinary-language paraphrases. This first study does not establish English-language coverage or universal accessibility.</w:t>
            </w:r>
          </w:p>
          <w:p>
            <w:pPr>
              <w:keepLines/>
              <w:widowControl/>
              <w:spacing w:after="60" w:before="0" w:line="240" w:lineRule="auto"/>
            </w:pPr>
            <w:r>
              <w:rPr>
                <w:rFonts w:ascii="Arial" w:hAnsi="Arial"/>
                <w:b w:val="0"/>
                <w:sz w:val="20"/>
              </w:rPr>
              <w:t>Sustainability: reuse hardware, avoid model training, cache unchanged vectors and limit unnecessary API reruns. Log available request/token counts as resource-use indicators; do not equate them with measured carbon emissions. Preserve configuration and documentation so the prototype can be maintained without rebuilding unchanged data.</w:t>
            </w:r>
          </w:p>
        </w:tc>
      </w:tr>
    </w:tbl>
    <w:p w14:paraId="396FAC5A" w14:textId="77777777" w:rsidR="003D43FD" w:rsidRDefault="003D43FD">
      <w:pPr>
        <w:spacing w:line="40" w:lineRule="exact" w:after="0" w:before="0"/>
        <w:rPr>
          <w:rFonts w:ascii="Arial" w:eastAsia="Arial" w:hAnsi="Arial" w:cs="Arial"/>
          <w:i/>
          <w:iCs/>
        </w:rPr>
      </w:pPr>
    </w:p>
    <w:p w14:paraId="0C33D469" w14:textId="77777777" w:rsidR="003D43FD" w:rsidRDefault="00000000">
      <w:pPr>
        <w:keepNext/>
        <w:rPr>
          <w:rFonts w:ascii="Arial" w:eastAsia="Arial" w:hAnsi="Arial" w:cs="Arial"/>
          <w:b/>
          <w:bCs/>
          <w:sz w:val="22"/>
          <w:szCs w:val="22"/>
        </w:rPr>
      </w:pPr>
      <w:r>
        <w:rPr>
          <w:rFonts w:ascii="Arial" w:eastAsia="Arial" w:hAnsi="Arial" w:cs="Arial"/>
          <w:b/>
          <w:bCs/>
          <w:i/>
          <w:iCs/>
          <w:sz w:val="22"/>
          <w:szCs w:val="22"/>
        </w:rPr>
        <w:t>Ethics</w:t>
      </w:r>
      <w:r>
        <w:rPr>
          <w:rFonts w:ascii="Arial" w:eastAsia="Arial" w:hAnsi="Arial" w:cs="Arial"/>
          <w:b/>
          <w:bCs/>
          <w:sz w:val="22"/>
          <w:szCs w:val="22"/>
        </w:rPr>
        <w:t>:</w:t>
      </w:r>
    </w:p>
    <w:p w14:paraId="3B688035" w14:textId="77777777" w:rsidR="003D43FD" w:rsidRDefault="003D43FD">
      <w:pPr>
        <w:spacing w:after="0" w:before="0" w:line="40" w:lineRule="exact"/>
        <w:rPr>
          <w:rFonts w:ascii="Arial" w:eastAsia="Arial" w:hAnsi="Arial" w:cs="Arial"/>
          <w:sz w:val="8"/>
          <w:szCs w:val="8"/>
        </w:rPr>
      </w:pPr>
    </w:p>
    <w:p w14:paraId="330B56B5" w14:textId="77777777" w:rsidR="003D43FD" w:rsidRDefault="00000000">
      <w:pPr>
        <w:rPr>
          <w:rFonts w:ascii="Arial" w:eastAsia="Arial" w:hAnsi="Arial" w:cs="Arial"/>
          <w:i/>
          <w:iCs/>
          <w:sz w:val="20"/>
          <w:szCs w:val="20"/>
        </w:rPr>
      </w:pPr>
      <w:r>
        <w:rPr>
          <w:rFonts w:ascii="Arial" w:eastAsia="Arial" w:hAnsi="Arial" w:cs="Arial"/>
          <w:i/>
          <w:iCs/>
          <w:sz w:val="20"/>
          <w:szCs w:val="20"/>
        </w:rPr>
        <w:t xml:space="preserve">Please select one of the options below. Please refer to </w:t>
      </w:r>
      <w:hyperlink r:id="rId9">
        <w:r>
          <w:rPr>
            <w:color w:val="0000FF"/>
            <w:sz w:val="20"/>
            <w:szCs w:val="20"/>
            <w:u w:val="single"/>
          </w:rPr>
          <w:t>www.leeds.ac.uk/ethics</w:t>
        </w:r>
      </w:hyperlink>
      <w:r>
        <w:rPr>
          <w:sz w:val="20"/>
          <w:szCs w:val="20"/>
        </w:rPr>
        <w:t xml:space="preserve">  </w:t>
      </w:r>
    </w:p>
    <w:tbl>
      <w:tblPr>
        <w:tblStyle w:val="a4"/>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trPr>
        <w:tc>
          <w:tcPr>
            <w:tcW w:type="dxa" w:w="10317"/>
          </w:tcPr>
          <w:p>
            <w:pPr>
              <w:keepLines/>
              <w:widowControl/>
              <w:spacing w:after="0" w:before="0" w:line="20" w:lineRule="exact"/>
            </w:pPr>
          </w:p>
          <w:p>
            <w:pPr>
              <w:keepLines/>
              <w:widowControl/>
              <w:spacing w:after="60" w:before="0" w:line="240" w:lineRule="auto"/>
            </w:pPr>
            <w:r>
              <w:rPr>
                <w:rFonts w:ascii="Arial" w:hAnsi="Arial"/>
                <w:b w:val="0"/>
                <w:sz w:val="20"/>
              </w:rPr>
              <w:t>The project will use railway technical standards and researcher-prepared questions to evaluate a document-based question-answering system. No human participants, surveys, interviews or personal-data analysis are planned. Evaluation will use a fixed question set rather than collecting user conversations.</w:t>
            </w:r>
          </w:p>
          <w:p>
            <w:pPr>
              <w:keepLines/>
              <w:widowControl/>
              <w:spacing w:after="60" w:before="0" w:line="240" w:lineRule="auto"/>
            </w:pPr>
            <w:r>
              <w:rPr>
                <w:rFonts w:ascii="Arial" w:hAnsi="Arial"/>
                <w:b w:val="0"/>
                <w:sz w:val="20"/>
              </w:rPr>
              <w:t>Document provenance and permitted uses will be recorded before ingestion. Only material permitted for external processing will be sent to chat or embedding services; this includes document chunks used to build the vector index. Restricted documents, personal information and operationally sensitive railway material will be excluded. Provider retention conditions will be checked, and only the text required for each request will be transmitted. Unresolved permissions will lead to exclusion or replacement, not assumed consent. Published outputs will use permitted excerpts and source references rather than redistribute complete standards.</w:t>
            </w:r>
          </w:p>
          <w:p>
            <w:pPr>
              <w:keepLines/>
              <w:widowControl/>
              <w:spacing w:after="60" w:before="0" w:line="240" w:lineRule="auto"/>
            </w:pPr>
            <w:r>
              <w:rPr>
                <w:rFonts w:ascii="Arial" w:hAnsi="Arial"/>
                <w:b w:val="0"/>
                <w:sz w:val="20"/>
              </w:rPr>
              <w:t>Incorrect editions, unsupported claims and omitted conditions could mislead readers. Answers will display source locations and edition labels, with refusal or clarification where evidence is inadequate. The system will support study and document consultation; it will not authorise maintenance, railway operation or safety-critical decisions. Readers must verify the original standard before any practical use.</w:t>
            </w:r>
          </w:p>
          <w:p>
            <w:pPr>
              <w:keepLines/>
              <w:widowControl/>
              <w:spacing w:after="60" w:before="0" w:line="240" w:lineRule="auto"/>
            </w:pPr>
            <w:r>
              <w:rPr>
                <w:rFonts w:ascii="Arial" w:hAnsi="Arial"/>
                <w:b w:val="0"/>
                <w:sz w:val="20"/>
              </w:rPr>
              <w:t>Reference code, literature and permitted AI assistance will be acknowledged. Benchmark answers will be checked against source text, and all configurations, failures and measured results will be reported honestly. Any later participant study or change in data use will require renewed ethics screening before that work begins.</w:t>
            </w:r>
          </w:p>
          <w:p>
            <w:pPr>
              <w:keepLines/>
              <w:widowControl/>
              <w:spacing w:after="60" w:before="0" w:line="240" w:lineRule="auto"/>
            </w:pPr>
            <w:r>
              <w:rPr>
                <w:rFonts w:ascii="Arial" w:hAnsi="Arial"/>
                <w:b w:val="0"/>
                <w:sz w:val="20"/>
              </w:rPr>
              <w:t>Student ethics assessment for the defined scope: the first option below is selected on the basis of the document-only methodology and the permission controls stated above, for supervisor review.</w:t>
            </w:r>
          </w:p>
          <w:p>
            <w:pPr>
              <w:keepLines/>
              <w:widowControl/>
              <w:spacing w:after="60" w:before="0" w:line="240" w:lineRule="auto"/>
            </w:pPr>
            <w:r>
              <w:rPr>
                <w:rFonts w:ascii="Arial" w:hAnsi="Arial"/>
                <w:b w:val="0"/>
                <w:sz w:val="20"/>
              </w:rPr>
              <w:t>[x] My project does not involve human participants, personal data or other ethical issues requiring review.</w:t>
            </w:r>
          </w:p>
          <w:p>
            <w:pPr>
              <w:keepLines/>
              <w:widowControl/>
              <w:spacing w:after="60" w:before="0" w:line="240" w:lineRule="auto"/>
            </w:pPr>
            <w:r>
              <w:rPr>
                <w:rFonts w:ascii="Arial" w:hAnsi="Arial"/>
                <w:b w:val="0"/>
                <w:sz w:val="20"/>
              </w:rPr>
              <w:t>[ ] My project involves human participants, personal data or other ethical issues. I have discussed this with my supervisor and will obtain ethical approval before starting that work.</w:t>
            </w:r>
          </w:p>
        </w:tc>
      </w:tr>
    </w:tbl>
    <w:p w14:paraId="53186141" w14:textId="77777777" w:rsidR="003D43FD" w:rsidRDefault="003D43FD">
      <w:pPr>
        <w:spacing w:after="0" w:before="0" w:line="40" w:lineRule="exact"/>
      </w:pPr>
    </w:p>
    <w:p w14:paraId="6957ECF4" w14:textId="77777777" w:rsidR="003D43FD" w:rsidRDefault="00000000">
      <w:pPr>
        <w:keepNext/>
        <w:spacing w:line="259" w:lineRule="auto"/>
        <w:rPr>
          <w:rFonts w:ascii="Arial" w:eastAsia="Arial" w:hAnsi="Arial" w:cs="Arial"/>
          <w:b/>
          <w:bCs/>
          <w:i/>
          <w:iCs/>
          <w:sz w:val="22"/>
          <w:szCs w:val="22"/>
        </w:rPr>
      </w:pPr>
      <w:r>
        <w:rPr>
          <w:rFonts w:ascii="Arial" w:eastAsia="Arial" w:hAnsi="Arial" w:cs="Arial"/>
          <w:b/>
          <w:bCs/>
          <w:i/>
          <w:iCs/>
          <w:sz w:val="22"/>
          <w:szCs w:val="22"/>
        </w:rPr>
        <w:t xml:space="preserve">Risk Register </w:t>
      </w:r>
    </w:p>
    <w:tbl>
      <w:tblPr>
        <w:tblStyle w:val="a5"/>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trPr>
        <w:tc>
          <w:tcPr>
            <w:tcW w:type="dxa" w:w="10317"/>
          </w:tcPr>
          <w:p>
            <w:pPr>
              <w:keepLines/>
              <w:widowControl/>
              <w:spacing w:after="0" w:before="0" w:line="20" w:lineRule="exact"/>
            </w:pPr>
          </w:p>
          <w:p>
            <w:pPr>
              <w:keepLines/>
              <w:widowControl/>
              <w:spacing w:after="60" w:before="0" w:line="240" w:lineRule="auto"/>
            </w:pPr>
            <w:r>
              <w:rPr>
                <w:rFonts w:ascii="Arial" w:hAnsi="Arial"/>
                <w:b w:val="0"/>
                <w:sz w:val="20"/>
              </w:rPr>
              <w:t>Likelihood/impact: L = Low, M = Medium, H = High. Initial ratings are planning judgements. The student owns all risks and will review triggers, actions and residual risk at each supervision meeting.</w:t>
            </w:r>
          </w:p>
          <w:tbl>
            <w:tblPr>
              <w:tblStyle w:val="TableGrid"/>
              <w:tblW w:type="auto" w:w="0"/>
              <w:tblLayout w:type="fixed"/>
              <w:tblLook w:firstColumn="1" w:firstRow="1" w:lastColumn="0" w:lastRow="0" w:noHBand="0" w:noVBand="1" w:val="04A0"/>
            </w:tblPr>
            <w:tblGrid>
              <w:gridCol w:w="2232"/>
              <w:gridCol w:w="792"/>
              <w:gridCol w:w="7056"/>
            </w:tblGrid>
            <w:tr>
              <w:trPr>
                <w:cantSplit/>
                <w:tblHeader/>
              </w:trPr>
              <w:tc>
                <w:tcPr>
                  <w:tcW w:type="dxa" w:w="2232"/>
                </w:tcPr>
                <w:p>
                  <w:pPr>
                    <w:keepLines/>
                    <w:widowControl/>
                    <w:spacing w:after="0" w:before="0" w:line="240" w:lineRule="auto"/>
                  </w:pPr>
                  <w:r>
                    <w:rPr>
                      <w:rFonts w:ascii="Arial" w:hAnsi="Arial"/>
                      <w:b/>
                      <w:sz w:val="18"/>
                    </w:rPr>
                    <w:t>ID / risk</w:t>
                  </w:r>
                </w:p>
              </w:tc>
              <w:tc>
                <w:tcPr>
                  <w:tcW w:type="dxa" w:w="792"/>
                </w:tcPr>
                <w:p>
                  <w:pPr>
                    <w:keepLines/>
                    <w:widowControl/>
                    <w:spacing w:after="0" w:before="0" w:line="240" w:lineRule="auto"/>
                  </w:pPr>
                  <w:r>
                    <w:rPr>
                      <w:rFonts w:ascii="Arial" w:hAnsi="Arial"/>
                      <w:b/>
                      <w:sz w:val="18"/>
                    </w:rPr>
                    <w:t>L / I</w:t>
                  </w:r>
                </w:p>
              </w:tc>
              <w:tc>
                <w:tcPr>
                  <w:tcW w:type="dxa" w:w="7056"/>
                </w:tcPr>
                <w:p>
                  <w:pPr>
                    <w:keepLines/>
                    <w:widowControl/>
                    <w:spacing w:after="0" w:before="0" w:line="240" w:lineRule="auto"/>
                  </w:pPr>
                  <w:r>
                    <w:rPr>
                      <w:rFonts w:ascii="Arial" w:hAnsi="Arial"/>
                      <w:b/>
                      <w:sz w:val="18"/>
                    </w:rPr>
                    <w:t>Trigger, mitigation and affected tasks</w:t>
                  </w:r>
                </w:p>
              </w:tc>
            </w:tr>
            <w:tr>
              <w:trPr>
                <w:cantSplit/>
              </w:trPr>
              <w:tc>
                <w:tcPr>
                  <w:tcW w:type="dxa" w:w="2232"/>
                </w:tcPr>
                <w:p>
                  <w:pPr>
                    <w:keepLines/>
                    <w:widowControl/>
                    <w:spacing w:after="0" w:before="0" w:line="240" w:lineRule="auto"/>
                  </w:pPr>
                  <w:r>
                    <w:rPr>
                      <w:rFonts w:ascii="Arial" w:hAnsi="Arial"/>
                      <w:b w:val="0"/>
                      <w:sz w:val="18"/>
                    </w:rPr>
                    <w:t>R1 Extraction failure</w:t>
                  </w:r>
                </w:p>
              </w:tc>
              <w:tc>
                <w:tcPr>
                  <w:tcW w:type="dxa" w:w="792"/>
                </w:tcPr>
                <w:p>
                  <w:pPr>
                    <w:keepLines/>
                    <w:widowControl/>
                    <w:spacing w:after="0" w:before="0" w:line="240" w:lineRule="auto"/>
                  </w:pPr>
                  <w:r>
                    <w:rPr>
                      <w:rFonts w:ascii="Arial" w:hAnsi="Arial"/>
                      <w:b w:val="0"/>
                      <w:sz w:val="18"/>
                    </w:rPr>
                    <w:t>H / H</w:t>
                  </w:r>
                </w:p>
              </w:tc>
              <w:tc>
                <w:tcPr>
                  <w:tcW w:type="dxa" w:w="7056"/>
                </w:tcPr>
                <w:p>
                  <w:pPr>
                    <w:keepLines/>
                    <w:widowControl/>
                    <w:spacing w:after="0" w:before="0" w:line="240" w:lineRule="auto"/>
                  </w:pPr>
                  <w:r>
                    <w:rPr>
                      <w:rFonts w:ascii="Arial" w:hAnsi="Arial"/>
                      <w:b w:val="0"/>
                      <w:sz w:val="18"/>
                    </w:rPr>
                    <w:t>Scans, broken tables or lost units: audit pages, replace unsuitable files and log exclusions; no silent ingestion. T03/T06, before M2.</w:t>
                  </w:r>
                </w:p>
              </w:tc>
            </w:tr>
            <w:tr>
              <w:trPr>
                <w:cantSplit/>
              </w:trPr>
              <w:tc>
                <w:tcPr>
                  <w:tcW w:type="dxa" w:w="2232"/>
                </w:tcPr>
                <w:p>
                  <w:pPr>
                    <w:keepLines/>
                    <w:widowControl/>
                    <w:spacing w:after="0" w:before="0" w:line="240" w:lineRule="auto"/>
                  </w:pPr>
                  <w:r>
                    <w:rPr>
                      <w:rFonts w:ascii="Arial" w:hAnsi="Arial"/>
                      <w:b w:val="0"/>
                      <w:sz w:val="18"/>
                    </w:rPr>
                    <w:t>R2 Wrong edition or duplicates</w:t>
                  </w:r>
                </w:p>
              </w:tc>
              <w:tc>
                <w:tcPr>
                  <w:tcW w:type="dxa" w:w="792"/>
                </w:tcPr>
                <w:p>
                  <w:pPr>
                    <w:keepLines/>
                    <w:widowControl/>
                    <w:spacing w:after="0" w:before="0" w:line="240" w:lineRule="auto"/>
                  </w:pPr>
                  <w:r>
                    <w:rPr>
                      <w:rFonts w:ascii="Arial" w:hAnsi="Arial"/>
                      <w:b w:val="0"/>
                      <w:sz w:val="18"/>
                    </w:rPr>
                    <w:t>H / H</w:t>
                  </w:r>
                </w:p>
              </w:tc>
              <w:tc>
                <w:tcPr>
                  <w:tcW w:type="dxa" w:w="7056"/>
                </w:tcPr>
                <w:p>
                  <w:pPr>
                    <w:keepLines/>
                    <w:widowControl/>
                    <w:spacing w:after="0" w:before="0" w:line="240" w:lineRule="auto"/>
                  </w:pPr>
                  <w:r>
                    <w:rPr>
                      <w:rFonts w:ascii="Arial" w:hAnsi="Arial"/>
                      <w:b w:val="0"/>
                      <w:sz w:val="18"/>
                    </w:rPr>
                    <w:t>Insufficient usable editions or metadata conflicts: TB/T 2073 and 2074 have local 2010/2020 candidates, but sampled 2010 files yielded no text. Their 2020 covers identify the superseded editions. Obtain permitted text editions or choose another family; exclude drafts and duplicate encodings. If two pairs cannot be verified by M2, retain A1 and report a limited case study; synthetic fixtures test code only, not empirical edition performance. T06/T08.</w:t>
                  </w:r>
                </w:p>
              </w:tc>
            </w:tr>
            <w:tr>
              <w:trPr>
                <w:cantSplit/>
              </w:trPr>
              <w:tc>
                <w:tcPr>
                  <w:tcW w:type="dxa" w:w="2232"/>
                </w:tcPr>
                <w:p>
                  <w:pPr>
                    <w:keepLines/>
                    <w:widowControl/>
                    <w:spacing w:after="0" w:before="0" w:line="240" w:lineRule="auto"/>
                  </w:pPr>
                  <w:r>
                    <w:rPr>
                      <w:rFonts w:ascii="Arial" w:hAnsi="Arial"/>
                      <w:b w:val="0"/>
                      <w:sz w:val="18"/>
                    </w:rPr>
                    <w:t>R3 Unsupported answers</w:t>
                  </w:r>
                </w:p>
              </w:tc>
              <w:tc>
                <w:tcPr>
                  <w:tcW w:type="dxa" w:w="792"/>
                </w:tcPr>
                <w:p>
                  <w:pPr>
                    <w:keepLines/>
                    <w:widowControl/>
                    <w:spacing w:after="0" w:before="0" w:line="240" w:lineRule="auto"/>
                  </w:pPr>
                  <w:r>
                    <w:rPr>
                      <w:rFonts w:ascii="Arial" w:hAnsi="Arial"/>
                      <w:b w:val="0"/>
                      <w:sz w:val="18"/>
                    </w:rPr>
                    <w:t>M / H</w:t>
                  </w:r>
                </w:p>
              </w:tc>
              <w:tc>
                <w:tcPr>
                  <w:tcW w:type="dxa" w:w="7056"/>
                </w:tcPr>
                <w:p>
                  <w:pPr>
                    <w:keepLines/>
                    <w:widowControl/>
                    <w:spacing w:after="0" w:before="0" w:line="240" w:lineRule="auto"/>
                  </w:pPr>
                  <w:r>
                    <w:rPr>
                      <w:rFonts w:ascii="Arial" w:hAnsi="Arial"/>
                      <w:b w:val="0"/>
                      <w:sz w:val="18"/>
                    </w:rPr>
                    <w:t>Claims lack support or omit conditions: evidence gate, excerpt checks and manual semantic scoring; report false refusals. T09/T12.</w:t>
                  </w:r>
                </w:p>
              </w:tc>
            </w:tr>
            <w:tr>
              <w:trPr>
                <w:cantSplit/>
              </w:trPr>
              <w:tc>
                <w:tcPr>
                  <w:tcW w:type="dxa" w:w="2232"/>
                </w:tcPr>
                <w:p>
                  <w:pPr>
                    <w:keepLines/>
                    <w:widowControl/>
                    <w:spacing w:after="0" w:before="0" w:line="240" w:lineRule="auto"/>
                  </w:pPr>
                  <w:r>
                    <w:rPr>
                      <w:rFonts w:ascii="Arial" w:hAnsi="Arial"/>
                      <w:b w:val="0"/>
                      <w:sz w:val="18"/>
                    </w:rPr>
                    <w:t>R4 API/cost/model changes</w:t>
                  </w:r>
                </w:p>
              </w:tc>
              <w:tc>
                <w:tcPr>
                  <w:tcW w:type="dxa" w:w="792"/>
                </w:tcPr>
                <w:p>
                  <w:pPr>
                    <w:keepLines/>
                    <w:widowControl/>
                    <w:spacing w:after="0" w:before="0" w:line="240" w:lineRule="auto"/>
                  </w:pPr>
                  <w:r>
                    <w:rPr>
                      <w:rFonts w:ascii="Arial" w:hAnsi="Arial"/>
                      <w:b w:val="0"/>
                      <w:sz w:val="18"/>
                    </w:rPr>
                    <w:t>M / H</w:t>
                  </w:r>
                </w:p>
              </w:tc>
              <w:tc>
                <w:tcPr>
                  <w:tcW w:type="dxa" w:w="7056"/>
                </w:tcPr>
                <w:p>
                  <w:pPr>
                    <w:keepLines/>
                    <w:widowControl/>
                    <w:spacing w:after="0" w:before="0" w:line="240" w:lineRule="auto"/>
                  </w:pPr>
                  <w:r>
                    <w:rPr>
                      <w:rFonts w:ascii="Arial" w:hAnsi="Arial"/>
                      <w:b w:val="0"/>
                      <w:sz w:val="18"/>
                    </w:rPr>
                    <w:t>Access fails, model changes or 80% cap reached: pilot early, cache vectors, log failures, freeze model identifiers and retain local retrieval. Verify embedding access in T05; integration buffer T10.</w:t>
                  </w:r>
                </w:p>
              </w:tc>
            </w:tr>
            <w:tr>
              <w:trPr>
                <w:cantSplit/>
              </w:trPr>
              <w:tc>
                <w:tcPr>
                  <w:tcW w:type="dxa" w:w="2232"/>
                </w:tcPr>
                <w:p>
                  <w:pPr>
                    <w:keepLines/>
                    <w:widowControl/>
                    <w:spacing w:after="0" w:before="0" w:line="240" w:lineRule="auto"/>
                  </w:pPr>
                  <w:r>
                    <w:rPr>
                      <w:rFonts w:ascii="Arial" w:hAnsi="Arial"/>
                      <w:b w:val="0"/>
                      <w:sz w:val="18"/>
                    </w:rPr>
                    <w:t>R5 Annotation/leakage</w:t>
                  </w:r>
                </w:p>
              </w:tc>
              <w:tc>
                <w:tcPr>
                  <w:tcW w:type="dxa" w:w="792"/>
                </w:tcPr>
                <w:p>
                  <w:pPr>
                    <w:keepLines/>
                    <w:widowControl/>
                    <w:spacing w:after="0" w:before="0" w:line="240" w:lineRule="auto"/>
                  </w:pPr>
                  <w:r>
                    <w:rPr>
                      <w:rFonts w:ascii="Arial" w:hAnsi="Arial"/>
                      <w:b w:val="0"/>
                      <w:sz w:val="18"/>
                    </w:rPr>
                    <w:t>M / H</w:t>
                  </w:r>
                </w:p>
              </w:tc>
              <w:tc>
                <w:tcPr>
                  <w:tcW w:type="dxa" w:w="7056"/>
                </w:tcPr>
                <w:p>
                  <w:pPr>
                    <w:keepLines/>
                    <w:widowControl/>
                    <w:spacing w:after="0" w:before="0" w:line="240" w:lineRule="auto"/>
                  </w:pPr>
                  <w:r>
                    <w:rPr>
                      <w:rFonts w:ascii="Arial" w:hAnsi="Arial"/>
                      <w:b w:val="0"/>
                      <w:sz w:val="18"/>
                    </w:rPr>
                    <w:t>Ambiguous labels or related facts cross splits: grouped split, separate label recheck and immutable freeze before testing; mask configuration during scoring. T07/T11/T12.</w:t>
                  </w:r>
                </w:p>
              </w:tc>
            </w:tr>
            <w:tr>
              <w:trPr>
                <w:cantSplit/>
              </w:trPr>
              <w:tc>
                <w:tcPr>
                  <w:tcW w:type="dxa" w:w="2232"/>
                </w:tcPr>
                <w:p>
                  <w:pPr>
                    <w:keepLines/>
                    <w:widowControl/>
                    <w:spacing w:after="0" w:before="0" w:line="240" w:lineRule="auto"/>
                  </w:pPr>
                  <w:r>
                    <w:rPr>
                      <w:rFonts w:ascii="Arial" w:hAnsi="Arial"/>
                      <w:b w:val="0"/>
                      <w:sz w:val="18"/>
                    </w:rPr>
                    <w:t>R6 Data permissions</w:t>
                  </w:r>
                </w:p>
              </w:tc>
              <w:tc>
                <w:tcPr>
                  <w:tcW w:type="dxa" w:w="792"/>
                </w:tcPr>
                <w:p>
                  <w:pPr>
                    <w:keepLines/>
                    <w:widowControl/>
                    <w:spacing w:after="0" w:before="0" w:line="240" w:lineRule="auto"/>
                  </w:pPr>
                  <w:r>
                    <w:rPr>
                      <w:rFonts w:ascii="Arial" w:hAnsi="Arial"/>
                      <w:b w:val="0"/>
                      <w:sz w:val="18"/>
                    </w:rPr>
                    <w:t>M / H</w:t>
                  </w:r>
                </w:p>
              </w:tc>
              <w:tc>
                <w:tcPr>
                  <w:tcW w:type="dxa" w:w="7056"/>
                </w:tcPr>
                <w:p>
                  <w:pPr>
                    <w:keepLines/>
                    <w:widowControl/>
                    <w:spacing w:after="0" w:before="0" w:line="240" w:lineRule="auto"/>
                  </w:pPr>
                  <w:r>
                    <w:rPr>
                      <w:rFonts w:ascii="Arial" w:hAnsi="Arial"/>
                      <w:b w:val="0"/>
                      <w:sz w:val="18"/>
                    </w:rPr>
                    <w:t>Cloud rights unresolved: keep affected files local and select authorised replacements before corpus freeze. T03/T06.</w:t>
                  </w:r>
                </w:p>
              </w:tc>
            </w:tr>
            <w:tr>
              <w:trPr>
                <w:cantSplit/>
              </w:trPr>
              <w:tc>
                <w:tcPr>
                  <w:tcW w:type="dxa" w:w="2232"/>
                </w:tcPr>
                <w:p>
                  <w:pPr>
                    <w:keepLines/>
                    <w:widowControl/>
                    <w:spacing w:after="0" w:before="0" w:line="240" w:lineRule="auto"/>
                  </w:pPr>
                  <w:r>
                    <w:rPr>
                      <w:rFonts w:ascii="Arial" w:hAnsi="Arial"/>
                      <w:b w:val="0"/>
                      <w:sz w:val="18"/>
                    </w:rPr>
                    <w:t>R7 Schedule/scope</w:t>
                  </w:r>
                </w:p>
              </w:tc>
              <w:tc>
                <w:tcPr>
                  <w:tcW w:type="dxa" w:w="792"/>
                </w:tcPr>
                <w:p>
                  <w:pPr>
                    <w:keepLines/>
                    <w:widowControl/>
                    <w:spacing w:after="0" w:before="0" w:line="240" w:lineRule="auto"/>
                  </w:pPr>
                  <w:r>
                    <w:rPr>
                      <w:rFonts w:ascii="Arial" w:hAnsi="Arial"/>
                      <w:b w:val="0"/>
                      <w:sz w:val="18"/>
                    </w:rPr>
                    <w:t>M / H</w:t>
                  </w:r>
                </w:p>
              </w:tc>
              <w:tc>
                <w:tcPr>
                  <w:tcW w:type="dxa" w:w="7056"/>
                </w:tcPr>
                <w:p>
                  <w:pPr>
                    <w:keepLines/>
                    <w:widowControl/>
                    <w:spacing w:after="0" w:before="0" w:line="240" w:lineRule="auto"/>
                  </w:pPr>
                  <w:r>
                    <w:rPr>
                      <w:rFonts w:ascii="Arial" w:hAnsi="Arial"/>
                      <w:b w:val="0"/>
                      <w:sz w:val="18"/>
                    </w:rPr>
                    <w:t>Milestone slips: protect the planned 1–14 February break (Week 22–23); prioritise five comparisons and finish report/video by Week 21, with Week 24 checks. Recheck date mapping and timed annotation/scoring pilots; keep OCR/drawings out of scope. T11–T15; preserve Symposium attendance.</w:t>
                  </w:r>
                </w:p>
              </w:tc>
            </w:tr>
            <w:tr>
              <w:trPr>
                <w:cantSplit/>
              </w:trPr>
              <w:tc>
                <w:tcPr>
                  <w:tcW w:type="dxa" w:w="2232"/>
                </w:tcPr>
                <w:p>
                  <w:pPr>
                    <w:keepLines/>
                    <w:widowControl/>
                    <w:spacing w:after="0" w:before="0" w:line="240" w:lineRule="auto"/>
                  </w:pPr>
                  <w:r>
                    <w:rPr>
                      <w:rFonts w:ascii="Arial" w:hAnsi="Arial"/>
                      <w:b w:val="0"/>
                      <w:sz w:val="18"/>
                    </w:rPr>
                    <w:t>R8 Data loss</w:t>
                  </w:r>
                </w:p>
              </w:tc>
              <w:tc>
                <w:tcPr>
                  <w:tcW w:type="dxa" w:w="792"/>
                </w:tcPr>
                <w:p>
                  <w:pPr>
                    <w:keepLines/>
                    <w:widowControl/>
                    <w:spacing w:after="0" w:before="0" w:line="240" w:lineRule="auto"/>
                  </w:pPr>
                  <w:r>
                    <w:rPr>
                      <w:rFonts w:ascii="Arial" w:hAnsi="Arial"/>
                      <w:b w:val="0"/>
                      <w:sz w:val="18"/>
                    </w:rPr>
                    <w:t>L / H</w:t>
                  </w:r>
                </w:p>
              </w:tc>
              <w:tc>
                <w:tcPr>
                  <w:tcW w:type="dxa" w:w="7056"/>
                </w:tcPr>
                <w:p>
                  <w:pPr>
                    <w:keepLines/>
                    <w:widowControl/>
                    <w:spacing w:after="0" w:before="0" w:line="240" w:lineRule="auto"/>
                  </w:pPr>
                  <w:r>
                    <w:rPr>
                      <w:rFonts w:ascii="Arial" w:hAnsi="Arial"/>
                      <w:b w:val="0"/>
                      <w:sz w:val="18"/>
                    </w:rPr>
                    <w:t>Missing/corrupt files: version code and labels, back up to separate approved storage and test restoration. T16, throughout.</w:t>
                  </w:r>
                </w:p>
              </w:tc>
            </w:tr>
          </w:tbl>
          <w:p/>
        </w:tc>
      </w:tr>
      <w:tr>
        <w:trPr>
          <w:trHeight w:hRule="auto"/>
          <w:cantSplit/>
        </w:trPr>
        <w:tc>
          <w:tcPr>
            <w:tcW w:type="dxa" w:w="10317"/>
          </w:tcPr>
          <w:p/>
          <w:p>
            <w:pPr>
              <w:keepLines/>
              <w:widowControl/>
              <w:spacing w:after="60" w:before="0" w:line="240" w:lineRule="auto"/>
            </w:pPr>
            <w:r>
              <w:rPr>
                <w:rFonts w:ascii="Arial" w:hAnsi="Arial"/>
                <w:b w:val="0"/>
                <w:sz w:val="20"/>
              </w:rPr>
              <w:t>If an alternative provider becomes necessary, repeat all affected comparisons with the same replacement configuration; do not mix favourable outputs from different models. A local retrieval demo is a fallback deliverable, not evidence that online QA or hybrid evaluation has passed.</w:t>
            </w:r>
          </w:p>
        </w:tc>
      </w:tr>
    </w:tbl>
    <w:p w14:paraId="47BA48C7" w14:textId="77777777" w:rsidR="003D43FD" w:rsidRDefault="003D43FD">
      <w:pPr>
        <w:spacing w:line="40" w:lineRule="exact" w:after="0" w:before="0"/>
        <w:rPr>
          <w:rFonts w:ascii="Arial" w:eastAsia="Arial" w:hAnsi="Arial" w:cs="Arial"/>
          <w:i/>
          <w:iCs/>
        </w:rPr>
      </w:pPr>
    </w:p>
    <w:p w14:paraId="5086C944" w14:textId="77777777" w:rsidR="003D43FD" w:rsidRDefault="003D43FD">
      <w:pPr>
        <w:spacing w:line="40" w:lineRule="exact" w:after="0" w:before="0"/>
        <w:rPr>
          <w:rFonts w:ascii="Arial" w:eastAsia="Arial" w:hAnsi="Arial" w:cs="Arial"/>
          <w:i/>
          <w:iCs/>
        </w:rPr>
      </w:pPr>
    </w:p>
    <w:p w14:paraId="5DE420C6" w14:textId="77777777" w:rsidR="003D43FD" w:rsidRDefault="003D43FD">
      <w:pPr>
        <w:spacing w:line="40" w:lineRule="exact" w:after="0" w:before="0"/>
        <w:rPr>
          <w:rFonts w:ascii="Arial" w:eastAsia="Arial" w:hAnsi="Arial" w:cs="Arial"/>
          <w:i/>
          <w:iCs/>
        </w:rPr>
      </w:pPr>
    </w:p>
    <w:p w14:paraId="13CA3B6D" w14:textId="77777777" w:rsidR="003D43FD" w:rsidRDefault="00000000">
      <w:pPr>
        <w:keepNext/>
        <w:spacing w:line="259" w:lineRule="auto"/>
        <w:rPr>
          <w:rFonts w:ascii="Arial" w:eastAsia="Arial" w:hAnsi="Arial" w:cs="Arial"/>
          <w:b/>
          <w:bCs/>
          <w:i/>
          <w:iCs/>
          <w:sz w:val="22"/>
          <w:szCs w:val="22"/>
        </w:rPr>
      </w:pPr>
      <w:r>
        <w:rPr>
          <w:rFonts w:ascii="Arial" w:eastAsia="Arial" w:hAnsi="Arial" w:cs="Arial"/>
          <w:b/>
          <w:bCs/>
          <w:i/>
          <w:iCs/>
          <w:sz w:val="22"/>
          <w:szCs w:val="22"/>
        </w:rPr>
        <w:t>Security</w:t>
      </w:r>
    </w:p>
    <w:tbl>
      <w:tblPr>
        <w:tblStyle w:val="a6"/>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trPr>
        <w:tc>
          <w:tcPr>
            <w:tcW w:type="dxa" w:w="10317"/>
          </w:tcPr>
          <w:p>
            <w:pPr>
              <w:keepLines/>
              <w:widowControl/>
              <w:spacing w:after="0" w:before="0" w:line="20" w:lineRule="exact"/>
            </w:pPr>
          </w:p>
          <w:p>
            <w:pPr>
              <w:keepLines/>
              <w:widowControl/>
              <w:spacing w:after="60" w:before="0" w:line="240" w:lineRule="auto"/>
            </w:pPr>
            <w:r>
              <w:rPr>
                <w:rFonts w:ascii="Arial" w:hAnsi="Arial"/>
                <w:b w:val="0"/>
                <w:sz w:val="20"/>
              </w:rPr>
              <w:t>Protect API credentials, permitted document content and evaluation labels. Keep keys in an ignored local environment file and out of exports; rotate any exposed key. Bind the demo to localhost. Treat retrieved text as untrusted data: it cannot change system rules or execute tools. Limit upload type/size, isolate parser errors and validate citation identifiers and excerpts. Keep the test set and experiment configurations versioned; minimise logs and back up restricted files only to approved storage.</w:t>
            </w:r>
          </w:p>
        </w:tc>
      </w:tr>
    </w:tbl>
    <w:p w14:paraId="075F4859" w14:textId="77777777" w:rsidR="003D43FD" w:rsidRDefault="003D43FD">
      <w:pPr>
        <w:spacing w:line="40" w:lineRule="exact" w:after="0" w:before="0"/>
        <w:rPr>
          <w:rFonts w:ascii="Arial" w:eastAsia="Arial" w:hAnsi="Arial" w:cs="Arial"/>
          <w:i/>
          <w:iCs/>
        </w:rPr>
      </w:pPr>
    </w:p>
    <w:p w14:paraId="6D6728E4" w14:textId="77777777" w:rsidR="003D43FD" w:rsidRDefault="003D43FD">
      <w:pPr>
        <w:spacing w:line="40" w:lineRule="exact" w:after="0" w:before="0"/>
        <w:rPr>
          <w:rFonts w:ascii="Arial" w:eastAsia="Arial" w:hAnsi="Arial" w:cs="Arial"/>
          <w:b/>
          <w:bCs/>
          <w:i/>
          <w:iCs/>
          <w:sz w:val="20"/>
          <w:szCs w:val="20"/>
        </w:rPr>
      </w:pPr>
    </w:p>
    <w:p w14:paraId="29989343" w14:textId="77777777" w:rsidR="003D43FD" w:rsidRDefault="00000000">
      <w:pPr>
        <w:keepNext/>
        <w:spacing w:line="259" w:lineRule="auto"/>
        <w:rPr>
          <w:rFonts w:ascii="Arial" w:eastAsia="Arial" w:hAnsi="Arial" w:cs="Arial"/>
          <w:i/>
          <w:iCs/>
        </w:rPr>
      </w:pPr>
      <w:r>
        <w:rPr>
          <w:rFonts w:ascii="Arial" w:eastAsia="Arial" w:hAnsi="Arial" w:cs="Arial"/>
          <w:b/>
          <w:bCs/>
          <w:i/>
          <w:iCs/>
          <w:sz w:val="20"/>
          <w:szCs w:val="20"/>
        </w:rPr>
        <w:t>Safety</w:t>
      </w:r>
      <w:r>
        <w:rPr>
          <w:rFonts w:ascii="Arial" w:eastAsia="Arial" w:hAnsi="Arial" w:cs="Arial"/>
          <w:i/>
          <w:iCs/>
          <w:sz w:val="20"/>
          <w:szCs w:val="20"/>
        </w:rPr>
        <w:t>:</w:t>
      </w:r>
    </w:p>
    <w:p w14:paraId="5D56427C" w14:textId="77777777" w:rsidR="003D43FD" w:rsidRDefault="003D43FD">
      <w:pPr>
        <w:spacing w:after="0" w:before="0" w:line="40" w:lineRule="exact"/>
        <w:rPr>
          <w:rFonts w:ascii="Arial" w:eastAsia="Arial" w:hAnsi="Arial" w:cs="Arial"/>
          <w:sz w:val="8"/>
          <w:szCs w:val="8"/>
        </w:rPr>
      </w:pPr>
    </w:p>
    <w:tbl>
      <w:tblPr>
        <w:tblStyle w:val="a7"/>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trPr>
        <w:tc>
          <w:tcPr>
            <w:tcW w:type="dxa" w:w="10317"/>
          </w:tcPr>
          <w:p>
            <w:pPr>
              <w:keepLines/>
              <w:widowControl/>
              <w:spacing w:after="0" w:before="0" w:line="20" w:lineRule="exact"/>
            </w:pPr>
          </w:p>
          <w:p>
            <w:pPr>
              <w:keepLines/>
              <w:widowControl/>
              <w:spacing w:after="60" w:before="0" w:line="240" w:lineRule="auto"/>
            </w:pPr>
            <w:r>
              <w:rPr>
                <w:rFonts w:ascii="Arial" w:hAnsi="Arial"/>
                <w:b w:val="0"/>
                <w:sz w:val="20"/>
              </w:rPr>
              <w:t>Specialist laboratory required: No. The project will involve computer-based document processing, software development and local demonstrations. It will not involve railway access, live contact systems, high-voltage equipment, workshop manufacture or hardware modification. The researcher will use an ordinary workstation and follow the School's applicable computer-use and electrical-safety procedures.</w:t>
            </w:r>
          </w:p>
          <w:p>
            <w:pPr>
              <w:keepLines/>
              <w:widowControl/>
              <w:spacing w:after="60" w:before="0" w:line="240" w:lineRule="auto"/>
            </w:pPr>
            <w:r>
              <w:rPr>
                <w:rFonts w:ascii="Arial" w:hAnsi="Arial"/>
                <w:b w:val="0"/>
                <w:sz w:val="20"/>
              </w:rPr>
              <w:t>The following table identifies the hazards and precautions for the computer-based project. L/M/H denote low/medium/high likelihood and impact. Residual ratings assume that the listed controls are applied; they do not represent measured accident rates.</w:t>
            </w:r>
          </w:p>
          <w:tbl>
            <w:tblPr>
              <w:tblStyle w:val="TableGrid"/>
              <w:tblW w:type="auto" w:w="0"/>
              <w:tblLayout w:type="fixed"/>
              <w:tblLook w:firstColumn="1" w:firstRow="1" w:lastColumn="0" w:lastRow="0" w:noHBand="0" w:noVBand="1" w:val="04A0"/>
            </w:tblPr>
            <w:tblGrid>
              <w:gridCol w:w="2016"/>
              <w:gridCol w:w="1080"/>
              <w:gridCol w:w="5760"/>
              <w:gridCol w:w="1224"/>
            </w:tblGrid>
            <w:tr>
              <w:trPr>
                <w:cantSplit/>
                <w:tblHeader/>
              </w:trPr>
              <w:tc>
                <w:tcPr>
                  <w:tcW w:type="dxa" w:w="2016"/>
                </w:tcPr>
                <w:p>
                  <w:pPr>
                    <w:keepLines/>
                    <w:widowControl/>
                    <w:spacing w:after="0" w:before="0" w:line="240" w:lineRule="auto"/>
                  </w:pPr>
                  <w:r>
                    <w:rPr>
                      <w:rFonts w:ascii="Arial" w:hAnsi="Arial"/>
                      <w:b/>
                      <w:sz w:val="18"/>
                    </w:rPr>
                    <w:t>Hazard / persons affected</w:t>
                  </w:r>
                </w:p>
              </w:tc>
              <w:tc>
                <w:tcPr>
                  <w:tcW w:type="dxa" w:w="1080"/>
                </w:tcPr>
                <w:p>
                  <w:pPr>
                    <w:keepLines/>
                    <w:widowControl/>
                    <w:spacing w:after="0" w:before="0" w:line="240" w:lineRule="auto"/>
                  </w:pPr>
                  <w:r>
                    <w:rPr>
                      <w:rFonts w:ascii="Arial" w:hAnsi="Arial"/>
                      <w:b/>
                      <w:sz w:val="18"/>
                    </w:rPr>
                    <w:t>Initial L/I</w:t>
                  </w:r>
                </w:p>
              </w:tc>
              <w:tc>
                <w:tcPr>
                  <w:tcW w:type="dxa" w:w="5760"/>
                </w:tcPr>
                <w:p>
                  <w:pPr>
                    <w:keepLines/>
                    <w:widowControl/>
                    <w:spacing w:after="0" w:before="0" w:line="240" w:lineRule="auto"/>
                  </w:pPr>
                  <w:r>
                    <w:rPr>
                      <w:rFonts w:ascii="Arial" w:hAnsi="Arial"/>
                      <w:b/>
                      <w:sz w:val="18"/>
                    </w:rPr>
                    <w:t>Planned precautions</w:t>
                  </w:r>
                </w:p>
              </w:tc>
              <w:tc>
                <w:tcPr>
                  <w:tcW w:type="dxa" w:w="1224"/>
                </w:tcPr>
                <w:p>
                  <w:pPr>
                    <w:keepLines/>
                    <w:widowControl/>
                    <w:spacing w:after="0" w:before="0" w:line="240" w:lineRule="auto"/>
                  </w:pPr>
                  <w:r>
                    <w:rPr>
                      <w:rFonts w:ascii="Arial" w:hAnsi="Arial"/>
                      <w:b/>
                      <w:sz w:val="18"/>
                    </w:rPr>
                    <w:t>Residual L/I</w:t>
                  </w:r>
                </w:p>
              </w:tc>
            </w:tr>
            <w:tr>
              <w:trPr>
                <w:cantSplit/>
              </w:trPr>
              <w:tc>
                <w:tcPr>
                  <w:tcW w:type="dxa" w:w="2016"/>
                </w:tcPr>
                <w:p>
                  <w:pPr>
                    <w:keepLines/>
                    <w:widowControl/>
                    <w:spacing w:after="0" w:before="0" w:line="240" w:lineRule="auto"/>
                  </w:pPr>
                  <w:r>
                    <w:rPr>
                      <w:rFonts w:ascii="Arial" w:hAnsi="Arial"/>
                      <w:b w:val="0"/>
                      <w:sz w:val="18"/>
                    </w:rPr>
                    <w:t>Prolonged screen work / researcher</w:t>
                  </w:r>
                </w:p>
              </w:tc>
              <w:tc>
                <w:tcPr>
                  <w:tcW w:type="dxa" w:w="1080"/>
                </w:tcPr>
                <w:p>
                  <w:pPr>
                    <w:keepLines/>
                    <w:widowControl/>
                    <w:spacing w:after="0" w:before="0" w:line="240" w:lineRule="auto"/>
                  </w:pPr>
                  <w:r>
                    <w:rPr>
                      <w:rFonts w:ascii="Arial" w:hAnsi="Arial"/>
                      <w:b w:val="0"/>
                      <w:sz w:val="18"/>
                    </w:rPr>
                    <w:t>M/L</w:t>
                  </w:r>
                </w:p>
              </w:tc>
              <w:tc>
                <w:tcPr>
                  <w:tcW w:type="dxa" w:w="5760"/>
                </w:tcPr>
                <w:p>
                  <w:pPr>
                    <w:keepLines/>
                    <w:widowControl/>
                    <w:spacing w:after="0" w:before="0" w:line="240" w:lineRule="auto"/>
                  </w:pPr>
                  <w:r>
                    <w:rPr>
                      <w:rFonts w:ascii="Arial" w:hAnsi="Arial"/>
                      <w:b w:val="0"/>
                      <w:sz w:val="18"/>
                    </w:rPr>
                    <w:t>Adjust seating and display position, use suitable lighting, take regular breaks and vary tasks to reduce fatigue and strain.</w:t>
                  </w:r>
                </w:p>
              </w:tc>
              <w:tc>
                <w:tcPr>
                  <w:tcW w:type="dxa" w:w="1224"/>
                </w:tcPr>
                <w:p>
                  <w:pPr>
                    <w:keepLines/>
                    <w:widowControl/>
                    <w:spacing w:after="0" w:before="0" w:line="240" w:lineRule="auto"/>
                  </w:pPr>
                  <w:r>
                    <w:rPr>
                      <w:rFonts w:ascii="Arial" w:hAnsi="Arial"/>
                      <w:b w:val="0"/>
                      <w:sz w:val="18"/>
                    </w:rPr>
                    <w:t>L/L</w:t>
                  </w:r>
                </w:p>
              </w:tc>
            </w:tr>
            <w:tr>
              <w:trPr>
                <w:cantSplit/>
              </w:trPr>
              <w:tc>
                <w:tcPr>
                  <w:tcW w:type="dxa" w:w="2016"/>
                </w:tcPr>
                <w:p>
                  <w:pPr>
                    <w:keepLines/>
                    <w:widowControl/>
                    <w:spacing w:after="0" w:before="0" w:line="240" w:lineRule="auto"/>
                  </w:pPr>
                  <w:r>
                    <w:rPr>
                      <w:rFonts w:ascii="Arial" w:hAnsi="Arial"/>
                      <w:b w:val="0"/>
                      <w:sz w:val="18"/>
                    </w:rPr>
                    <w:t>Damaged computer power equipment / researcher</w:t>
                  </w:r>
                </w:p>
              </w:tc>
              <w:tc>
                <w:tcPr>
                  <w:tcW w:type="dxa" w:w="1080"/>
                </w:tcPr>
                <w:p>
                  <w:pPr>
                    <w:keepLines/>
                    <w:widowControl/>
                    <w:spacing w:after="0" w:before="0" w:line="240" w:lineRule="auto"/>
                  </w:pPr>
                  <w:r>
                    <w:rPr>
                      <w:rFonts w:ascii="Arial" w:hAnsi="Arial"/>
                      <w:b w:val="0"/>
                      <w:sz w:val="18"/>
                    </w:rPr>
                    <w:t>L/H</w:t>
                  </w:r>
                </w:p>
              </w:tc>
              <w:tc>
                <w:tcPr>
                  <w:tcW w:type="dxa" w:w="5760"/>
                </w:tcPr>
                <w:p>
                  <w:pPr>
                    <w:keepLines/>
                    <w:widowControl/>
                    <w:spacing w:after="0" w:before="0" w:line="240" w:lineRule="auto"/>
                  </w:pPr>
                  <w:r>
                    <w:rPr>
                      <w:rFonts w:ascii="Arial" w:hAnsi="Arial"/>
                      <w:b w:val="0"/>
                      <w:sz w:val="18"/>
                    </w:rPr>
                    <w:t>Use suitable intact power supplies, keep liquids away, avoid overloaded sockets and stop using damaged or overheating equipment; report faults rather than attempt electrical repair.</w:t>
                  </w:r>
                </w:p>
              </w:tc>
              <w:tc>
                <w:tcPr>
                  <w:tcW w:type="dxa" w:w="1224"/>
                </w:tcPr>
                <w:p>
                  <w:pPr>
                    <w:keepLines/>
                    <w:widowControl/>
                    <w:spacing w:after="0" w:before="0" w:line="240" w:lineRule="auto"/>
                  </w:pPr>
                  <w:r>
                    <w:rPr>
                      <w:rFonts w:ascii="Arial" w:hAnsi="Arial"/>
                      <w:b w:val="0"/>
                      <w:sz w:val="18"/>
                    </w:rPr>
                    <w:t>L/H</w:t>
                  </w:r>
                </w:p>
              </w:tc>
            </w:tr>
            <w:tr>
              <w:trPr>
                <w:cantSplit/>
              </w:trPr>
              <w:tc>
                <w:tcPr>
                  <w:tcW w:type="dxa" w:w="2016"/>
                </w:tcPr>
                <w:p>
                  <w:pPr>
                    <w:keepLines/>
                    <w:widowControl/>
                    <w:spacing w:after="0" w:before="0" w:line="240" w:lineRule="auto"/>
                  </w:pPr>
                  <w:r>
                    <w:rPr>
                      <w:rFonts w:ascii="Arial" w:hAnsi="Arial"/>
                      <w:b w:val="0"/>
                      <w:sz w:val="18"/>
                    </w:rPr>
                    <w:t>Trailing leads or obstructed workspace / researcher and nearby users</w:t>
                  </w:r>
                </w:p>
              </w:tc>
              <w:tc>
                <w:tcPr>
                  <w:tcW w:type="dxa" w:w="1080"/>
                </w:tcPr>
                <w:p>
                  <w:pPr>
                    <w:keepLines/>
                    <w:widowControl/>
                    <w:spacing w:after="0" w:before="0" w:line="240" w:lineRule="auto"/>
                  </w:pPr>
                  <w:r>
                    <w:rPr>
                      <w:rFonts w:ascii="Arial" w:hAnsi="Arial"/>
                      <w:b w:val="0"/>
                      <w:sz w:val="18"/>
                    </w:rPr>
                    <w:t>M/M</w:t>
                  </w:r>
                </w:p>
              </w:tc>
              <w:tc>
                <w:tcPr>
                  <w:tcW w:type="dxa" w:w="5760"/>
                </w:tcPr>
                <w:p>
                  <w:pPr>
                    <w:keepLines/>
                    <w:widowControl/>
                    <w:spacing w:after="0" w:before="0" w:line="240" w:lineRule="auto"/>
                  </w:pPr>
                  <w:r>
                    <w:rPr>
                      <w:rFonts w:ascii="Arial" w:hAnsi="Arial"/>
                      <w:b w:val="0"/>
                      <w:sz w:val="18"/>
                    </w:rPr>
                    <w:t>Route cables away from walkways and keep the desk, floor and exits clear.</w:t>
                  </w:r>
                </w:p>
              </w:tc>
              <w:tc>
                <w:tcPr>
                  <w:tcW w:type="dxa" w:w="1224"/>
                </w:tcPr>
                <w:p>
                  <w:pPr>
                    <w:keepLines/>
                    <w:widowControl/>
                    <w:spacing w:after="0" w:before="0" w:line="240" w:lineRule="auto"/>
                  </w:pPr>
                  <w:r>
                    <w:rPr>
                      <w:rFonts w:ascii="Arial" w:hAnsi="Arial"/>
                      <w:b w:val="0"/>
                      <w:sz w:val="18"/>
                    </w:rPr>
                    <w:t>L/M</w:t>
                  </w:r>
                </w:p>
              </w:tc>
            </w:tr>
          </w:tbl>
          <w:p/>
          <w:p>
            <w:pPr>
              <w:keepLines/>
              <w:widowControl/>
              <w:spacing w:after="60" w:before="0" w:line="240" w:lineRule="auto"/>
            </w:pPr>
            <w:r>
              <w:rPr>
                <w:rFonts w:ascii="Arial" w:hAnsi="Arial"/>
                <w:b w:val="0"/>
                <w:sz w:val="20"/>
              </w:rPr>
              <w:t>The researcher will review these precautions when the workspace or project scope changes and report incidents through the School's procedures. Any move to laboratory or railway work will require a separate assessment before it starts. The supervisor will review the assessment and its controls before practical work begins. Any separately prescribed School risk-assessment form will also be completed before that work; this Proposal does not replace it.</w:t>
            </w:r>
          </w:p>
          <w:p>
            <w:pPr>
              <w:keepLines/>
              <w:widowControl/>
              <w:spacing w:after="60" w:before="0" w:line="240" w:lineRule="auto"/>
            </w:pPr>
            <w:r>
              <w:rPr>
                <w:rFonts w:ascii="Arial" w:hAnsi="Arial"/>
                <w:b w:val="0"/>
                <w:sz w:val="20"/>
              </w:rPr>
              <w:t>My project work will not be covered by existing Risk Assessments. A new one is required. Yes [ ] / No [x].</w:t>
            </w:r>
          </w:p>
          <w:p>
            <w:pPr>
              <w:keepLines/>
              <w:widowControl/>
              <w:spacing w:after="60" w:before="0" w:line="240" w:lineRule="auto"/>
            </w:pPr>
            <w:r>
              <w:rPr>
                <w:rFonts w:ascii="Arial" w:hAnsi="Arial"/>
                <w:b w:val="0"/>
                <w:sz w:val="20"/>
              </w:rPr>
              <w:t>Safety declaration (to be confirmed by the student's signature): “I have attended the Safety Briefing (included in the ELEC3801 introductory lectures) and my attendance was recorded. I am aware that full Risk Assessments relating to project work within the School have been conducted. I agree to comply with all the relevant safety policies.”</w:t>
            </w:r>
          </w:p>
          <w:p>
            <w:pPr>
              <w:keepLines/>
              <w:widowControl/>
              <w:spacing w:after="60" w:before="0" w:line="240" w:lineRule="auto"/>
            </w:pPr>
            <w:r>
              <w:rPr>
                <w:rFonts w:ascii="Arial" w:hAnsi="Arial"/>
                <w:b w:val="0"/>
                <w:sz w:val="20"/>
              </w:rPr>
              <w:t>Student name: Junkai Huang. Student ID: 201804121.</w:t>
            </w:r>
          </w:p>
          <w:p>
            <w:pPr>
              <w:keepLines/>
              <w:widowControl/>
              <w:spacing w:after="60" w:before="0" w:line="240" w:lineRule="auto"/>
            </w:pPr>
            <w:r>
              <w:rPr>
                <w:rFonts w:ascii="Arial" w:hAnsi="Arial"/>
                <w:b w:val="0"/>
                <w:sz w:val="20"/>
              </w:rPr>
              <w:t>Student signature: ____________________ Date: __________.</w:t>
            </w:r>
          </w:p>
        </w:tc>
      </w:tr>
    </w:tbl>
    <w:p w14:paraId="410487F0" w14:textId="77777777" w:rsidR="003D43FD" w:rsidRDefault="003D43FD">
      <w:pPr>
        <w:spacing w:after="0" w:before="0" w:line="40" w:lineRule="exact"/>
      </w:pPr>
    </w:p>
    <w:p w14:paraId="65DFC7B8" w14:textId="77777777" w:rsidR="003D43FD" w:rsidRDefault="00000000">
      <w:pPr>
        <w:spacing w:after="0" w:before="0" w:line="40" w:lineRule="exact"/>
      </w:pPr>
      <w:r>
        <w:rPr>
          <w:sz w:val="4"/>
        </w:rPr>
        <w:br/>
      </w:r>
    </w:p>
    <w:p w14:paraId="54FDCD43" w14:textId="77777777" w:rsidR="003D43FD" w:rsidRDefault="003D43FD">
      <w:pPr>
        <w:spacing w:after="0" w:before="0" w:line="40" w:lineRule="exact"/>
      </w:pPr>
    </w:p>
    <w:tbl>
      <w:tblPr>
        <w:tblStyle w:val="a8"/>
        <w:tblW w:w="10317"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0317"/>
      </w:tblGrid>
      <w:tr>
        <w:trPr>
          <w:trHeight w:hRule="auto"/>
          <w:cantSplit/>
        </w:trPr>
        <w:tc>
          <w:tcPr>
            <w:tcW w:type="dxa" w:w="10317"/>
          </w:tcPr>
          <w:p>
            <w:pPr>
              <w:keepLines/>
              <w:widowControl/>
              <w:spacing w:after="0" w:before="0" w:line="20" w:lineRule="exact"/>
            </w:pPr>
          </w:p>
          <w:p>
            <w:pPr>
              <w:keepLines/>
              <w:widowControl/>
              <w:spacing w:after="60" w:before="0" w:line="240" w:lineRule="auto"/>
            </w:pPr>
            <w:r>
              <w:rPr>
                <w:rFonts w:ascii="Arial" w:hAnsi="Arial"/>
                <w:b w:val="0"/>
                <w:sz w:val="20"/>
              </w:rPr>
              <w:t>Before submission, the supervisor should review this form, including the ethics assessment and project-specific safety assessment, and approve it below.</w:t>
            </w:r>
          </w:p>
          <w:p>
            <w:pPr>
              <w:keepLines/>
              <w:widowControl/>
              <w:spacing w:after="60" w:before="0" w:line="240" w:lineRule="auto"/>
            </w:pPr>
            <w:r>
              <w:rPr>
                <w:rFonts w:ascii="Arial" w:hAnsi="Arial"/>
                <w:b w:val="0"/>
                <w:sz w:val="20"/>
              </w:rPr>
              <w:t>Supervisor approval (to be confirmed by signature): “My student has completed this form satisfactorily and is aware of their safety responsibilities.”</w:t>
            </w:r>
          </w:p>
          <w:p>
            <w:pPr>
              <w:keepLines/>
              <w:widowControl/>
              <w:spacing w:after="60" w:before="0" w:line="240" w:lineRule="auto"/>
            </w:pPr>
            <w:r>
              <w:rPr>
                <w:rFonts w:ascii="Arial" w:hAnsi="Arial"/>
                <w:b w:val="0"/>
                <w:sz w:val="20"/>
              </w:rPr>
              <w:t>Supervisor name: Deqing Huang.</w:t>
            </w:r>
          </w:p>
          <w:p>
            <w:pPr>
              <w:keepLines/>
              <w:widowControl/>
              <w:spacing w:after="60" w:before="0" w:line="240" w:lineRule="auto"/>
            </w:pPr>
            <w:r>
              <w:rPr>
                <w:rFonts w:ascii="Arial" w:hAnsi="Arial"/>
                <w:b w:val="0"/>
                <w:sz w:val="20"/>
              </w:rPr>
              <w:t>Supervisor signature or confirmation: ____________________ Date: __________.</w:t>
            </w:r>
          </w:p>
        </w:tc>
      </w:tr>
    </w:tbl>
    <w:p w14:paraId="69F07741" w14:textId="77777777" w:rsidR="003D43FD" w:rsidRDefault="003D43FD">
      <w:pPr>
        <w:spacing w:after="0" w:before="0" w:line="40" w:lineRule="exact"/>
        <w:rPr>
          <w:rFonts w:ascii="Arial" w:eastAsia="Arial" w:hAnsi="Arial" w:cs="Arial"/>
          <w:sz w:val="20"/>
          <w:szCs w:val="20"/>
        </w:rPr>
      </w:pPr>
    </w:p>
    <w:p w14:paraId="491BF61E" w14:textId="77777777" w:rsidR="003D43FD" w:rsidRDefault="003D43FD">
      <w:pPr>
        <w:spacing w:after="0" w:before="0" w:line="40" w:lineRule="exact"/>
        <w:ind w:firstLine="720"/>
        <w:rPr>
          <w:rFonts w:ascii="Arial" w:eastAsia="Arial" w:hAnsi="Arial" w:cs="Arial"/>
          <w:sz w:val="20"/>
          <w:szCs w:val="20"/>
        </w:rPr>
      </w:pPr>
    </w:p>
    <w:sectPr w:rsidR="003D43FD">
      <w:pgSz w:w="11907" w:h="16840"/>
      <w:pgMar w:top="720" w:right="720" w:bottom="720" w:left="72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4589C" w14:textId="77777777" w:rsidR="006F0D48" w:rsidRDefault="006F0D48">
      <w:r>
        <w:separator/>
      </w:r>
    </w:p>
  </w:endnote>
  <w:endnote w:type="continuationSeparator" w:id="0">
    <w:p w14:paraId="084B3CFE" w14:textId="77777777" w:rsidR="006F0D48" w:rsidRDefault="006F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3D28" w14:textId="77777777" w:rsidR="003D43FD" w:rsidRDefault="00000000">
    <w:pPr>
      <w:pBdr>
        <w:top w:val="nil"/>
        <w:left w:val="nil"/>
        <w:bottom w:val="nil"/>
        <w:right w:val="nil"/>
        <w:between w:val="nil"/>
      </w:pBdr>
      <w:tabs>
        <w:tab w:val="center" w:pos="4320"/>
        <w:tab w:val="right" w:pos="8640"/>
      </w:tabs>
      <w:rPr>
        <w:color w:val="000000"/>
      </w:rPr>
    </w:pPr>
    <w:r>
      <w:rPr>
        <w:rFonts w:ascii="Arial" w:eastAsia="Arial" w:hAnsi="Arial" w:cs="Arial"/>
        <w:color w:val="000000"/>
        <w:sz w:val="14"/>
        <w:szCs w:val="14"/>
      </w:rPr>
      <w:t>ELEC38</w:t>
    </w:r>
    <w:r>
      <w:rPr>
        <w:rFonts w:ascii="Arial" w:eastAsia="Arial" w:hAnsi="Arial" w:cs="Arial"/>
        <w:sz w:val="14"/>
        <w:szCs w:val="14"/>
      </w:rPr>
      <w:t>01</w:t>
    </w:r>
    <w:r>
      <w:rPr>
        <w:rFonts w:ascii="Arial" w:eastAsia="Arial" w:hAnsi="Arial" w:cs="Arial"/>
        <w:color w:val="000000"/>
        <w:sz w:val="14"/>
        <w:szCs w:val="14"/>
      </w:rPr>
      <w:t xml:space="preserve"> Project Proposal Form                                                                                                                                                                     </w:t>
    </w:r>
    <w:r>
      <w:rPr>
        <w:rFonts w:ascii="Arial" w:eastAsia="Arial" w:hAnsi="Arial" w:cs="Arial"/>
        <w:b/>
        <w:bCs/>
        <w:color w:val="000000"/>
        <w:sz w:val="16"/>
        <w:szCs w:val="16"/>
      </w:rPr>
      <w:t xml:space="preserve">Page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PAGE</w:instrText>
    </w:r>
    <w:r>
      <w:rPr>
        <w:rFonts w:ascii="Arial" w:eastAsia="Arial" w:hAnsi="Arial" w:cs="Arial"/>
        <w:b/>
        <w:bCs/>
        <w:color w:val="000000"/>
        <w:sz w:val="16"/>
        <w:szCs w:val="16"/>
      </w:rPr>
      <w:fldChar w:fldCharType="separate"/>
    </w:r>
    <w:r w:rsidR="00476420">
      <w:rPr>
        <w:rFonts w:ascii="Arial" w:eastAsia="Arial" w:hAnsi="Arial" w:cs="Arial"/>
        <w:b/>
        <w:bCs/>
        <w:noProof/>
        <w:color w:val="000000"/>
        <w:sz w:val="16"/>
        <w:szCs w:val="16"/>
      </w:rPr>
      <w:t>1</w:t>
    </w:r>
    <w:r>
      <w:rPr>
        <w:rFonts w:ascii="Arial" w:eastAsia="Arial" w:hAnsi="Arial" w:cs="Arial"/>
        <w:b/>
        <w:bCs/>
        <w:color w:val="000000"/>
        <w:sz w:val="16"/>
        <w:szCs w:val="16"/>
      </w:rPr>
      <w:fldChar w:fldCharType="end"/>
    </w:r>
    <w:r>
      <w:rPr>
        <w:rFonts w:ascii="Arial" w:eastAsia="Arial" w:hAnsi="Arial" w:cs="Arial"/>
        <w:b/>
        <w:bCs/>
        <w:color w:val="000000"/>
        <w:sz w:val="16"/>
        <w:szCs w:val="16"/>
      </w:rPr>
      <w:t xml:space="preserve"> of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NUMPAGES</w:instrText>
    </w:r>
    <w:r>
      <w:rPr>
        <w:rFonts w:ascii="Arial" w:eastAsia="Arial" w:hAnsi="Arial" w:cs="Arial"/>
        <w:b/>
        <w:bCs/>
        <w:color w:val="000000"/>
        <w:sz w:val="16"/>
        <w:szCs w:val="16"/>
      </w:rPr>
      <w:fldChar w:fldCharType="separate"/>
    </w:r>
    <w:r w:rsidR="00476420">
      <w:rPr>
        <w:rFonts w:ascii="Arial" w:eastAsia="Arial" w:hAnsi="Arial" w:cs="Arial"/>
        <w:b/>
        <w:bCs/>
        <w:noProof/>
        <w:color w:val="000000"/>
        <w:sz w:val="16"/>
        <w:szCs w:val="16"/>
      </w:rPr>
      <w:t>2</w:t>
    </w:r>
    <w:r>
      <w:rPr>
        <w:rFonts w:ascii="Arial" w:eastAsia="Arial" w:hAnsi="Arial" w:cs="Arial"/>
        <w:b/>
        <w:bCs/>
        <w:color w:val="000000"/>
        <w:sz w:val="16"/>
        <w:szCs w:val="16"/>
      </w:rPr>
      <w:fldChar w:fldCharType="end"/>
    </w:r>
    <w:r>
      <w:rPr>
        <w:rFonts w:ascii="Arial" w:eastAsia="Arial" w:hAnsi="Arial" w:cs="Arial"/>
        <w:color w:val="00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09BF" w14:textId="77777777" w:rsidR="006F0D48" w:rsidRDefault="006F0D48">
      <w:r>
        <w:separator/>
      </w:r>
    </w:p>
  </w:footnote>
  <w:footnote w:type="continuationSeparator" w:id="0">
    <w:p w14:paraId="227CE4FE" w14:textId="77777777" w:rsidR="006F0D48" w:rsidRDefault="006F0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5664B"/>
    <w:multiLevelType w:val="multilevel"/>
    <w:tmpl w:val="33A47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585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3FD"/>
    <w:rsid w:val="003D43FD"/>
    <w:rsid w:val="00476420"/>
    <w:rsid w:val="00615A94"/>
    <w:rsid w:val="006F0D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2FB0"/>
  <w15:docId w15:val="{DF865A5E-D0B9-4418-88F8-40F33B11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5CB"/>
    <w:rPr>
      <w:lang w:eastAsia="en-US"/>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rsid w:val="003258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E3207A"/>
    <w:pPr>
      <w:tabs>
        <w:tab w:val="center" w:pos="4320"/>
        <w:tab w:val="right" w:pos="8640"/>
      </w:tabs>
    </w:pPr>
  </w:style>
  <w:style w:type="paragraph" w:styleId="Footer">
    <w:name w:val="footer"/>
    <w:basedOn w:val="Normal"/>
    <w:rsid w:val="00E3207A"/>
    <w:pPr>
      <w:tabs>
        <w:tab w:val="center" w:pos="4320"/>
        <w:tab w:val="right" w:pos="8640"/>
      </w:tabs>
    </w:pPr>
  </w:style>
  <w:style w:type="character" w:styleId="PageNumber">
    <w:name w:val="page number"/>
    <w:basedOn w:val="DefaultParagraphFont"/>
    <w:rsid w:val="00E3207A"/>
  </w:style>
  <w:style w:type="paragraph" w:styleId="BalloonText">
    <w:name w:val="Balloon Text"/>
    <w:basedOn w:val="Normal"/>
    <w:semiHidden/>
    <w:rsid w:val="00C6277B"/>
    <w:rPr>
      <w:rFonts w:ascii="Tahoma" w:hAnsi="Tahoma" w:cs="Tahoma"/>
      <w:sz w:val="16"/>
      <w:szCs w:val="16"/>
    </w:rPr>
  </w:style>
  <w:style w:type="character" w:styleId="Hyperlink">
    <w:name w:val="Hyperlink"/>
    <w:uiPriority w:val="99"/>
    <w:unhideWhenUsed/>
    <w:rsid w:val="00713601"/>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13" w:type="dxa"/>
        <w:left w:w="115" w:type="dxa"/>
        <w:bottom w:w="113"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www.leeds.ac.uk/ethics" TargetMode="External"/><Relationship Id="rId13" Type="http://schemas.openxmlformats.org/officeDocument/2006/relationships/hyperlink" Target="https://papers.nips.cc/paper_files/paper/2020/hash/6b493230205f780e1bc26945df7481e5-Abstract.html" TargetMode="External"/><Relationship Id="rId14" Type="http://schemas.openxmlformats.org/officeDocument/2006/relationships/hyperlink" Target="https://doi.org/10.1561/1500000019" TargetMode="External"/><Relationship Id="rId15" Type="http://schemas.openxmlformats.org/officeDocument/2006/relationships/hyperlink" Target="https://doi.org/10.18653/v1/2020.emnlp-main.550" TargetMode="External"/><Relationship Id="rId16" Type="http://schemas.openxmlformats.org/officeDocument/2006/relationships/hyperlink" Target="https://doi.org/10.18653/v1/2023.emnlp-main.322" TargetMode="External"/><Relationship Id="rId17" Type="http://schemas.openxmlformats.org/officeDocument/2006/relationships/hyperlink" Target="https://proceedings.mlr.press/v202/shi23a.html" TargetMode="External"/><Relationship Id="rId18" Type="http://schemas.openxmlformats.org/officeDocument/2006/relationships/hyperlink" Target="https://doi.org/10.18653/v1/2024.eacl-demo.16"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Vkn65hUjMpQvO6UT5xz2QD0lA==">CgMxLjAyCGguZ2pkZ3hzMgppZC4zMGowemxsMg5oLnBwd2ZqNWI4OW1ndDgAciExUS02Ynk1NDFFOUJLdk5DelJlZTJJcFJTWE9aUVR1TEI=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Sadegh Azizi</cp:lastModifiedBy>
  <cp:revision>2</cp:revision>
  <dcterms:created xsi:type="dcterms:W3CDTF">2022-11-14T09:20:00Z</dcterms:created>
  <dcterms:modified xsi:type="dcterms:W3CDTF">2026-09-27T12:09:00Z</dcterms:modified>
  <dc:title>A Study on a Large-Model-Based Intelligent Question-Answering System for the Overhead Contact System Field</dc:title>
  <dc:subject>ELEC3801 2026–27 Project Proposal Form</dc:subject>
  <dc:description>School Proposal Form; prepared for signature; no signature, attendance record or approval asserted.</dc:description>
</cp:coreProperties>
</file>