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396EC" w14:textId="77777777" w:rsidR="00CF5285" w:rsidRDefault="00000000">
      <w:pPr>
        <w:pStyle w:val="Heading1"/>
        <w:jc w:val="center"/>
      </w:pPr>
      <w:r>
        <w:rPr>
          <w:rFonts w:ascii="Times New Roman" w:hAnsi="Times New Roman"/>
        </w:rPr>
        <w:t>Molecular Dynamics Simulation Results</w:t>
      </w:r>
    </w:p>
    <w:p w14:paraId="6141CE26" w14:textId="77777777" w:rsidR="00CF5285" w:rsidRDefault="00000000">
      <w:pPr>
        <w:pStyle w:val="Heading2"/>
      </w:pPr>
      <w:r>
        <w:rPr>
          <w:rFonts w:ascii="Times New Roman" w:hAnsi="Times New Roman"/>
        </w:rPr>
        <w:t>Protein trimer remained structurally stable during restrained production simulations</w:t>
      </w:r>
    </w:p>
    <w:p w14:paraId="348E6FA8" w14:textId="77777777" w:rsidR="00CF5285" w:rsidRDefault="00000000">
      <w:pPr>
        <w:ind w:firstLine="288"/>
      </w:pPr>
      <w:r>
        <w:rPr>
          <w:rFonts w:ascii="Times New Roman" w:hAnsi="Times New Roman"/>
          <w:sz w:val="21"/>
        </w:rPr>
        <w:t>Three independent 100 ns molecular dynamics replicas were performed to evaluate the stability of the protein-DES complex. Under the restrained-protein production condition, the three-chain protein assembly was maintained throughout the simulations. The protein RMSD was low and highly reproducible across replicas, with an average value of 0.0242 +/- 0.0005 nm. The radius of gyration was also stable, averaging 2.2355 +/- 0.0042 nm, indicating that the overall compactness of the trimer was preserved during the 100 ns production trajectories. Residue-level RMSF analysis further showed limited protein fluctuation, with an average RMSF of 0.0285 +/- 0.0001 nm across the three replicas.</w:t>
      </w:r>
    </w:p>
    <w:p w14:paraId="575E506E" w14:textId="77777777" w:rsidR="00CF5285" w:rsidRDefault="00000000">
      <w:pPr>
        <w:ind w:firstLine="288"/>
      </w:pPr>
      <w:r>
        <w:rPr>
          <w:rFonts w:ascii="Times New Roman" w:hAnsi="Times New Roman"/>
          <w:sz w:val="21"/>
        </w:rPr>
        <w:t>These results indicate that the restrained-protein production protocol maintained the integrity of the small trimeric protein assembly and avoided artificial dissociation of the short peptide chains under the intended restraint condition. Therefore, the subsequent ligand-contact analysis reflects ligand motion relative to a structurally preserved protein surface rather than protein collapse or trimer separation.</w:t>
      </w:r>
    </w:p>
    <w:p w14:paraId="584061FA" w14:textId="77777777" w:rsidR="00CF5285" w:rsidRDefault="00000000">
      <w:pPr>
        <w:pStyle w:val="Heading2"/>
      </w:pPr>
      <w:r>
        <w:rPr>
          <w:rFonts w:ascii="Times New Roman" w:hAnsi="Times New Roman"/>
        </w:rPr>
        <w:t>Ligands showed dynamic surface mobility rather than fixed pocket-like binding</w:t>
      </w:r>
    </w:p>
    <w:p w14:paraId="38FBA1BE" w14:textId="77777777" w:rsidR="00CF5285" w:rsidRDefault="00000000">
      <w:pPr>
        <w:ind w:firstLine="288"/>
      </w:pPr>
      <w:r>
        <w:rPr>
          <w:rFonts w:ascii="Times New Roman" w:hAnsi="Times New Roman"/>
          <w:sz w:val="21"/>
        </w:rPr>
        <w:t>The two DES components displayed different degrees of mobility relative to the protein surface. CA1 showed a lower ligand pose RMSD than LYS1, with an average pose RMSD of 1.37 +/- 1.47 nm, whereas LYS1 showed a higher average pose RMSD of 3.64 +/- 1.00 nm. In contrast, ligand self RMSD values remained low for both ligands, averaging 0.118 +/- 0.026 nm for CA1 and 0.133 +/- 0.003 nm for LYS1. Thus, the ligands did not undergo major internal conformational distortion during the simulations. Instead, the larger pose RMSD values mainly reflected translation and rotation of the ligands relative to the protein surface.</w:t>
      </w:r>
    </w:p>
    <w:p w14:paraId="2878BB69" w14:textId="77777777" w:rsidR="00CF5285" w:rsidRDefault="00000000">
      <w:pPr>
        <w:ind w:firstLine="288"/>
      </w:pPr>
      <w:r>
        <w:rPr>
          <w:rFonts w:ascii="Times New Roman" w:hAnsi="Times New Roman"/>
          <w:sz w:val="21"/>
        </w:rPr>
        <w:t>This distinction between pose RMSD and self RMSD is important for interpreting the system. The protein does not contain a defined buried binding pocket, and the ligand behavior was therefore not expected to resemble a rigid lock-and-key binding mode. The observed ligand mobility is more consistent with weak and dynamic surface association.</w:t>
      </w:r>
    </w:p>
    <w:p w14:paraId="3ABA6643" w14:textId="77777777" w:rsidR="00CF5285" w:rsidRDefault="00000000">
      <w:pPr>
        <w:pStyle w:val="Heading2"/>
      </w:pPr>
      <w:r>
        <w:rPr>
          <w:rFonts w:ascii="Times New Roman" w:hAnsi="Times New Roman"/>
        </w:rPr>
        <w:t>Initial PLIP interaction analysis explained the early CA1 hydrogen-bond enrichment</w:t>
      </w:r>
    </w:p>
    <w:p w14:paraId="1BF1FE3F" w14:textId="77777777" w:rsidR="00CF5285" w:rsidRDefault="00000000">
      <w:pPr>
        <w:ind w:firstLine="288"/>
      </w:pPr>
      <w:r>
        <w:rPr>
          <w:rFonts w:ascii="Times New Roman" w:hAnsi="Times New Roman"/>
          <w:sz w:val="21"/>
        </w:rPr>
        <w:t>PLIP analysis of the initial docking-derived complex revealed a clear difference between CA1 and LYS1 in their starting interaction patterns. CA1 formed a multi-point polar interaction network with the protein surface, including hydrogen bonds with ARG10A, ARG10B, and GLU11A. In addition, CA1 formed a salt bridge between its carboxylate group and ARG8C. These contacts are chemically reasonable because CA1 contains multiple carboxylate/oxygen-containing groups and was modeled as a negatively charged ligand component.</w:t>
      </w:r>
    </w:p>
    <w:p w14:paraId="2DB36B90" w14:textId="77777777" w:rsidR="00CF5285" w:rsidRDefault="00000000">
      <w:pPr>
        <w:ind w:firstLine="288"/>
      </w:pPr>
      <w:r>
        <w:rPr>
          <w:rFonts w:ascii="Times New Roman" w:hAnsi="Times New Roman"/>
          <w:sz w:val="21"/>
        </w:rPr>
        <w:t>In contrast, LYS1 showed fewer initial contacts in the PLIP analysis, including one hydrogen bond with ARG17B and one hydrophobic contact with PRO19C. Thus, the initial complex already favored stronger polar anchoring of CA1 than LYS1. This initial interaction pattern explains why CA1 displayed a relatively high hydrogen-bond number at the beginning of the production simulations. Importantly, the subsequent MD trajectories showed that these initial CA1 contacts were not rigidly maintained; instead, they partially reorganized while recurrent hydrogen bonding and high contact occupancy persisted. Therefore, the PLIP and MD results together support weak dynamic surface association rather than strong pocket-like binding.</w:t>
      </w:r>
    </w:p>
    <w:p w14:paraId="57324163" w14:textId="77777777" w:rsidR="00CF5285" w:rsidRDefault="00000000">
      <w:pPr>
        <w:pStyle w:val="Heading2"/>
      </w:pPr>
      <w:r>
        <w:rPr>
          <w:rFonts w:ascii="Times New Roman" w:hAnsi="Times New Roman"/>
        </w:rPr>
        <w:lastRenderedPageBreak/>
        <w:t>Hydrogen-bond analysis supported recurrent polar contacts between DES components and the protein</w:t>
      </w:r>
    </w:p>
    <w:p w14:paraId="3E035725" w14:textId="77777777" w:rsidR="00CF5285" w:rsidRDefault="00000000">
      <w:pPr>
        <w:ind w:firstLine="288"/>
      </w:pPr>
      <w:r>
        <w:rPr>
          <w:rFonts w:ascii="Times New Roman" w:hAnsi="Times New Roman"/>
          <w:sz w:val="21"/>
        </w:rPr>
        <w:t>Hydrogen-bond analysis showed that both ligand components were able to form polar contacts with the protein, but the extent of interaction differed between CA1 and LYS1. Across the full 0-100 ns trajectories, CA1 formed more frequent hydrogen bonds with the protein, with an average of 3.38 +/- 1.70 hydrogen bonds across the three replicas. Because CA1 showed a high hydrogen-bond number during the early relaxation period inherited from the docking-derived initial pose, a conservative post-relaxation analysis was also performed after excluding the first 20 ns. In the 20-100 ns interval, CA1 retained 2.95 +/- 1.77 hydrogen bonds on average, whereas LYS1 showed 1.26 +/- 1.88 hydrogen bonds.</w:t>
      </w:r>
    </w:p>
    <w:p w14:paraId="2132FAAA" w14:textId="77777777" w:rsidR="00CF5285" w:rsidRDefault="00000000">
      <w:pPr>
        <w:ind w:firstLine="288"/>
      </w:pPr>
      <w:r>
        <w:rPr>
          <w:rFonts w:ascii="Times New Roman" w:hAnsi="Times New Roman"/>
          <w:sz w:val="21"/>
        </w:rPr>
        <w:t>The higher hydrogen-bond frequency of CA1 suggests that CA1 contributed more strongly to recurrent polar interactions with the protein surface, whereas LYS1 behaved as a more transiently associated component. These data support the presence of hydrogen-bond-level dynamic association rather than complete ligand release or rigid ligand immobilization.</w:t>
      </w:r>
    </w:p>
    <w:p w14:paraId="3BC70587" w14:textId="77777777" w:rsidR="00CF5285" w:rsidRDefault="00000000">
      <w:pPr>
        <w:pStyle w:val="Heading2"/>
      </w:pPr>
      <w:r>
        <w:rPr>
          <w:rFonts w:ascii="Times New Roman" w:hAnsi="Times New Roman"/>
        </w:rPr>
        <w:t>Minimum-distance and contact-occupancy analyses confirmed weak dynamic surface association</w:t>
      </w:r>
    </w:p>
    <w:p w14:paraId="5D2BE79B" w14:textId="77777777" w:rsidR="00CF5285" w:rsidRDefault="00000000">
      <w:pPr>
        <w:ind w:firstLine="288"/>
      </w:pPr>
      <w:r>
        <w:rPr>
          <w:rFonts w:ascii="Times New Roman" w:hAnsi="Times New Roman"/>
          <w:sz w:val="21"/>
        </w:rPr>
        <w:t>To further characterize protein-ligand association, minimum heavy-atom distance, center-of-mass distance, and contact occupancy were calculated between the protein and each ligand component. CA1 showed substantially higher contact occupancy than LYS1 at all tested distance thresholds. Using a 0.35 nm minimum-distance cutoff, CA1 remained in contact with the protein for 85.1 +/- 20.0% of frames. The contact occupancy remained similar at 0.45 nm and 0.60 nm cutoffs, reaching 85.8 +/- 19.2% and 86.5 +/- 18.5%, respectively. The average CA1-protein minimum distance was 0.463 +/- 0.411 nm.</w:t>
      </w:r>
    </w:p>
    <w:p w14:paraId="7860FDCC" w14:textId="77777777" w:rsidR="00CF5285" w:rsidRDefault="00000000">
      <w:pPr>
        <w:ind w:firstLine="288"/>
      </w:pPr>
      <w:r>
        <w:rPr>
          <w:rFonts w:ascii="Times New Roman" w:hAnsi="Times New Roman"/>
          <w:sz w:val="21"/>
        </w:rPr>
        <w:t>LYS1 exhibited weaker and more variable contact behavior. Its contact occupancy was 45.0 +/- 39.4% at the 0.35 nm cutoff, 48.0 +/- 37.8% at the 0.45 nm cutoff, and 50.3 +/- 36.4% at the 0.60 nm cutoff. The average LYS1-protein minimum distance was 1.181 +/- 0.714 nm. These results indicate that LYS1 underwent more frequent detachment or loose-association events, whereas CA1 showed higher overall contact occupancy. However, CA1 also displayed replica-dependent reorganization, including partial detachment in one replica, indicating dynamic rather than rigid surface association.</w:t>
      </w:r>
    </w:p>
    <w:p w14:paraId="3BF568CE" w14:textId="77777777" w:rsidR="00CF5285" w:rsidRDefault="00000000">
      <w:pPr>
        <w:ind w:firstLine="288"/>
      </w:pPr>
      <w:r>
        <w:rPr>
          <w:rFonts w:ascii="Times New Roman" w:hAnsi="Times New Roman"/>
          <w:sz w:val="21"/>
        </w:rPr>
        <w:t>The center-of-mass distance was larger and more variable than the minimum-distance metric, especially for LYS1, which is expected for flexible surface-bound ligands. Therefore, minimum distance and contact occupancy provide a more informative description of weak surface association in this system than center-of-mass distance alone.</w:t>
      </w:r>
    </w:p>
    <w:p w14:paraId="50C27DAD" w14:textId="77777777" w:rsidR="00CF5285" w:rsidRDefault="00000000">
      <w:pPr>
        <w:pStyle w:val="Heading2"/>
      </w:pPr>
      <w:r>
        <w:rPr>
          <w:rFonts w:ascii="Times New Roman" w:hAnsi="Times New Roman"/>
        </w:rPr>
        <w:t>Summary of key MD-derived metrics</w:t>
      </w:r>
    </w:p>
    <w:tbl>
      <w:tblPr>
        <w:tblStyle w:val="TableGrid"/>
        <w:tblW w:w="0" w:type="auto"/>
        <w:jc w:val="center"/>
        <w:tblLook w:val="04A0" w:firstRow="1" w:lastRow="0" w:firstColumn="1" w:lastColumn="0" w:noHBand="0" w:noVBand="1"/>
      </w:tblPr>
      <w:tblGrid>
        <w:gridCol w:w="2340"/>
        <w:gridCol w:w="2340"/>
        <w:gridCol w:w="2340"/>
        <w:gridCol w:w="2340"/>
      </w:tblGrid>
      <w:tr w:rsidR="00CF5285" w14:paraId="0A87ACE9" w14:textId="77777777">
        <w:trPr>
          <w:jc w:val="center"/>
        </w:trPr>
        <w:tc>
          <w:tcPr>
            <w:tcW w:w="2340" w:type="dxa"/>
            <w:shd w:val="clear" w:color="auto" w:fill="D9EAF7"/>
            <w:vAlign w:val="center"/>
          </w:tcPr>
          <w:p w14:paraId="505C43B1" w14:textId="77777777" w:rsidR="00CF5285" w:rsidRDefault="00000000">
            <w:pPr>
              <w:spacing w:after="0"/>
            </w:pPr>
            <w:r>
              <w:rPr>
                <w:rFonts w:ascii="Times New Roman" w:hAnsi="Times New Roman"/>
                <w:b/>
                <w:sz w:val="19"/>
              </w:rPr>
              <w:t>Metric</w:t>
            </w:r>
          </w:p>
        </w:tc>
        <w:tc>
          <w:tcPr>
            <w:tcW w:w="2340" w:type="dxa"/>
            <w:shd w:val="clear" w:color="auto" w:fill="D9EAF7"/>
            <w:vAlign w:val="center"/>
          </w:tcPr>
          <w:p w14:paraId="7E9DC213" w14:textId="77777777" w:rsidR="00CF5285" w:rsidRDefault="00000000">
            <w:pPr>
              <w:spacing w:after="0"/>
            </w:pPr>
            <w:r>
              <w:rPr>
                <w:rFonts w:ascii="Times New Roman" w:hAnsi="Times New Roman"/>
                <w:b/>
                <w:sz w:val="19"/>
              </w:rPr>
              <w:t>Protein/ligand</w:t>
            </w:r>
          </w:p>
        </w:tc>
        <w:tc>
          <w:tcPr>
            <w:tcW w:w="2340" w:type="dxa"/>
            <w:shd w:val="clear" w:color="auto" w:fill="D9EAF7"/>
            <w:vAlign w:val="center"/>
          </w:tcPr>
          <w:p w14:paraId="052B5EDF" w14:textId="77777777" w:rsidR="00CF5285" w:rsidRDefault="00000000">
            <w:pPr>
              <w:spacing w:after="0"/>
            </w:pPr>
            <w:r>
              <w:rPr>
                <w:rFonts w:ascii="Times New Roman" w:hAnsi="Times New Roman"/>
                <w:b/>
                <w:sz w:val="19"/>
              </w:rPr>
              <w:t>Mean +/- SD</w:t>
            </w:r>
          </w:p>
        </w:tc>
        <w:tc>
          <w:tcPr>
            <w:tcW w:w="2340" w:type="dxa"/>
            <w:shd w:val="clear" w:color="auto" w:fill="D9EAF7"/>
            <w:vAlign w:val="center"/>
          </w:tcPr>
          <w:p w14:paraId="6BE3502D" w14:textId="77777777" w:rsidR="00CF5285" w:rsidRDefault="00000000">
            <w:pPr>
              <w:spacing w:after="0"/>
            </w:pPr>
            <w:r>
              <w:rPr>
                <w:rFonts w:ascii="Times New Roman" w:hAnsi="Times New Roman"/>
                <w:b/>
                <w:sz w:val="19"/>
              </w:rPr>
              <w:t>Interpretation</w:t>
            </w:r>
          </w:p>
        </w:tc>
      </w:tr>
      <w:tr w:rsidR="00CF5285" w14:paraId="0E40608D" w14:textId="77777777">
        <w:trPr>
          <w:jc w:val="center"/>
        </w:trPr>
        <w:tc>
          <w:tcPr>
            <w:tcW w:w="2340" w:type="dxa"/>
            <w:vAlign w:val="center"/>
          </w:tcPr>
          <w:p w14:paraId="120122F7" w14:textId="77777777" w:rsidR="00CF5285" w:rsidRDefault="00000000">
            <w:pPr>
              <w:spacing w:after="0"/>
            </w:pPr>
            <w:r>
              <w:rPr>
                <w:rFonts w:ascii="Times New Roman" w:hAnsi="Times New Roman"/>
                <w:sz w:val="19"/>
              </w:rPr>
              <w:t>Protein RMSD</w:t>
            </w:r>
          </w:p>
        </w:tc>
        <w:tc>
          <w:tcPr>
            <w:tcW w:w="2340" w:type="dxa"/>
            <w:vAlign w:val="center"/>
          </w:tcPr>
          <w:p w14:paraId="50A719AC" w14:textId="77777777" w:rsidR="00CF5285" w:rsidRDefault="00000000">
            <w:pPr>
              <w:spacing w:after="0"/>
            </w:pPr>
            <w:r>
              <w:rPr>
                <w:rFonts w:ascii="Times New Roman" w:hAnsi="Times New Roman"/>
                <w:sz w:val="19"/>
              </w:rPr>
              <w:t>Protein</w:t>
            </w:r>
          </w:p>
        </w:tc>
        <w:tc>
          <w:tcPr>
            <w:tcW w:w="2340" w:type="dxa"/>
            <w:vAlign w:val="center"/>
          </w:tcPr>
          <w:p w14:paraId="3590C150" w14:textId="77777777" w:rsidR="00CF5285" w:rsidRDefault="00000000">
            <w:pPr>
              <w:spacing w:after="0"/>
            </w:pPr>
            <w:r>
              <w:rPr>
                <w:rFonts w:ascii="Times New Roman" w:hAnsi="Times New Roman"/>
                <w:sz w:val="19"/>
              </w:rPr>
              <w:t>0.0242 +/- 0.0005 nm</w:t>
            </w:r>
          </w:p>
        </w:tc>
        <w:tc>
          <w:tcPr>
            <w:tcW w:w="2340" w:type="dxa"/>
            <w:vAlign w:val="center"/>
          </w:tcPr>
          <w:p w14:paraId="0D54EE23" w14:textId="77777777" w:rsidR="00CF5285" w:rsidRDefault="00000000">
            <w:pPr>
              <w:spacing w:after="0"/>
            </w:pPr>
            <w:r>
              <w:rPr>
                <w:rFonts w:ascii="Times New Roman" w:hAnsi="Times New Roman"/>
                <w:sz w:val="19"/>
              </w:rPr>
              <w:t>Trimer maintained under protein restraints</w:t>
            </w:r>
          </w:p>
        </w:tc>
      </w:tr>
      <w:tr w:rsidR="00CF5285" w14:paraId="450FBDE9" w14:textId="77777777">
        <w:trPr>
          <w:jc w:val="center"/>
        </w:trPr>
        <w:tc>
          <w:tcPr>
            <w:tcW w:w="2340" w:type="dxa"/>
            <w:vAlign w:val="center"/>
          </w:tcPr>
          <w:p w14:paraId="56C4BEAA" w14:textId="77777777" w:rsidR="00CF5285" w:rsidRDefault="00000000">
            <w:pPr>
              <w:spacing w:after="0"/>
            </w:pPr>
            <w:r>
              <w:rPr>
                <w:rFonts w:ascii="Times New Roman" w:hAnsi="Times New Roman"/>
                <w:sz w:val="19"/>
              </w:rPr>
              <w:t>Radius of gyration</w:t>
            </w:r>
          </w:p>
        </w:tc>
        <w:tc>
          <w:tcPr>
            <w:tcW w:w="2340" w:type="dxa"/>
            <w:vAlign w:val="center"/>
          </w:tcPr>
          <w:p w14:paraId="54D3577F" w14:textId="77777777" w:rsidR="00CF5285" w:rsidRDefault="00000000">
            <w:pPr>
              <w:spacing w:after="0"/>
            </w:pPr>
            <w:r>
              <w:rPr>
                <w:rFonts w:ascii="Times New Roman" w:hAnsi="Times New Roman"/>
                <w:sz w:val="19"/>
              </w:rPr>
              <w:t>Protein</w:t>
            </w:r>
          </w:p>
        </w:tc>
        <w:tc>
          <w:tcPr>
            <w:tcW w:w="2340" w:type="dxa"/>
            <w:vAlign w:val="center"/>
          </w:tcPr>
          <w:p w14:paraId="4AD097E0" w14:textId="77777777" w:rsidR="00CF5285" w:rsidRDefault="00000000">
            <w:pPr>
              <w:spacing w:after="0"/>
            </w:pPr>
            <w:r>
              <w:rPr>
                <w:rFonts w:ascii="Times New Roman" w:hAnsi="Times New Roman"/>
                <w:sz w:val="19"/>
              </w:rPr>
              <w:t>2.2355 +/- 0.0042 nm</w:t>
            </w:r>
          </w:p>
        </w:tc>
        <w:tc>
          <w:tcPr>
            <w:tcW w:w="2340" w:type="dxa"/>
            <w:vAlign w:val="center"/>
          </w:tcPr>
          <w:p w14:paraId="3F5F4611" w14:textId="77777777" w:rsidR="00CF5285" w:rsidRDefault="00000000">
            <w:pPr>
              <w:spacing w:after="0"/>
            </w:pPr>
            <w:r>
              <w:rPr>
                <w:rFonts w:ascii="Times New Roman" w:hAnsi="Times New Roman"/>
                <w:sz w:val="19"/>
              </w:rPr>
              <w:t>Compactness maintained under restraints</w:t>
            </w:r>
          </w:p>
        </w:tc>
      </w:tr>
      <w:tr w:rsidR="00CF5285" w14:paraId="1D99F32E" w14:textId="77777777">
        <w:trPr>
          <w:jc w:val="center"/>
        </w:trPr>
        <w:tc>
          <w:tcPr>
            <w:tcW w:w="2340" w:type="dxa"/>
            <w:vAlign w:val="center"/>
          </w:tcPr>
          <w:p w14:paraId="07F57548" w14:textId="77777777" w:rsidR="00CF5285" w:rsidRDefault="00000000">
            <w:pPr>
              <w:spacing w:after="0"/>
            </w:pPr>
            <w:r>
              <w:rPr>
                <w:rFonts w:ascii="Times New Roman" w:hAnsi="Times New Roman"/>
                <w:sz w:val="19"/>
              </w:rPr>
              <w:t>Protein RMSF</w:t>
            </w:r>
          </w:p>
        </w:tc>
        <w:tc>
          <w:tcPr>
            <w:tcW w:w="2340" w:type="dxa"/>
            <w:vAlign w:val="center"/>
          </w:tcPr>
          <w:p w14:paraId="6EA0F244" w14:textId="77777777" w:rsidR="00CF5285" w:rsidRDefault="00000000">
            <w:pPr>
              <w:spacing w:after="0"/>
            </w:pPr>
            <w:r>
              <w:rPr>
                <w:rFonts w:ascii="Times New Roman" w:hAnsi="Times New Roman"/>
                <w:sz w:val="19"/>
              </w:rPr>
              <w:t>Protein</w:t>
            </w:r>
          </w:p>
        </w:tc>
        <w:tc>
          <w:tcPr>
            <w:tcW w:w="2340" w:type="dxa"/>
            <w:vAlign w:val="center"/>
          </w:tcPr>
          <w:p w14:paraId="2F7B13DD" w14:textId="77777777" w:rsidR="00CF5285" w:rsidRDefault="00000000">
            <w:pPr>
              <w:spacing w:after="0"/>
            </w:pPr>
            <w:r>
              <w:rPr>
                <w:rFonts w:ascii="Times New Roman" w:hAnsi="Times New Roman"/>
                <w:sz w:val="19"/>
              </w:rPr>
              <w:t>0.0285 +/- 0.0001 nm</w:t>
            </w:r>
          </w:p>
        </w:tc>
        <w:tc>
          <w:tcPr>
            <w:tcW w:w="2340" w:type="dxa"/>
            <w:vAlign w:val="center"/>
          </w:tcPr>
          <w:p w14:paraId="1FB5D430" w14:textId="77777777" w:rsidR="00CF5285" w:rsidRDefault="00000000">
            <w:pPr>
              <w:spacing w:after="0"/>
            </w:pPr>
            <w:r>
              <w:rPr>
                <w:rFonts w:ascii="Times New Roman" w:hAnsi="Times New Roman"/>
                <w:sz w:val="19"/>
              </w:rPr>
              <w:t>Limited residue-level fluctuation</w:t>
            </w:r>
          </w:p>
        </w:tc>
      </w:tr>
      <w:tr w:rsidR="00CF5285" w14:paraId="43AA3BD2" w14:textId="77777777">
        <w:trPr>
          <w:jc w:val="center"/>
        </w:trPr>
        <w:tc>
          <w:tcPr>
            <w:tcW w:w="2340" w:type="dxa"/>
            <w:vAlign w:val="center"/>
          </w:tcPr>
          <w:p w14:paraId="3612F8F7" w14:textId="77777777" w:rsidR="00CF5285" w:rsidRDefault="00000000">
            <w:pPr>
              <w:spacing w:after="0"/>
            </w:pPr>
            <w:r>
              <w:rPr>
                <w:rFonts w:ascii="Times New Roman" w:hAnsi="Times New Roman"/>
                <w:sz w:val="19"/>
              </w:rPr>
              <w:t>Pose RMSD</w:t>
            </w:r>
          </w:p>
        </w:tc>
        <w:tc>
          <w:tcPr>
            <w:tcW w:w="2340" w:type="dxa"/>
            <w:vAlign w:val="center"/>
          </w:tcPr>
          <w:p w14:paraId="10E5D9A0" w14:textId="77777777" w:rsidR="00CF5285" w:rsidRDefault="00000000">
            <w:pPr>
              <w:spacing w:after="0"/>
            </w:pPr>
            <w:r>
              <w:rPr>
                <w:rFonts w:ascii="Times New Roman" w:hAnsi="Times New Roman"/>
                <w:sz w:val="19"/>
              </w:rPr>
              <w:t>CA1</w:t>
            </w:r>
          </w:p>
        </w:tc>
        <w:tc>
          <w:tcPr>
            <w:tcW w:w="2340" w:type="dxa"/>
            <w:vAlign w:val="center"/>
          </w:tcPr>
          <w:p w14:paraId="5CDA83F3" w14:textId="77777777" w:rsidR="00CF5285" w:rsidRDefault="00000000">
            <w:pPr>
              <w:spacing w:after="0"/>
            </w:pPr>
            <w:r>
              <w:rPr>
                <w:rFonts w:ascii="Times New Roman" w:hAnsi="Times New Roman"/>
                <w:sz w:val="19"/>
              </w:rPr>
              <w:t>1.37 +/- 1.47 nm</w:t>
            </w:r>
          </w:p>
        </w:tc>
        <w:tc>
          <w:tcPr>
            <w:tcW w:w="2340" w:type="dxa"/>
            <w:vAlign w:val="center"/>
          </w:tcPr>
          <w:p w14:paraId="4604DD4A" w14:textId="77777777" w:rsidR="00CF5285" w:rsidRDefault="00000000">
            <w:pPr>
              <w:spacing w:after="0"/>
            </w:pPr>
            <w:r>
              <w:rPr>
                <w:rFonts w:ascii="Times New Roman" w:hAnsi="Times New Roman"/>
                <w:sz w:val="19"/>
              </w:rPr>
              <w:t>Moderate surface mobility</w:t>
            </w:r>
          </w:p>
        </w:tc>
      </w:tr>
      <w:tr w:rsidR="00CF5285" w14:paraId="128AFC8C" w14:textId="77777777">
        <w:trPr>
          <w:jc w:val="center"/>
        </w:trPr>
        <w:tc>
          <w:tcPr>
            <w:tcW w:w="2340" w:type="dxa"/>
            <w:vAlign w:val="center"/>
          </w:tcPr>
          <w:p w14:paraId="74C5BC41" w14:textId="77777777" w:rsidR="00CF5285" w:rsidRDefault="00000000">
            <w:pPr>
              <w:spacing w:after="0"/>
            </w:pPr>
            <w:r>
              <w:rPr>
                <w:rFonts w:ascii="Times New Roman" w:hAnsi="Times New Roman"/>
                <w:sz w:val="19"/>
              </w:rPr>
              <w:t>Pose RMSD</w:t>
            </w:r>
          </w:p>
        </w:tc>
        <w:tc>
          <w:tcPr>
            <w:tcW w:w="2340" w:type="dxa"/>
            <w:vAlign w:val="center"/>
          </w:tcPr>
          <w:p w14:paraId="60D40911" w14:textId="77777777" w:rsidR="00CF5285" w:rsidRDefault="00000000">
            <w:pPr>
              <w:spacing w:after="0"/>
            </w:pPr>
            <w:r>
              <w:rPr>
                <w:rFonts w:ascii="Times New Roman" w:hAnsi="Times New Roman"/>
                <w:sz w:val="19"/>
              </w:rPr>
              <w:t>LYS1</w:t>
            </w:r>
          </w:p>
        </w:tc>
        <w:tc>
          <w:tcPr>
            <w:tcW w:w="2340" w:type="dxa"/>
            <w:vAlign w:val="center"/>
          </w:tcPr>
          <w:p w14:paraId="416CA9F7" w14:textId="77777777" w:rsidR="00CF5285" w:rsidRDefault="00000000">
            <w:pPr>
              <w:spacing w:after="0"/>
            </w:pPr>
            <w:r>
              <w:rPr>
                <w:rFonts w:ascii="Times New Roman" w:hAnsi="Times New Roman"/>
                <w:sz w:val="19"/>
              </w:rPr>
              <w:t>3.64 +/- 1.00 nm</w:t>
            </w:r>
          </w:p>
        </w:tc>
        <w:tc>
          <w:tcPr>
            <w:tcW w:w="2340" w:type="dxa"/>
            <w:vAlign w:val="center"/>
          </w:tcPr>
          <w:p w14:paraId="00C14BF1" w14:textId="77777777" w:rsidR="00CF5285" w:rsidRDefault="00000000">
            <w:pPr>
              <w:spacing w:after="0"/>
            </w:pPr>
            <w:r>
              <w:rPr>
                <w:rFonts w:ascii="Times New Roman" w:hAnsi="Times New Roman"/>
                <w:sz w:val="19"/>
              </w:rPr>
              <w:t>Higher surface mobility/detachment</w:t>
            </w:r>
          </w:p>
        </w:tc>
      </w:tr>
      <w:tr w:rsidR="00CF5285" w14:paraId="4EE3DDFD" w14:textId="77777777">
        <w:trPr>
          <w:jc w:val="center"/>
        </w:trPr>
        <w:tc>
          <w:tcPr>
            <w:tcW w:w="2340" w:type="dxa"/>
            <w:vAlign w:val="center"/>
          </w:tcPr>
          <w:p w14:paraId="79074FD6" w14:textId="77777777" w:rsidR="00CF5285" w:rsidRDefault="00000000">
            <w:pPr>
              <w:spacing w:after="0"/>
            </w:pPr>
            <w:r>
              <w:rPr>
                <w:rFonts w:ascii="Times New Roman" w:hAnsi="Times New Roman"/>
                <w:sz w:val="19"/>
              </w:rPr>
              <w:t>Self RMSD</w:t>
            </w:r>
          </w:p>
        </w:tc>
        <w:tc>
          <w:tcPr>
            <w:tcW w:w="2340" w:type="dxa"/>
            <w:vAlign w:val="center"/>
          </w:tcPr>
          <w:p w14:paraId="288ECD4D" w14:textId="77777777" w:rsidR="00CF5285" w:rsidRDefault="00000000">
            <w:pPr>
              <w:spacing w:after="0"/>
            </w:pPr>
            <w:r>
              <w:rPr>
                <w:rFonts w:ascii="Times New Roman" w:hAnsi="Times New Roman"/>
                <w:sz w:val="19"/>
              </w:rPr>
              <w:t>CA1</w:t>
            </w:r>
          </w:p>
        </w:tc>
        <w:tc>
          <w:tcPr>
            <w:tcW w:w="2340" w:type="dxa"/>
            <w:vAlign w:val="center"/>
          </w:tcPr>
          <w:p w14:paraId="0966CB22" w14:textId="77777777" w:rsidR="00CF5285" w:rsidRDefault="00000000">
            <w:pPr>
              <w:spacing w:after="0"/>
            </w:pPr>
            <w:r>
              <w:rPr>
                <w:rFonts w:ascii="Times New Roman" w:hAnsi="Times New Roman"/>
                <w:sz w:val="19"/>
              </w:rPr>
              <w:t>0.118 +/- 0.026 nm</w:t>
            </w:r>
          </w:p>
        </w:tc>
        <w:tc>
          <w:tcPr>
            <w:tcW w:w="2340" w:type="dxa"/>
            <w:vAlign w:val="center"/>
          </w:tcPr>
          <w:p w14:paraId="478B87C1" w14:textId="77777777" w:rsidR="00CF5285" w:rsidRDefault="00000000">
            <w:pPr>
              <w:spacing w:after="0"/>
            </w:pPr>
            <w:r>
              <w:rPr>
                <w:rFonts w:ascii="Times New Roman" w:hAnsi="Times New Roman"/>
                <w:sz w:val="19"/>
              </w:rPr>
              <w:t>No major internal distortion</w:t>
            </w:r>
          </w:p>
        </w:tc>
      </w:tr>
      <w:tr w:rsidR="00CF5285" w14:paraId="6311109D" w14:textId="77777777">
        <w:trPr>
          <w:jc w:val="center"/>
        </w:trPr>
        <w:tc>
          <w:tcPr>
            <w:tcW w:w="2340" w:type="dxa"/>
            <w:vAlign w:val="center"/>
          </w:tcPr>
          <w:p w14:paraId="16C81BD0" w14:textId="77777777" w:rsidR="00CF5285" w:rsidRDefault="00000000">
            <w:pPr>
              <w:spacing w:after="0"/>
            </w:pPr>
            <w:r>
              <w:rPr>
                <w:rFonts w:ascii="Times New Roman" w:hAnsi="Times New Roman"/>
                <w:sz w:val="19"/>
              </w:rPr>
              <w:t>Self RMSD</w:t>
            </w:r>
          </w:p>
        </w:tc>
        <w:tc>
          <w:tcPr>
            <w:tcW w:w="2340" w:type="dxa"/>
            <w:vAlign w:val="center"/>
          </w:tcPr>
          <w:p w14:paraId="15DFB96E" w14:textId="77777777" w:rsidR="00CF5285" w:rsidRDefault="00000000">
            <w:pPr>
              <w:spacing w:after="0"/>
            </w:pPr>
            <w:r>
              <w:rPr>
                <w:rFonts w:ascii="Times New Roman" w:hAnsi="Times New Roman"/>
                <w:sz w:val="19"/>
              </w:rPr>
              <w:t>LYS1</w:t>
            </w:r>
          </w:p>
        </w:tc>
        <w:tc>
          <w:tcPr>
            <w:tcW w:w="2340" w:type="dxa"/>
            <w:vAlign w:val="center"/>
          </w:tcPr>
          <w:p w14:paraId="42D973A6" w14:textId="77777777" w:rsidR="00CF5285" w:rsidRDefault="00000000">
            <w:pPr>
              <w:spacing w:after="0"/>
            </w:pPr>
            <w:r>
              <w:rPr>
                <w:rFonts w:ascii="Times New Roman" w:hAnsi="Times New Roman"/>
                <w:sz w:val="19"/>
              </w:rPr>
              <w:t>0.133 +/- 0.003 nm</w:t>
            </w:r>
          </w:p>
        </w:tc>
        <w:tc>
          <w:tcPr>
            <w:tcW w:w="2340" w:type="dxa"/>
            <w:vAlign w:val="center"/>
          </w:tcPr>
          <w:p w14:paraId="2B36741C" w14:textId="77777777" w:rsidR="00CF5285" w:rsidRDefault="00000000">
            <w:pPr>
              <w:spacing w:after="0"/>
            </w:pPr>
            <w:r>
              <w:rPr>
                <w:rFonts w:ascii="Times New Roman" w:hAnsi="Times New Roman"/>
                <w:sz w:val="19"/>
              </w:rPr>
              <w:t>No major internal distortion</w:t>
            </w:r>
          </w:p>
        </w:tc>
      </w:tr>
      <w:tr w:rsidR="00CF5285" w14:paraId="193219FC" w14:textId="77777777">
        <w:trPr>
          <w:jc w:val="center"/>
        </w:trPr>
        <w:tc>
          <w:tcPr>
            <w:tcW w:w="2340" w:type="dxa"/>
            <w:vAlign w:val="center"/>
          </w:tcPr>
          <w:p w14:paraId="20B74AF4" w14:textId="77777777" w:rsidR="00CF5285" w:rsidRDefault="00000000">
            <w:pPr>
              <w:spacing w:after="0"/>
            </w:pPr>
            <w:r>
              <w:rPr>
                <w:rFonts w:ascii="Times New Roman" w:hAnsi="Times New Roman"/>
                <w:sz w:val="19"/>
              </w:rPr>
              <w:t>Hydrogen bonds</w:t>
            </w:r>
          </w:p>
        </w:tc>
        <w:tc>
          <w:tcPr>
            <w:tcW w:w="2340" w:type="dxa"/>
            <w:vAlign w:val="center"/>
          </w:tcPr>
          <w:p w14:paraId="32C3260B" w14:textId="77777777" w:rsidR="00CF5285" w:rsidRDefault="00000000">
            <w:pPr>
              <w:spacing w:after="0"/>
            </w:pPr>
            <w:r>
              <w:rPr>
                <w:rFonts w:ascii="Times New Roman" w:hAnsi="Times New Roman"/>
                <w:sz w:val="19"/>
              </w:rPr>
              <w:t>CA1</w:t>
            </w:r>
          </w:p>
        </w:tc>
        <w:tc>
          <w:tcPr>
            <w:tcW w:w="2340" w:type="dxa"/>
            <w:vAlign w:val="center"/>
          </w:tcPr>
          <w:p w14:paraId="03973EB4" w14:textId="77777777" w:rsidR="00CF5285" w:rsidRDefault="00000000">
            <w:pPr>
              <w:spacing w:after="0"/>
            </w:pPr>
            <w:r>
              <w:rPr>
                <w:rFonts w:ascii="Times New Roman" w:hAnsi="Times New Roman"/>
                <w:sz w:val="19"/>
              </w:rPr>
              <w:t>3.38 +/- 1.70</w:t>
            </w:r>
          </w:p>
        </w:tc>
        <w:tc>
          <w:tcPr>
            <w:tcW w:w="2340" w:type="dxa"/>
            <w:vAlign w:val="center"/>
          </w:tcPr>
          <w:p w14:paraId="5C4D3689" w14:textId="77777777" w:rsidR="00CF5285" w:rsidRDefault="00000000">
            <w:pPr>
              <w:spacing w:after="0"/>
            </w:pPr>
            <w:r>
              <w:rPr>
                <w:rFonts w:ascii="Times New Roman" w:hAnsi="Times New Roman"/>
                <w:sz w:val="19"/>
              </w:rPr>
              <w:t>More frequent polar contact</w:t>
            </w:r>
          </w:p>
        </w:tc>
      </w:tr>
      <w:tr w:rsidR="00CF5285" w14:paraId="4D00277E" w14:textId="77777777">
        <w:trPr>
          <w:jc w:val="center"/>
        </w:trPr>
        <w:tc>
          <w:tcPr>
            <w:tcW w:w="2340" w:type="dxa"/>
            <w:vAlign w:val="center"/>
          </w:tcPr>
          <w:p w14:paraId="321BA7D2" w14:textId="77777777" w:rsidR="00CF5285" w:rsidRDefault="00000000">
            <w:pPr>
              <w:spacing w:after="0"/>
            </w:pPr>
            <w:r>
              <w:rPr>
                <w:rFonts w:ascii="Times New Roman" w:hAnsi="Times New Roman"/>
                <w:sz w:val="19"/>
              </w:rPr>
              <w:t>Hydrogen bonds</w:t>
            </w:r>
          </w:p>
        </w:tc>
        <w:tc>
          <w:tcPr>
            <w:tcW w:w="2340" w:type="dxa"/>
            <w:vAlign w:val="center"/>
          </w:tcPr>
          <w:p w14:paraId="6A0203DF" w14:textId="77777777" w:rsidR="00CF5285" w:rsidRDefault="00000000">
            <w:pPr>
              <w:spacing w:after="0"/>
            </w:pPr>
            <w:r>
              <w:rPr>
                <w:rFonts w:ascii="Times New Roman" w:hAnsi="Times New Roman"/>
                <w:sz w:val="19"/>
              </w:rPr>
              <w:t>LYS1</w:t>
            </w:r>
          </w:p>
        </w:tc>
        <w:tc>
          <w:tcPr>
            <w:tcW w:w="2340" w:type="dxa"/>
            <w:vAlign w:val="center"/>
          </w:tcPr>
          <w:p w14:paraId="6A5B6105" w14:textId="77777777" w:rsidR="00CF5285" w:rsidRDefault="00000000">
            <w:pPr>
              <w:spacing w:after="0"/>
            </w:pPr>
            <w:r>
              <w:rPr>
                <w:rFonts w:ascii="Times New Roman" w:hAnsi="Times New Roman"/>
                <w:sz w:val="19"/>
              </w:rPr>
              <w:t>1.18 +/- 1.47</w:t>
            </w:r>
          </w:p>
        </w:tc>
        <w:tc>
          <w:tcPr>
            <w:tcW w:w="2340" w:type="dxa"/>
            <w:vAlign w:val="center"/>
          </w:tcPr>
          <w:p w14:paraId="4EA5E2F1" w14:textId="77777777" w:rsidR="00CF5285" w:rsidRDefault="00000000">
            <w:pPr>
              <w:spacing w:after="0"/>
            </w:pPr>
            <w:r>
              <w:rPr>
                <w:rFonts w:ascii="Times New Roman" w:hAnsi="Times New Roman"/>
                <w:sz w:val="19"/>
              </w:rPr>
              <w:t>More heterogeneous polar contact</w:t>
            </w:r>
          </w:p>
        </w:tc>
      </w:tr>
      <w:tr w:rsidR="00CF5285" w14:paraId="570097FB" w14:textId="77777777">
        <w:trPr>
          <w:jc w:val="center"/>
        </w:trPr>
        <w:tc>
          <w:tcPr>
            <w:tcW w:w="2340" w:type="dxa"/>
            <w:vAlign w:val="center"/>
          </w:tcPr>
          <w:p w14:paraId="19F7F4DA" w14:textId="77777777" w:rsidR="00CF5285" w:rsidRDefault="00000000">
            <w:pPr>
              <w:spacing w:after="0"/>
            </w:pPr>
            <w:r>
              <w:rPr>
                <w:rFonts w:ascii="Times New Roman" w:hAnsi="Times New Roman"/>
                <w:sz w:val="19"/>
              </w:rPr>
              <w:t xml:space="preserve">Contact occupancy &lt;0.35 </w:t>
            </w:r>
            <w:r>
              <w:rPr>
                <w:rFonts w:ascii="Times New Roman" w:hAnsi="Times New Roman"/>
                <w:sz w:val="19"/>
              </w:rPr>
              <w:lastRenderedPageBreak/>
              <w:t>nm</w:t>
            </w:r>
          </w:p>
        </w:tc>
        <w:tc>
          <w:tcPr>
            <w:tcW w:w="2340" w:type="dxa"/>
            <w:vAlign w:val="center"/>
          </w:tcPr>
          <w:p w14:paraId="58790E22" w14:textId="77777777" w:rsidR="00CF5285" w:rsidRDefault="00000000">
            <w:pPr>
              <w:spacing w:after="0"/>
            </w:pPr>
            <w:r>
              <w:rPr>
                <w:rFonts w:ascii="Times New Roman" w:hAnsi="Times New Roman"/>
                <w:sz w:val="19"/>
              </w:rPr>
              <w:lastRenderedPageBreak/>
              <w:t>CA1</w:t>
            </w:r>
          </w:p>
        </w:tc>
        <w:tc>
          <w:tcPr>
            <w:tcW w:w="2340" w:type="dxa"/>
            <w:vAlign w:val="center"/>
          </w:tcPr>
          <w:p w14:paraId="37201E5F" w14:textId="77777777" w:rsidR="00CF5285" w:rsidRDefault="00000000">
            <w:pPr>
              <w:spacing w:after="0"/>
            </w:pPr>
            <w:r>
              <w:rPr>
                <w:rFonts w:ascii="Times New Roman" w:hAnsi="Times New Roman"/>
                <w:sz w:val="19"/>
              </w:rPr>
              <w:t>85.1 +/- 20.0%</w:t>
            </w:r>
          </w:p>
        </w:tc>
        <w:tc>
          <w:tcPr>
            <w:tcW w:w="2340" w:type="dxa"/>
            <w:vAlign w:val="center"/>
          </w:tcPr>
          <w:p w14:paraId="6639EB31" w14:textId="77777777" w:rsidR="00CF5285" w:rsidRDefault="00000000">
            <w:pPr>
              <w:spacing w:after="0"/>
            </w:pPr>
            <w:r>
              <w:rPr>
                <w:rFonts w:ascii="Times New Roman" w:hAnsi="Times New Roman"/>
                <w:sz w:val="19"/>
              </w:rPr>
              <w:t>Higher but replica-dependent contact</w:t>
            </w:r>
          </w:p>
        </w:tc>
      </w:tr>
      <w:tr w:rsidR="00CF5285" w14:paraId="7DB7E9A9" w14:textId="77777777">
        <w:trPr>
          <w:jc w:val="center"/>
        </w:trPr>
        <w:tc>
          <w:tcPr>
            <w:tcW w:w="2340" w:type="dxa"/>
            <w:vAlign w:val="center"/>
          </w:tcPr>
          <w:p w14:paraId="4CD36893" w14:textId="77777777" w:rsidR="00CF5285" w:rsidRDefault="00000000">
            <w:pPr>
              <w:spacing w:after="0"/>
            </w:pPr>
            <w:r>
              <w:rPr>
                <w:rFonts w:ascii="Times New Roman" w:hAnsi="Times New Roman"/>
                <w:sz w:val="19"/>
              </w:rPr>
              <w:lastRenderedPageBreak/>
              <w:t>Contact occupancy &lt;0.35 nm</w:t>
            </w:r>
          </w:p>
        </w:tc>
        <w:tc>
          <w:tcPr>
            <w:tcW w:w="2340" w:type="dxa"/>
            <w:vAlign w:val="center"/>
          </w:tcPr>
          <w:p w14:paraId="655FBAEC" w14:textId="77777777" w:rsidR="00CF5285" w:rsidRDefault="00000000">
            <w:pPr>
              <w:spacing w:after="0"/>
            </w:pPr>
            <w:r>
              <w:rPr>
                <w:rFonts w:ascii="Times New Roman" w:hAnsi="Times New Roman"/>
                <w:sz w:val="19"/>
              </w:rPr>
              <w:t>LYS1</w:t>
            </w:r>
          </w:p>
        </w:tc>
        <w:tc>
          <w:tcPr>
            <w:tcW w:w="2340" w:type="dxa"/>
            <w:vAlign w:val="center"/>
          </w:tcPr>
          <w:p w14:paraId="2492E2AD" w14:textId="77777777" w:rsidR="00CF5285" w:rsidRDefault="00000000">
            <w:pPr>
              <w:spacing w:after="0"/>
            </w:pPr>
            <w:r>
              <w:rPr>
                <w:rFonts w:ascii="Times New Roman" w:hAnsi="Times New Roman"/>
                <w:sz w:val="19"/>
              </w:rPr>
              <w:t>45.0 +/- 39.4%</w:t>
            </w:r>
          </w:p>
        </w:tc>
        <w:tc>
          <w:tcPr>
            <w:tcW w:w="2340" w:type="dxa"/>
            <w:vAlign w:val="center"/>
          </w:tcPr>
          <w:p w14:paraId="320ED2C0" w14:textId="77777777" w:rsidR="00CF5285" w:rsidRDefault="00000000">
            <w:pPr>
              <w:spacing w:after="0"/>
            </w:pPr>
            <w:r>
              <w:rPr>
                <w:rFonts w:ascii="Times New Roman" w:hAnsi="Times New Roman"/>
                <w:sz w:val="19"/>
              </w:rPr>
              <w:t>Heterogeneous/transient contact</w:t>
            </w:r>
          </w:p>
        </w:tc>
      </w:tr>
    </w:tbl>
    <w:p w14:paraId="1806F3A0" w14:textId="77777777" w:rsidR="00CF5285" w:rsidRDefault="00000000">
      <w:pPr>
        <w:pStyle w:val="Heading2"/>
      </w:pPr>
      <w:r>
        <w:rPr>
          <w:rFonts w:ascii="Times New Roman" w:hAnsi="Times New Roman"/>
        </w:rPr>
        <w:t>Conclusion</w:t>
      </w:r>
    </w:p>
    <w:p w14:paraId="5DBD053C" w14:textId="77777777" w:rsidR="00CF5285" w:rsidRDefault="00000000">
      <w:pPr>
        <w:ind w:firstLine="288"/>
      </w:pPr>
      <w:r>
        <w:rPr>
          <w:rFonts w:ascii="Times New Roman" w:hAnsi="Times New Roman"/>
          <w:sz w:val="21"/>
        </w:rPr>
        <w:t>Overall, the docking-derived PLIP analysis and subsequent MD simulations support a weak dynamic surface-association model between the DES components and the protein trimer. The initial PLIP analysis showed that CA1 formed a richer polar interaction network than LYS1, including multiple hydrogen bonds and an ARG8C salt bridge with protein surface residues, explaining the elevated CA1 hydrogen-bond number at the beginning of production MD. During production, the restrained-protein simulations preserved the small trimeric protein architecture, while the ligands remained free to move. CA1 retained higher overall hydrogen bonding and contact occupancy with the protein surface, although one replica showed partial detachment/reorganization, indicating that CA1 is the dominant but still dynamic contributor to DES-protein contact. LYS1 showed more heterogeneous and replica-dependent contact behavior, consistent with transient association and partial detachment. Thus, the simulation results should be interpreted as evidence for hydrogen-bond-level dynamic co-retention rather than strong, pocket-like binding. This interaction mode is compatible with the proposed mechanism in which DES and protein are co-retained while retaining sufficient mobility for dispersion and function in the skin microenvironment.</w:t>
      </w:r>
    </w:p>
    <w:sectPr w:rsidR="00CF528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7096637">
    <w:abstractNumId w:val="8"/>
  </w:num>
  <w:num w:numId="2" w16cid:durableId="1264846760">
    <w:abstractNumId w:val="6"/>
  </w:num>
  <w:num w:numId="3" w16cid:durableId="1315451009">
    <w:abstractNumId w:val="5"/>
  </w:num>
  <w:num w:numId="4" w16cid:durableId="971596661">
    <w:abstractNumId w:val="4"/>
  </w:num>
  <w:num w:numId="5" w16cid:durableId="1161890355">
    <w:abstractNumId w:val="7"/>
  </w:num>
  <w:num w:numId="6" w16cid:durableId="208298992">
    <w:abstractNumId w:val="3"/>
  </w:num>
  <w:num w:numId="7" w16cid:durableId="382026187">
    <w:abstractNumId w:val="2"/>
  </w:num>
  <w:num w:numId="8" w16cid:durableId="202719090">
    <w:abstractNumId w:val="1"/>
  </w:num>
  <w:num w:numId="9" w16cid:durableId="1877547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FD1"/>
    <w:rsid w:val="0015074B"/>
    <w:rsid w:val="0029639D"/>
    <w:rsid w:val="00326F90"/>
    <w:rsid w:val="00525EBD"/>
    <w:rsid w:val="00AA1D8D"/>
    <w:rsid w:val="00B47730"/>
    <w:rsid w:val="00CB0664"/>
    <w:rsid w:val="00CF52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CBA58"/>
  <w14:defaultImageDpi w14:val="300"/>
  <w15:docId w15:val="{685BC91F-4209-C045-853D-329874F53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1190</Words>
  <Characters>6785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 H</cp:lastModifiedBy>
  <cp:revision>2</cp:revision>
  <dcterms:created xsi:type="dcterms:W3CDTF">2013-12-23T23:15:00Z</dcterms:created>
  <dcterms:modified xsi:type="dcterms:W3CDTF">2026-05-06T08:26:00Z</dcterms:modified>
  <cp:category/>
</cp:coreProperties>
</file>