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rFonts w:ascii="Times New Roman" w:hAnsi="Times New Roman"/>
        </w:rPr>
        <w:t>Molecular Dynamics Simulations</w:t>
      </w:r>
    </w:p>
    <w:p>
      <w:pPr>
        <w:pStyle w:val="Heading2"/>
      </w:pPr>
      <w:r>
        <w:rPr>
          <w:rFonts w:ascii="Times New Roman" w:hAnsi="Times New Roman"/>
        </w:rPr>
        <w:t>Preparation of the protein-ligand complex</w:t>
      </w:r>
    </w:p>
    <w:p>
      <w:pPr>
        <w:spacing w:after="120" w:line="269" w:lineRule="auto"/>
        <w:ind w:firstLine="288"/>
      </w:pPr>
      <w:r>
        <w:rPr>
          <w:rFonts w:ascii="Times New Roman" w:hAnsi="Times New Roman"/>
          <w:sz w:val="21"/>
        </w:rPr>
        <w:t>The initial protein-ligand complex was generated using Chai-1. The protein input consisted of three identical peptide chains, each with the sequence PPGPPGQRGREGPMGPRGPPGPPGPPG. The ligand inputs were provided as SMILES strings: CA, OC(=O)CC(O)(C(=O)O)CC(=O)O, and LYS, OC(=O)[C@@H](N)CCCCN. Multiple sequence alignment was enabled using the UniRef database, and monomer MSA was enabled. Complex prediction was performed using 10 samples, 5 trunk recycles, and 3 trunk samples with a random seed of 1963939445. Among the generated Chai-1 models, the top-ranked protein-ligand complex was selected as the starting structure for molecular dynamics preparation.</w:t>
      </w:r>
    </w:p>
    <w:p>
      <w:pPr>
        <w:spacing w:after="120" w:line="269" w:lineRule="auto"/>
        <w:ind w:firstLine="288"/>
      </w:pPr>
      <w:r>
        <w:rPr>
          <w:rFonts w:ascii="Times New Roman" w:hAnsi="Times New Roman"/>
          <w:sz w:val="21"/>
        </w:rPr>
        <w:t>The protein coordinates were extracted from the selected Chai-1 complex and saved as 7f01.pdb. The ligand coordinates were extracted from the same complex, protonated using UCSF ChimeraX, and saved as mol2 files for subsequent molecular dynamics preparation. This Chai-1-derived structure was used only as the initial surface-associated pose; the persistence and dynamics of protein-ligand association were evaluated by the subsequent MD simulations.</w:t>
      </w:r>
    </w:p>
    <w:p>
      <w:pPr>
        <w:spacing w:after="120" w:line="269" w:lineRule="auto"/>
        <w:ind w:firstLine="288"/>
      </w:pPr>
      <w:r>
        <w:rPr>
          <w:rFonts w:ascii="Times New Roman" w:hAnsi="Times New Roman"/>
          <w:sz w:val="21"/>
        </w:rPr>
        <w:t>Protein topology was generated using GROMACS with the AMBER99SB-ILDN force field and the TIP3P water model. Only standard protein residues were retained before topology generation, and hydrogen atoms were rebuilt during gmx pdb2gmx using the -ignh option. Ligand topologies were generated using ACPYPE/Antechamber with GAFF2 atom types and AM1-BCC partial charges. According to the modeled protonation states, the net charges of CA1 and LYS1 were assigned as -3 and +1, respectively. The ligand topologies were then incorporated into the protein topology to generate the final protein-CA1-LYS1 complex.</w:t>
      </w:r>
    </w:p>
    <w:p>
      <w:pPr>
        <w:pStyle w:val="Heading2"/>
      </w:pPr>
      <w:r>
        <w:rPr>
          <w:rFonts w:ascii="Times New Roman" w:hAnsi="Times New Roman"/>
        </w:rPr>
        <w:t>System construction and equilibration</w:t>
      </w:r>
    </w:p>
    <w:p>
      <w:pPr>
        <w:spacing w:after="120" w:line="269" w:lineRule="auto"/>
        <w:ind w:firstLine="288"/>
      </w:pPr>
      <w:r>
        <w:rPr>
          <w:rFonts w:ascii="Times New Roman" w:hAnsi="Times New Roman"/>
          <w:sz w:val="21"/>
        </w:rPr>
        <w:t>The protein-ligand complex was centered in a triclinic simulation box with a minimum solute-box distance of 1.8 nm. The system was solvated with TIP3P water, neutralized with Na+ and Cl- ions, and supplemented with 0.15 M NaCl. Periodic boundary conditions were applied in all three dimensions.</w:t>
      </w:r>
    </w:p>
    <w:p>
      <w:pPr>
        <w:spacing w:after="120" w:line="269" w:lineRule="auto"/>
        <w:ind w:firstLine="288"/>
      </w:pPr>
      <w:r>
        <w:rPr>
          <w:rFonts w:ascii="Times New Roman" w:hAnsi="Times New Roman"/>
          <w:sz w:val="21"/>
        </w:rPr>
        <w:t>The solvated system was first subjected to steepest-descent energy minimization with a maximum force tolerance of 1000 kJ mol-1 nm-1, an energy step size of 0.01 nm, and a maximum of 50,000 steps. A second, stricter minimization was then performed from the minimized structure using conjugate-gradient minimization with a maximum force tolerance of 100 kJ mol-1 nm-1, an energy step size of 0.0005 nm, and up to 50,000 steps. When necessary, an additional steepest-descent rescue minimization was applied before the second minimization step to remove residual unfavorable contacts.</w:t>
      </w:r>
    </w:p>
    <w:p>
      <w:pPr>
        <w:spacing w:after="120" w:line="269" w:lineRule="auto"/>
        <w:ind w:firstLine="288"/>
      </w:pPr>
      <w:r>
        <w:rPr>
          <w:rFonts w:ascii="Times New Roman" w:hAnsi="Times New Roman"/>
          <w:sz w:val="21"/>
        </w:rPr>
        <w:t>Three independent replicas were generated using different random seeds. Each replica was equilibrated for 100 ps under NVT conditions followed by 100 ps under NPT conditions with a 2 fs integration time step. During equilibration, ligand position restraints were applied with a force constant of 1000 kJ mol-1 nm-2 to maintain the Chai-1-derived starting arrangement while allowing solvent and local environmental relaxation. Temperature was maintained at 310 K using the V-rescale thermostat with separate coupling groups for the protein-ligand complex and water/ions. NPT equilibration was performed using isotropic Berendsen pressure coupling at 1 bar with a coupling time constant of 2.0 ps and a compressibility of 4.5 x 10-5 bar-1.</w:t>
      </w:r>
    </w:p>
    <w:p>
      <w:pPr>
        <w:pStyle w:val="Heading2"/>
      </w:pPr>
      <w:r>
        <w:rPr>
          <w:rFonts w:ascii="Times New Roman" w:hAnsi="Times New Roman"/>
        </w:rPr>
        <w:t>Production molecular dynamics</w:t>
      </w:r>
    </w:p>
    <w:p>
      <w:pPr>
        <w:spacing w:after="120" w:line="269" w:lineRule="auto"/>
        <w:ind w:firstLine="288"/>
      </w:pPr>
      <w:r>
        <w:rPr>
          <w:rFonts w:ascii="Times New Roman" w:hAnsi="Times New Roman"/>
          <w:sz w:val="21"/>
        </w:rPr>
        <w:t>Production simulations were performed for three independent 100 ns replicas, resulting in a total production sampling time of 300 ns. The integration time step was 2 fs, and all bonds involving hydrogen atoms were constrained using the LINCS algorithm. Long-range electrostatic interactions were treated using the particle mesh Ewald method with fourth-order interpolation and a Fourier grid spacing of 0.16 nm. Short-range electrostatic and van der Waals interactions were truncated at 1.2 nm. During production, temperature was maintained at 310 K using the V-rescale thermostat, and pressure was maintained at 1 bar using isotropic C-rescale pressure coupling. Coordinates, energies, and log files were saved every 10 ps.</w:t>
      </w:r>
    </w:p>
    <w:p>
      <w:pPr>
        <w:spacing w:after="120" w:line="269" w:lineRule="auto"/>
        <w:ind w:firstLine="288"/>
      </w:pPr>
      <w:r>
        <w:rPr>
          <w:rFonts w:ascii="Times New Roman" w:hAnsi="Times New Roman"/>
          <w:sz w:val="21"/>
        </w:rPr>
        <w:t>Because the protein is a small three-chain surface-binding assembly rather than a globular receptor with a defined buried binding pocket, protein positional restraints generated by gmx pdb2gmx were applied during production to preserve the trimeric architecture and avoid artificial dissociation of the short peptide chains in explicit solvent. Ligand restraints were removed during production. Therefore, ligand motion and protein-ligand contact dynamics were not fixed by ligand restraints and were used to evaluate weak, dynamic surface association between the DES components and the restrained protein trimer.</w:t>
      </w:r>
    </w:p>
    <w:p>
      <w:pPr>
        <w:pStyle w:val="Heading2"/>
      </w:pPr>
      <w:r>
        <w:rPr>
          <w:rFonts w:ascii="Times New Roman" w:hAnsi="Times New Roman"/>
        </w:rPr>
        <w:t>Initial protein-ligand interaction analysis</w:t>
      </w:r>
    </w:p>
    <w:p>
      <w:pPr>
        <w:spacing w:after="120" w:line="269" w:lineRule="auto"/>
        <w:ind w:firstLine="288"/>
      </w:pPr>
      <w:r>
        <w:rPr>
          <w:rFonts w:ascii="Times New Roman" w:hAnsi="Times New Roman"/>
          <w:sz w:val="21"/>
        </w:rPr>
        <w:t>Protein-ligand interactions in the initial docking-derived complex were characterized using PLIP to identify hydrogen bonds, salt bridges, and hydrophobic contacts between the protein surface and each ligand component. This analysis was used to describe the initial interaction pattern of the starting complex and to support interpretation of early production-MD contact behavior. PLIP results were interpreted as initial-structure interaction features rather than evidence of rigid or persistent binding; dynamic association was evaluated using the subsequent MD trajectory analyses.</w:t>
      </w:r>
    </w:p>
    <w:p>
      <w:pPr>
        <w:pStyle w:val="Heading2"/>
      </w:pPr>
      <w:r>
        <w:rPr>
          <w:rFonts w:ascii="Times New Roman" w:hAnsi="Times New Roman"/>
        </w:rPr>
        <w:t>Trajectory analysis</w:t>
      </w:r>
    </w:p>
    <w:p>
      <w:pPr>
        <w:spacing w:after="120" w:line="269" w:lineRule="auto"/>
        <w:ind w:firstLine="288"/>
      </w:pPr>
      <w:r>
        <w:rPr>
          <w:rFonts w:ascii="Times New Roman" w:hAnsi="Times New Roman"/>
          <w:sz w:val="21"/>
        </w:rPr>
        <w:t>All analyses were performed over the 100 ns production trajectory of each replica. Trajectories were corrected for periodic boundary conditions, centered on the protein, and fitted to the protein backbone before structural analyses. Protein stability was evaluated using protein RMSD, radius of gyration, and residue-level RMSF. Protein RMSF was plotted using continuous residue numbering across the three 1-27-residue chains.</w:t>
      </w:r>
    </w:p>
    <w:p>
      <w:pPr>
        <w:spacing w:after="120" w:line="269" w:lineRule="auto"/>
        <w:ind w:firstLine="288"/>
      </w:pPr>
      <w:r>
        <w:rPr>
          <w:rFonts w:ascii="Times New Roman" w:hAnsi="Times New Roman"/>
          <w:sz w:val="21"/>
        </w:rPr>
        <w:t>Ligand mobility was assessed using two complementary RMSD definitions. Ligand pose RMSD was calculated in the protein-fitted reference frame and therefore described ligand displacement relative to the protein surface. Ligand self RMSD was calculated after fitting each ligand to itself and was used to evaluate internal ligand conformational stability. Protein-ligand hydrogen bonds were quantified separately for CA1 and LYS1 using the standard MD analysis workflow.</w:t>
      </w:r>
    </w:p>
    <w:p>
      <w:pPr>
        <w:spacing w:after="120" w:line="269" w:lineRule="auto"/>
        <w:ind w:firstLine="288"/>
      </w:pPr>
      <w:r>
        <w:rPr>
          <w:rFonts w:ascii="Times New Roman" w:hAnsi="Times New Roman"/>
          <w:sz w:val="21"/>
        </w:rPr>
        <w:t>Dynamic protein-ligand association was further characterized using center-of-mass distances, minimum heavy-atom distances, and contact occupancies between the protein and each ligand component. Contact occupancy was defined as the fraction of trajectory frames in which the protein-ligand minimum distance was below 0.35, 0.45, or 0.60 nm. For this surface-binding system, minimum distance and contact occupancy were used as the primary descriptors of weak dynamic association because center-of-mass distance alone can overestimate separation for extended or surface-mobile ligands. Results from the three independent replicas were combined for statistical visualization, with individual replica traces, mean curves, and standard deviations reported where appropriate.</w:t>
      </w:r>
    </w:p>
    <w:sectPr w:rsidR="00AC3584" w:rsidRPr="00AC35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584"/>
    <w:rsid w:val="002B37B3"/>
    <w:rsid w:val="00692EF1"/>
    <w:rsid w:val="00714C9F"/>
    <w:rsid w:val="00AC3584"/>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DD3DCA9"/>
  <w15:chartTrackingRefBased/>
  <w15:docId w15:val="{C57718DB-189F-9C4C-A436-7D7F8CFB1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69" w:lineRule="auto" w:after="120"/>
    </w:pPr>
    <w:rPr>
      <w:rFonts w:ascii="Times New Roman" w:hAnsi="Times New Roman"/>
      <w:sz w:val="21"/>
    </w:rPr>
  </w:style>
  <w:style w:type="paragraph" w:styleId="Heading1">
    <w:name w:val="heading 1"/>
    <w:basedOn w:val="Normal"/>
    <w:next w:val="Normal"/>
    <w:link w:val="Heading1Char"/>
    <w:uiPriority w:val="9"/>
    <w:qFormat/>
    <w:rsid w:val="00AC3584"/>
    <w:pPr>
      <w:keepNext/>
      <w:keepLines/>
      <w:spacing w:before="360" w:after="80"/>
      <w:outlineLvl w:val="0"/>
    </w:pPr>
    <w:rPr>
      <w:rFonts w:asciiTheme="majorHAnsi" w:eastAsiaTheme="majorEastAsia" w:hAnsiTheme="majorHAnsi" w:cstheme="majorBidi" w:ascii="Times New Roman" w:hAnsi="Times New Roman"/>
      <w:color w:val="0F4761" w:themeColor="accent1" w:themeShade="BF"/>
      <w:sz w:val="28"/>
      <w:szCs w:val="40"/>
    </w:rPr>
  </w:style>
  <w:style w:type="paragraph" w:styleId="Heading2">
    <w:name w:val="heading 2"/>
    <w:basedOn w:val="Normal"/>
    <w:next w:val="Normal"/>
    <w:link w:val="Heading2Char"/>
    <w:uiPriority w:val="9"/>
    <w:semiHidden/>
    <w:unhideWhenUsed/>
    <w:qFormat/>
    <w:rsid w:val="00AC3584"/>
    <w:pPr>
      <w:keepNext/>
      <w:keepLines/>
      <w:spacing w:before="160" w:after="80"/>
      <w:outlineLvl w:val="1"/>
    </w:pPr>
    <w:rPr>
      <w:rFonts w:asciiTheme="majorHAnsi" w:eastAsiaTheme="majorEastAsia" w:hAnsiTheme="majorHAnsi" w:cstheme="majorBidi" w:ascii="Times New Roman" w:hAnsi="Times New Roman"/>
      <w:color w:val="0F4761" w:themeColor="accent1" w:themeShade="BF"/>
      <w:sz w:val="24"/>
      <w:szCs w:val="32"/>
    </w:rPr>
  </w:style>
  <w:style w:type="paragraph" w:styleId="Heading3">
    <w:name w:val="heading 3"/>
    <w:basedOn w:val="Normal"/>
    <w:next w:val="Normal"/>
    <w:link w:val="Heading3Char"/>
    <w:uiPriority w:val="9"/>
    <w:semiHidden/>
    <w:unhideWhenUsed/>
    <w:qFormat/>
    <w:rsid w:val="00AC35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5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5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5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5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5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5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5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5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5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5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5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584"/>
    <w:rPr>
      <w:rFonts w:eastAsiaTheme="majorEastAsia" w:cstheme="majorBidi"/>
      <w:color w:val="272727" w:themeColor="text1" w:themeTint="D8"/>
    </w:rPr>
  </w:style>
  <w:style w:type="paragraph" w:styleId="Title">
    <w:name w:val="Title"/>
    <w:basedOn w:val="Normal"/>
    <w:next w:val="Normal"/>
    <w:link w:val="TitleChar"/>
    <w:uiPriority w:val="10"/>
    <w:qFormat/>
    <w:rsid w:val="00AC35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5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584"/>
    <w:pPr>
      <w:spacing w:before="160"/>
      <w:jc w:val="center"/>
    </w:pPr>
    <w:rPr>
      <w:i/>
      <w:iCs/>
      <w:color w:val="404040" w:themeColor="text1" w:themeTint="BF"/>
    </w:rPr>
  </w:style>
  <w:style w:type="character" w:customStyle="1" w:styleId="QuoteChar">
    <w:name w:val="Quote Char"/>
    <w:basedOn w:val="DefaultParagraphFont"/>
    <w:link w:val="Quote"/>
    <w:uiPriority w:val="29"/>
    <w:rsid w:val="00AC3584"/>
    <w:rPr>
      <w:i/>
      <w:iCs/>
      <w:color w:val="404040" w:themeColor="text1" w:themeTint="BF"/>
    </w:rPr>
  </w:style>
  <w:style w:type="paragraph" w:styleId="ListParagraph">
    <w:name w:val="List Paragraph"/>
    <w:basedOn w:val="Normal"/>
    <w:uiPriority w:val="34"/>
    <w:qFormat/>
    <w:rsid w:val="00AC3584"/>
    <w:pPr>
      <w:ind w:left="720"/>
      <w:contextualSpacing/>
    </w:pPr>
  </w:style>
  <w:style w:type="character" w:styleId="IntenseEmphasis">
    <w:name w:val="Intense Emphasis"/>
    <w:basedOn w:val="DefaultParagraphFont"/>
    <w:uiPriority w:val="21"/>
    <w:qFormat/>
    <w:rsid w:val="00AC3584"/>
    <w:rPr>
      <w:i/>
      <w:iCs/>
      <w:color w:val="0F4761" w:themeColor="accent1" w:themeShade="BF"/>
    </w:rPr>
  </w:style>
  <w:style w:type="paragraph" w:styleId="IntenseQuote">
    <w:name w:val="Intense Quote"/>
    <w:basedOn w:val="Normal"/>
    <w:next w:val="Normal"/>
    <w:link w:val="IntenseQuoteChar"/>
    <w:uiPriority w:val="30"/>
    <w:qFormat/>
    <w:rsid w:val="00AC35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584"/>
    <w:rPr>
      <w:i/>
      <w:iCs/>
      <w:color w:val="0F4761" w:themeColor="accent1" w:themeShade="BF"/>
    </w:rPr>
  </w:style>
  <w:style w:type="character" w:styleId="IntenseReference">
    <w:name w:val="Intense Reference"/>
    <w:basedOn w:val="DefaultParagraphFont"/>
    <w:uiPriority w:val="32"/>
    <w:qFormat/>
    <w:rsid w:val="00AC35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870</Words>
  <Characters>4961</Characters>
  <Application>Microsoft Office Word</Application>
  <DocSecurity>0</DocSecurity>
  <Lines>41</Lines>
  <Paragraphs>11</Paragraphs>
  <ScaleCrop>false</ScaleCrop>
  <Company/>
  <LinksUpToDate>false</LinksUpToDate>
  <CharactersWithSpaces>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H</dc:creator>
  <cp:keywords/>
  <dc:description/>
  <cp:lastModifiedBy>C H</cp:lastModifiedBy>
  <cp:revision>3</cp:revision>
  <dcterms:created xsi:type="dcterms:W3CDTF">2026-04-24T13:49:00Z</dcterms:created>
  <dcterms:modified xsi:type="dcterms:W3CDTF">2026-04-24T14:10:00Z</dcterms:modified>
</cp:coreProperties>
</file>