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line="264" w:lineRule="auto"/>
        <w:rPr>
          <w:rFonts w:ascii="Calibri" w:hAnsi="Calibri" w:cs="Calibri"/>
          <w:sz w:val="40"/>
          <w:szCs w:val="40"/>
        </w:rPr>
      </w:pPr>
      <w:bookmarkStart w:id="0" w:name="X663b1348cf92c2bad4561b0b20fbb4e7448ed84"/>
      <w:r>
        <w:rPr>
          <w:rFonts w:ascii="Calibri" w:hAnsi="Calibri" w:cs="Calibri"/>
        </w:rPr>
        <w:t>Supplementary Materials</w:t>
      </w:r>
    </w:p>
    <w:bookmarkStart w:id="1" w:name="_Hlk231166457" w:displacedByCustomXml="next"/>
    <w:sdt>
      <w:sdtPr>
        <w:rPr>
          <w:rFonts w:ascii="Calibri" w:eastAsia="SimSun" w:hAnsi="Calibri" w:cs="Calibri"/>
          <w:color w:val="auto"/>
          <w:sz w:val="28"/>
          <w:szCs w:val="28"/>
        </w:rPr>
        <w:id w:val="1483192434"/>
        <w:docPartObj>
          <w:docPartGallery w:val="Table of Contents"/>
          <w:docPartUnique/>
        </w:docPartObj>
      </w:sdtPr>
      <w:sdtEndPr>
        <w:rPr>
          <w:b/>
          <w:bCs/>
          <w:noProof/>
        </w:rPr>
      </w:sdtEndPr>
      <w:sdtContent>
        <w:p>
          <w:pPr>
            <w:pStyle w:val="TOCHeading"/>
            <w:rPr>
              <w:rFonts w:ascii="Calibri" w:hAnsi="Calibri" w:cs="Calibri"/>
              <w:sz w:val="28"/>
              <w:szCs w:val="28"/>
            </w:rPr>
          </w:pPr>
          <w:r>
            <w:rPr>
              <w:rFonts w:ascii="Calibri" w:hAnsi="Calibri" w:cs="Calibri"/>
              <w:sz w:val="28"/>
              <w:szCs w:val="28"/>
            </w:rPr>
            <w:t>Table of Contents</w:t>
          </w:r>
        </w:p>
        <w:p>
          <w:pPr>
            <w:pStyle w:val="TOC1"/>
            <w:tabs>
              <w:tab w:val="right" w:leader="dot" w:pos="9628"/>
            </w:tabs>
            <w:rPr>
              <w:rFonts w:eastAsiaTheme="minorEastAsia"/>
              <w:noProof/>
              <w:szCs w:val="22"/>
              <w:lang w:eastAsia="zh-CN"/>
            </w:rPr>
          </w:pPr>
          <w:r>
            <w:rPr>
              <w:rFonts w:ascii="Calibri" w:hAnsi="Calibri" w:cs="Calibri"/>
              <w:sz w:val="24"/>
              <w:szCs w:val="28"/>
            </w:rPr>
            <w:fldChar w:fldCharType="begin"/>
          </w:r>
          <w:r>
            <w:rPr>
              <w:rFonts w:ascii="Calibri" w:hAnsi="Calibri" w:cs="Calibri"/>
              <w:sz w:val="24"/>
              <w:szCs w:val="28"/>
            </w:rPr>
            <w:instrText xml:space="preserve"> TOC \o "1-3" \h \z \u </w:instrText>
          </w:r>
          <w:r>
            <w:rPr>
              <w:rFonts w:ascii="Calibri" w:hAnsi="Calibri" w:cs="Calibri"/>
              <w:sz w:val="24"/>
              <w:szCs w:val="28"/>
            </w:rPr>
            <w:fldChar w:fldCharType="separate"/>
          </w:r>
          <w:hyperlink w:anchor="_Toc232605834" w:history="1">
            <w:r>
              <w:rPr>
                <w:rStyle w:val="Hyperlink"/>
                <w:rFonts w:ascii="Calibri" w:hAnsi="Calibri" w:cs="Calibri"/>
                <w:noProof/>
              </w:rPr>
              <w:t>Supplementary Methods</w:t>
            </w:r>
            <w:r>
              <w:rPr>
                <w:noProof/>
                <w:webHidden/>
              </w:rPr>
              <w:tab/>
            </w:r>
            <w:r>
              <w:rPr>
                <w:noProof/>
                <w:webHidden/>
              </w:rPr>
              <w:fldChar w:fldCharType="begin"/>
            </w:r>
            <w:r>
              <w:rPr>
                <w:noProof/>
                <w:webHidden/>
              </w:rPr>
              <w:instrText xml:space="preserve"> PAGEREF _Toc232605834 \h </w:instrText>
            </w:r>
            <w:r>
              <w:rPr>
                <w:noProof/>
                <w:webHidden/>
              </w:rPr>
            </w:r>
            <w:r>
              <w:rPr>
                <w:noProof/>
                <w:webHidden/>
              </w:rPr>
              <w:fldChar w:fldCharType="separate"/>
            </w:r>
            <w:r>
              <w:rPr>
                <w:noProof/>
                <w:webHidden/>
              </w:rPr>
              <w:t>3</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35" w:history="1">
            <w:r>
              <w:rPr>
                <w:rStyle w:val="Hyperlink"/>
                <w:rFonts w:ascii="Calibri" w:hAnsi="Calibri" w:cs="Calibri"/>
                <w:noProof/>
              </w:rPr>
              <w:t>Section S1. Distance-Based Construction of Dispersed and Clustered Subsets</w:t>
            </w:r>
            <w:r>
              <w:rPr>
                <w:noProof/>
                <w:webHidden/>
              </w:rPr>
              <w:tab/>
            </w:r>
            <w:r>
              <w:rPr>
                <w:noProof/>
                <w:webHidden/>
              </w:rPr>
              <w:fldChar w:fldCharType="begin"/>
            </w:r>
            <w:r>
              <w:rPr>
                <w:noProof/>
                <w:webHidden/>
              </w:rPr>
              <w:instrText xml:space="preserve"> PAGEREF _Toc232605835 \h </w:instrText>
            </w:r>
            <w:r>
              <w:rPr>
                <w:noProof/>
                <w:webHidden/>
              </w:rPr>
            </w:r>
            <w:r>
              <w:rPr>
                <w:noProof/>
                <w:webHidden/>
              </w:rPr>
              <w:fldChar w:fldCharType="separate"/>
            </w:r>
            <w:r>
              <w:rPr>
                <w:noProof/>
                <w:webHidden/>
              </w:rPr>
              <w:t>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36" w:history="1">
            <w:r>
              <w:rPr>
                <w:rStyle w:val="Hyperlink"/>
                <w:rFonts w:ascii="Calibri" w:hAnsi="Calibri" w:cs="Calibri"/>
                <w:noProof/>
              </w:rPr>
              <w:t>Distance-based descriptors of within-subset phylogenetic structure</w:t>
            </w:r>
            <w:r>
              <w:rPr>
                <w:noProof/>
                <w:webHidden/>
              </w:rPr>
              <w:tab/>
            </w:r>
            <w:r>
              <w:rPr>
                <w:noProof/>
                <w:webHidden/>
              </w:rPr>
              <w:fldChar w:fldCharType="begin"/>
            </w:r>
            <w:r>
              <w:rPr>
                <w:noProof/>
                <w:webHidden/>
              </w:rPr>
              <w:instrText xml:space="preserve"> PAGEREF _Toc232605836 \h </w:instrText>
            </w:r>
            <w:r>
              <w:rPr>
                <w:noProof/>
                <w:webHidden/>
              </w:rPr>
            </w:r>
            <w:r>
              <w:rPr>
                <w:noProof/>
                <w:webHidden/>
              </w:rPr>
              <w:fldChar w:fldCharType="separate"/>
            </w:r>
            <w:r>
              <w:rPr>
                <w:noProof/>
                <w:webHidden/>
              </w:rPr>
              <w:t>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37" w:history="1">
            <w:r>
              <w:rPr>
                <w:rStyle w:val="Hyperlink"/>
                <w:rFonts w:ascii="Calibri" w:hAnsi="Calibri" w:cs="Calibri"/>
                <w:noProof/>
              </w:rPr>
              <w:t>Construction of phylogenetically dispersed subsets</w:t>
            </w:r>
            <w:r>
              <w:rPr>
                <w:noProof/>
                <w:webHidden/>
              </w:rPr>
              <w:tab/>
            </w:r>
            <w:r>
              <w:rPr>
                <w:noProof/>
                <w:webHidden/>
              </w:rPr>
              <w:fldChar w:fldCharType="begin"/>
            </w:r>
            <w:r>
              <w:rPr>
                <w:noProof/>
                <w:webHidden/>
              </w:rPr>
              <w:instrText xml:space="preserve"> PAGEREF _Toc232605837 \h </w:instrText>
            </w:r>
            <w:r>
              <w:rPr>
                <w:noProof/>
                <w:webHidden/>
              </w:rPr>
            </w:r>
            <w:r>
              <w:rPr>
                <w:noProof/>
                <w:webHidden/>
              </w:rPr>
              <w:fldChar w:fldCharType="separate"/>
            </w:r>
            <w:r>
              <w:rPr>
                <w:noProof/>
                <w:webHidden/>
              </w:rPr>
              <w:t>4</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38" w:history="1">
            <w:r>
              <w:rPr>
                <w:rStyle w:val="Hyperlink"/>
                <w:rFonts w:ascii="Calibri" w:hAnsi="Calibri" w:cs="Calibri"/>
                <w:noProof/>
              </w:rPr>
              <w:t>Construction of phylogenetically clustered subsets</w:t>
            </w:r>
            <w:r>
              <w:rPr>
                <w:noProof/>
                <w:webHidden/>
              </w:rPr>
              <w:tab/>
            </w:r>
            <w:r>
              <w:rPr>
                <w:noProof/>
                <w:webHidden/>
              </w:rPr>
              <w:fldChar w:fldCharType="begin"/>
            </w:r>
            <w:r>
              <w:rPr>
                <w:noProof/>
                <w:webHidden/>
              </w:rPr>
              <w:instrText xml:space="preserve"> PAGEREF _Toc232605838 \h </w:instrText>
            </w:r>
            <w:r>
              <w:rPr>
                <w:noProof/>
                <w:webHidden/>
              </w:rPr>
            </w:r>
            <w:r>
              <w:rPr>
                <w:noProof/>
                <w:webHidden/>
              </w:rPr>
              <w:fldChar w:fldCharType="separate"/>
            </w:r>
            <w:r>
              <w:rPr>
                <w:noProof/>
                <w:webHidden/>
              </w:rPr>
              <w:t>4</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39" w:history="1">
            <w:r>
              <w:rPr>
                <w:rStyle w:val="Hyperlink"/>
                <w:rFonts w:ascii="Calibri" w:hAnsi="Calibri" w:cs="Calibri"/>
                <w:noProof/>
              </w:rPr>
              <w:t>Section S2. Prediction-Metric-Based Independence-Equivalent Sample Size</w:t>
            </w:r>
            <w:r>
              <w:rPr>
                <w:noProof/>
                <w:webHidden/>
              </w:rPr>
              <w:tab/>
            </w:r>
            <w:r>
              <w:rPr>
                <w:noProof/>
                <w:webHidden/>
              </w:rPr>
              <w:fldChar w:fldCharType="begin"/>
            </w:r>
            <w:r>
              <w:rPr>
                <w:noProof/>
                <w:webHidden/>
              </w:rPr>
              <w:instrText xml:space="preserve"> PAGEREF _Toc232605839 \h </w:instrText>
            </w:r>
            <w:r>
              <w:rPr>
                <w:noProof/>
                <w:webHidden/>
              </w:rPr>
            </w:r>
            <w:r>
              <w:rPr>
                <w:noProof/>
                <w:webHidden/>
              </w:rPr>
              <w:fldChar w:fldCharType="separate"/>
            </w:r>
            <w:r>
              <w:rPr>
                <w:noProof/>
                <w:webHidden/>
              </w:rPr>
              <w:t>5</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40" w:history="1">
            <w:r>
              <w:rPr>
                <w:rStyle w:val="Hyperlink"/>
                <w:rFonts w:ascii="Calibri" w:hAnsi="Calibri" w:cs="Calibri"/>
                <w:noProof/>
              </w:rPr>
              <w:t>Section S3. Covariance model parameterization and alternative evolutionary processes</w:t>
            </w:r>
            <w:r>
              <w:rPr>
                <w:noProof/>
                <w:webHidden/>
              </w:rPr>
              <w:tab/>
            </w:r>
            <w:r>
              <w:rPr>
                <w:noProof/>
                <w:webHidden/>
              </w:rPr>
              <w:fldChar w:fldCharType="begin"/>
            </w:r>
            <w:r>
              <w:rPr>
                <w:noProof/>
                <w:webHidden/>
              </w:rPr>
              <w:instrText xml:space="preserve"> PAGEREF _Toc232605840 \h </w:instrText>
            </w:r>
            <w:r>
              <w:rPr>
                <w:noProof/>
                <w:webHidden/>
              </w:rPr>
            </w:r>
            <w:r>
              <w:rPr>
                <w:noProof/>
                <w:webHidden/>
              </w:rPr>
              <w:fldChar w:fldCharType="separate"/>
            </w:r>
            <w:r>
              <w:rPr>
                <w:noProof/>
                <w:webHidden/>
              </w:rPr>
              <w:t>8</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41" w:history="1">
            <w:r>
              <w:rPr>
                <w:rStyle w:val="Hyperlink"/>
                <w:rFonts w:ascii="Calibri" w:hAnsi="Calibri" w:cs="Calibri"/>
                <w:noProof/>
              </w:rPr>
              <w:t>S3.1 Brownian motion baseline and independence benchmark</w:t>
            </w:r>
            <w:r>
              <w:rPr>
                <w:noProof/>
                <w:webHidden/>
              </w:rPr>
              <w:tab/>
            </w:r>
            <w:r>
              <w:rPr>
                <w:noProof/>
                <w:webHidden/>
              </w:rPr>
              <w:fldChar w:fldCharType="begin"/>
            </w:r>
            <w:r>
              <w:rPr>
                <w:noProof/>
                <w:webHidden/>
              </w:rPr>
              <w:instrText xml:space="preserve"> PAGEREF _Toc232605841 \h </w:instrText>
            </w:r>
            <w:r>
              <w:rPr>
                <w:noProof/>
                <w:webHidden/>
              </w:rPr>
            </w:r>
            <w:r>
              <w:rPr>
                <w:noProof/>
                <w:webHidden/>
              </w:rPr>
              <w:fldChar w:fldCharType="separate"/>
            </w:r>
            <w:r>
              <w:rPr>
                <w:noProof/>
                <w:webHidden/>
              </w:rPr>
              <w:t>8</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42" w:history="1">
            <w:r>
              <w:rPr>
                <w:rStyle w:val="Hyperlink"/>
                <w:rFonts w:ascii="Calibri" w:hAnsi="Calibri" w:cs="Calibri"/>
                <w:noProof/>
              </w:rPr>
              <w:t>S3.2 λ-transformed Brownian motion (BM) model</w:t>
            </w:r>
            <w:r>
              <w:rPr>
                <w:noProof/>
                <w:webHidden/>
              </w:rPr>
              <w:tab/>
            </w:r>
            <w:r>
              <w:rPr>
                <w:noProof/>
                <w:webHidden/>
              </w:rPr>
              <w:fldChar w:fldCharType="begin"/>
            </w:r>
            <w:r>
              <w:rPr>
                <w:noProof/>
                <w:webHidden/>
              </w:rPr>
              <w:instrText xml:space="preserve"> PAGEREF _Toc232605842 \h </w:instrText>
            </w:r>
            <w:r>
              <w:rPr>
                <w:noProof/>
                <w:webHidden/>
              </w:rPr>
            </w:r>
            <w:r>
              <w:rPr>
                <w:noProof/>
                <w:webHidden/>
              </w:rPr>
              <w:fldChar w:fldCharType="separate"/>
            </w:r>
            <w:r>
              <w:rPr>
                <w:noProof/>
                <w:webHidden/>
              </w:rPr>
              <w:t>8</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43" w:history="1">
            <w:r>
              <w:rPr>
                <w:rStyle w:val="Hyperlink"/>
                <w:rFonts w:ascii="Calibri" w:hAnsi="Calibri" w:cs="Calibri"/>
                <w:noProof/>
              </w:rPr>
              <w:t>S3.3 Ornstein–Uhlenbeck (OU) model and phylogenetic half-life scaling</w:t>
            </w:r>
            <w:r>
              <w:rPr>
                <w:noProof/>
                <w:webHidden/>
              </w:rPr>
              <w:tab/>
            </w:r>
            <w:r>
              <w:rPr>
                <w:noProof/>
                <w:webHidden/>
              </w:rPr>
              <w:fldChar w:fldCharType="begin"/>
            </w:r>
            <w:r>
              <w:rPr>
                <w:noProof/>
                <w:webHidden/>
              </w:rPr>
              <w:instrText xml:space="preserve"> PAGEREF _Toc232605843 \h </w:instrText>
            </w:r>
            <w:r>
              <w:rPr>
                <w:noProof/>
                <w:webHidden/>
              </w:rPr>
            </w:r>
            <w:r>
              <w:rPr>
                <w:noProof/>
                <w:webHidden/>
              </w:rPr>
              <w:fldChar w:fldCharType="separate"/>
            </w:r>
            <w:r>
              <w:rPr>
                <w:noProof/>
                <w:webHidden/>
              </w:rPr>
              <w:t>8</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44" w:history="1">
            <w:r>
              <w:rPr>
                <w:rStyle w:val="Hyperlink"/>
                <w:rFonts w:ascii="Calibri" w:hAnsi="Calibri" w:cs="Calibri"/>
                <w:noProof/>
              </w:rPr>
              <w:t>S3.4 Early-burst (EB) model and time-dependent rate variation</w:t>
            </w:r>
            <w:r>
              <w:rPr>
                <w:noProof/>
                <w:webHidden/>
              </w:rPr>
              <w:tab/>
            </w:r>
            <w:r>
              <w:rPr>
                <w:noProof/>
                <w:webHidden/>
              </w:rPr>
              <w:fldChar w:fldCharType="begin"/>
            </w:r>
            <w:r>
              <w:rPr>
                <w:noProof/>
                <w:webHidden/>
              </w:rPr>
              <w:instrText xml:space="preserve"> PAGEREF _Toc232605844 \h </w:instrText>
            </w:r>
            <w:r>
              <w:rPr>
                <w:noProof/>
                <w:webHidden/>
              </w:rPr>
            </w:r>
            <w:r>
              <w:rPr>
                <w:noProof/>
                <w:webHidden/>
              </w:rPr>
              <w:fldChar w:fldCharType="separate"/>
            </w:r>
            <w:r>
              <w:rPr>
                <w:noProof/>
                <w:webHidden/>
              </w:rPr>
              <w:t>9</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45" w:history="1">
            <w:r>
              <w:rPr>
                <w:rStyle w:val="Hyperlink"/>
                <w:rFonts w:ascii="Calibri" w:hAnsi="Calibri" w:cs="Calibri"/>
                <w:noProof/>
              </w:rPr>
              <w:t>S3.5 Unified interpretation and dual-benchmark framework</w:t>
            </w:r>
            <w:r>
              <w:rPr>
                <w:noProof/>
                <w:webHidden/>
              </w:rPr>
              <w:tab/>
            </w:r>
            <w:r>
              <w:rPr>
                <w:noProof/>
                <w:webHidden/>
              </w:rPr>
              <w:fldChar w:fldCharType="begin"/>
            </w:r>
            <w:r>
              <w:rPr>
                <w:noProof/>
                <w:webHidden/>
              </w:rPr>
              <w:instrText xml:space="preserve"> PAGEREF _Toc232605845 \h </w:instrText>
            </w:r>
            <w:r>
              <w:rPr>
                <w:noProof/>
                <w:webHidden/>
              </w:rPr>
            </w:r>
            <w:r>
              <w:rPr>
                <w:noProof/>
                <w:webHidden/>
              </w:rPr>
              <w:fldChar w:fldCharType="separate"/>
            </w:r>
            <w:r>
              <w:rPr>
                <w:noProof/>
                <w:webHidden/>
              </w:rPr>
              <w:t>9</w:t>
            </w:r>
            <w:r>
              <w:rPr>
                <w:noProof/>
                <w:webHidden/>
              </w:rPr>
              <w:fldChar w:fldCharType="end"/>
            </w:r>
          </w:hyperlink>
        </w:p>
        <w:p>
          <w:pPr>
            <w:pStyle w:val="TOC1"/>
            <w:tabs>
              <w:tab w:val="right" w:leader="dot" w:pos="9628"/>
            </w:tabs>
            <w:rPr>
              <w:rFonts w:eastAsiaTheme="minorEastAsia"/>
              <w:noProof/>
              <w:szCs w:val="22"/>
              <w:lang w:eastAsia="zh-CN"/>
            </w:rPr>
          </w:pPr>
          <w:hyperlink w:anchor="_Toc232605846" w:history="1">
            <w:r>
              <w:rPr>
                <w:rStyle w:val="Hyperlink"/>
                <w:rFonts w:ascii="Calibri" w:hAnsi="Calibri" w:cs="Calibri"/>
                <w:noProof/>
              </w:rPr>
              <w:t>Appendix 1. Correlation-Based Dependence Diagnostics and MIESS</w:t>
            </w:r>
            <w:r>
              <w:rPr>
                <w:noProof/>
                <w:webHidden/>
              </w:rPr>
              <w:tab/>
            </w:r>
            <w:r>
              <w:rPr>
                <w:noProof/>
                <w:webHidden/>
              </w:rPr>
              <w:fldChar w:fldCharType="begin"/>
            </w:r>
            <w:r>
              <w:rPr>
                <w:noProof/>
                <w:webHidden/>
              </w:rPr>
              <w:instrText xml:space="preserve"> PAGEREF _Toc232605846 \h </w:instrText>
            </w:r>
            <w:r>
              <w:rPr>
                <w:noProof/>
                <w:webHidden/>
              </w:rPr>
            </w:r>
            <w:r>
              <w:rPr>
                <w:noProof/>
                <w:webHidden/>
              </w:rPr>
              <w:fldChar w:fldCharType="separate"/>
            </w:r>
            <w:r>
              <w:rPr>
                <w:noProof/>
                <w:webHidden/>
              </w:rPr>
              <w:t>11</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47" w:history="1">
            <w:r>
              <w:rPr>
                <w:rStyle w:val="Hyperlink"/>
                <w:rFonts w:ascii="Calibri" w:hAnsi="Calibri" w:cs="Calibri"/>
                <w:noProof/>
              </w:rPr>
              <w:t>A1.1. From a phylogenetic covariance to a phylogenetic correlation</w:t>
            </w:r>
            <w:r>
              <w:rPr>
                <w:noProof/>
                <w:webHidden/>
              </w:rPr>
              <w:tab/>
            </w:r>
            <w:r>
              <w:rPr>
                <w:noProof/>
                <w:webHidden/>
              </w:rPr>
              <w:fldChar w:fldCharType="begin"/>
            </w:r>
            <w:r>
              <w:rPr>
                <w:noProof/>
                <w:webHidden/>
              </w:rPr>
              <w:instrText xml:space="preserve"> PAGEREF _Toc232605847 \h </w:instrText>
            </w:r>
            <w:r>
              <w:rPr>
                <w:noProof/>
                <w:webHidden/>
              </w:rPr>
            </w:r>
            <w:r>
              <w:rPr>
                <w:noProof/>
                <w:webHidden/>
              </w:rPr>
              <w:fldChar w:fldCharType="separate"/>
            </w:r>
            <w:r>
              <w:rPr>
                <w:noProof/>
                <w:webHidden/>
              </w:rPr>
              <w:t>11</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48" w:history="1">
            <w:r>
              <w:rPr>
                <w:rStyle w:val="Hyperlink"/>
                <w:rFonts w:ascii="Calibri" w:hAnsi="Calibri" w:cs="Calibri"/>
                <w:noProof/>
              </w:rPr>
              <w:t>A1.2. Mean and maximum off-diagonal correlations</w:t>
            </w:r>
            <w:r>
              <w:rPr>
                <w:noProof/>
                <w:webHidden/>
              </w:rPr>
              <w:tab/>
            </w:r>
            <w:r>
              <w:rPr>
                <w:noProof/>
                <w:webHidden/>
              </w:rPr>
              <w:fldChar w:fldCharType="begin"/>
            </w:r>
            <w:r>
              <w:rPr>
                <w:noProof/>
                <w:webHidden/>
              </w:rPr>
              <w:instrText xml:space="preserve"> PAGEREF _Toc232605848 \h </w:instrText>
            </w:r>
            <w:r>
              <w:rPr>
                <w:noProof/>
                <w:webHidden/>
              </w:rPr>
            </w:r>
            <w:r>
              <w:rPr>
                <w:noProof/>
                <w:webHidden/>
              </w:rPr>
              <w:fldChar w:fldCharType="separate"/>
            </w:r>
            <w:r>
              <w:rPr>
                <w:noProof/>
                <w:webHidden/>
              </w:rPr>
              <w:t>11</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49" w:history="1">
            <w:r>
              <w:rPr>
                <w:rStyle w:val="Hyperlink"/>
                <w:rFonts w:ascii="Calibri" w:hAnsi="Calibri" w:cs="Calibri"/>
                <w:noProof/>
              </w:rPr>
              <w:t>A1.3. What question is MIESS trying to answer?</w:t>
            </w:r>
            <w:r>
              <w:rPr>
                <w:noProof/>
                <w:webHidden/>
              </w:rPr>
              <w:tab/>
            </w:r>
            <w:r>
              <w:rPr>
                <w:noProof/>
                <w:webHidden/>
              </w:rPr>
              <w:fldChar w:fldCharType="begin"/>
            </w:r>
            <w:r>
              <w:rPr>
                <w:noProof/>
                <w:webHidden/>
              </w:rPr>
              <w:instrText xml:space="preserve"> PAGEREF _Toc232605849 \h </w:instrText>
            </w:r>
            <w:r>
              <w:rPr>
                <w:noProof/>
                <w:webHidden/>
              </w:rPr>
            </w:r>
            <w:r>
              <w:rPr>
                <w:noProof/>
                <w:webHidden/>
              </w:rPr>
              <w:fldChar w:fldCharType="separate"/>
            </w:r>
            <w:r>
              <w:rPr>
                <w:noProof/>
                <w:webHidden/>
              </w:rPr>
              <w:t>12</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0" w:history="1">
            <w:r>
              <w:rPr>
                <w:rStyle w:val="Hyperlink"/>
                <w:rFonts w:ascii="Calibri" w:hAnsi="Calibri" w:cs="Calibri"/>
                <w:noProof/>
              </w:rPr>
              <w:t>A1.4. The reference model for interpreting MIESS</w:t>
            </w:r>
            <w:r>
              <w:rPr>
                <w:noProof/>
                <w:webHidden/>
              </w:rPr>
              <w:tab/>
            </w:r>
            <w:r>
              <w:rPr>
                <w:noProof/>
                <w:webHidden/>
              </w:rPr>
              <w:fldChar w:fldCharType="begin"/>
            </w:r>
            <w:r>
              <w:rPr>
                <w:noProof/>
                <w:webHidden/>
              </w:rPr>
              <w:instrText xml:space="preserve"> PAGEREF _Toc232605850 \h </w:instrText>
            </w:r>
            <w:r>
              <w:rPr>
                <w:noProof/>
                <w:webHidden/>
              </w:rPr>
            </w:r>
            <w:r>
              <w:rPr>
                <w:noProof/>
                <w:webHidden/>
              </w:rPr>
              <w:fldChar w:fldCharType="separate"/>
            </w:r>
            <w:r>
              <w:rPr>
                <w:noProof/>
                <w:webHidden/>
              </w:rPr>
              <w:t>12</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1" w:history="1">
            <w:r>
              <w:rPr>
                <w:rStyle w:val="Hyperlink"/>
                <w:rFonts w:ascii="Calibri" w:hAnsi="Calibri" w:cs="Calibri"/>
                <w:noProof/>
              </w:rPr>
              <w:t>A1.5. Why ordinary sample-size logic is insufficient</w:t>
            </w:r>
            <w:r>
              <w:rPr>
                <w:noProof/>
                <w:webHidden/>
              </w:rPr>
              <w:tab/>
            </w:r>
            <w:r>
              <w:rPr>
                <w:noProof/>
                <w:webHidden/>
              </w:rPr>
              <w:fldChar w:fldCharType="begin"/>
            </w:r>
            <w:r>
              <w:rPr>
                <w:noProof/>
                <w:webHidden/>
              </w:rPr>
              <w:instrText xml:space="preserve"> PAGEREF _Toc232605851 \h </w:instrText>
            </w:r>
            <w:r>
              <w:rPr>
                <w:noProof/>
                <w:webHidden/>
              </w:rPr>
            </w:r>
            <w:r>
              <w:rPr>
                <w:noProof/>
                <w:webHidden/>
              </w:rPr>
              <w:fldChar w:fldCharType="separate"/>
            </w:r>
            <w:r>
              <w:rPr>
                <w:noProof/>
                <w:webHidden/>
              </w:rPr>
              <w:t>13</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2" w:history="1">
            <w:r>
              <w:rPr>
                <w:rStyle w:val="Hyperlink"/>
                <w:rFonts w:ascii="Calibri" w:hAnsi="Calibri" w:cs="Calibri"/>
                <w:noProof/>
              </w:rPr>
              <w:t xml:space="preserve">A1.6. Why the mean of </w:t>
            </w:r>
            <w:r>
              <w:rPr>
                <w:rStyle w:val="Hyperlink"/>
                <w:rFonts w:ascii="Calibri" w:hAnsi="Calibri" w:cs="Calibri"/>
                <w:i/>
                <w:iCs/>
                <w:noProof/>
              </w:rPr>
              <w:t>n</w:t>
            </w:r>
            <w:r>
              <w:rPr>
                <w:rStyle w:val="Hyperlink"/>
                <w:rFonts w:ascii="Calibri" w:hAnsi="Calibri" w:cs="Calibri"/>
                <w:noProof/>
              </w:rPr>
              <w:t xml:space="preserve"> independent observations has variance </w:t>
            </w:r>
            <w:r>
              <w:rPr>
                <w:rStyle w:val="Hyperlink"/>
                <w:rFonts w:ascii="Calibri" w:hAnsi="Calibri" w:cs="Calibri"/>
                <w:i/>
                <w:iCs/>
                <w:noProof/>
              </w:rPr>
              <w:t>σ</w:t>
            </w:r>
            <w:r>
              <w:rPr>
                <w:rStyle w:val="Hyperlink"/>
                <w:rFonts w:ascii="Calibri" w:hAnsi="Calibri" w:cs="Calibri"/>
                <w:noProof/>
              </w:rPr>
              <w:t>²/n</w:t>
            </w:r>
            <w:r>
              <w:rPr>
                <w:noProof/>
                <w:webHidden/>
              </w:rPr>
              <w:tab/>
            </w:r>
            <w:r>
              <w:rPr>
                <w:noProof/>
                <w:webHidden/>
              </w:rPr>
              <w:fldChar w:fldCharType="begin"/>
            </w:r>
            <w:r>
              <w:rPr>
                <w:noProof/>
                <w:webHidden/>
              </w:rPr>
              <w:instrText xml:space="preserve"> PAGEREF _Toc232605852 \h </w:instrText>
            </w:r>
            <w:r>
              <w:rPr>
                <w:noProof/>
                <w:webHidden/>
              </w:rPr>
            </w:r>
            <w:r>
              <w:rPr>
                <w:noProof/>
                <w:webHidden/>
              </w:rPr>
              <w:fldChar w:fldCharType="separate"/>
            </w:r>
            <w:r>
              <w:rPr>
                <w:noProof/>
                <w:webHidden/>
              </w:rPr>
              <w:t>13</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3" w:history="1">
            <w:r>
              <w:rPr>
                <w:rStyle w:val="Hyperlink"/>
                <w:rFonts w:ascii="Calibri" w:hAnsi="Calibri" w:cs="Calibri"/>
                <w:noProof/>
              </w:rPr>
              <w:t>A1.7. What estimator should be used when observations are correlated?</w:t>
            </w:r>
            <w:r>
              <w:rPr>
                <w:noProof/>
                <w:webHidden/>
              </w:rPr>
              <w:tab/>
            </w:r>
            <w:r>
              <w:rPr>
                <w:noProof/>
                <w:webHidden/>
              </w:rPr>
              <w:fldChar w:fldCharType="begin"/>
            </w:r>
            <w:r>
              <w:rPr>
                <w:noProof/>
                <w:webHidden/>
              </w:rPr>
              <w:instrText xml:space="preserve"> PAGEREF _Toc232605853 \h </w:instrText>
            </w:r>
            <w:r>
              <w:rPr>
                <w:noProof/>
                <w:webHidden/>
              </w:rPr>
            </w:r>
            <w:r>
              <w:rPr>
                <w:noProof/>
                <w:webHidden/>
              </w:rPr>
              <w:fldChar w:fldCharType="separate"/>
            </w:r>
            <w:r>
              <w:rPr>
                <w:noProof/>
                <w:webHidden/>
              </w:rPr>
              <w:t>14</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4" w:history="1">
            <w:r>
              <w:rPr>
                <w:rStyle w:val="Hyperlink"/>
                <w:rFonts w:ascii="Calibri" w:hAnsi="Calibri" w:cs="Calibri"/>
                <w:noProof/>
              </w:rPr>
              <w:t>A1.8. What does this GLS variance mean?</w:t>
            </w:r>
            <w:r>
              <w:rPr>
                <w:noProof/>
                <w:webHidden/>
              </w:rPr>
              <w:tab/>
            </w:r>
            <w:r>
              <w:rPr>
                <w:noProof/>
                <w:webHidden/>
              </w:rPr>
              <w:fldChar w:fldCharType="begin"/>
            </w:r>
            <w:r>
              <w:rPr>
                <w:noProof/>
                <w:webHidden/>
              </w:rPr>
              <w:instrText xml:space="preserve"> PAGEREF _Toc232605854 \h </w:instrText>
            </w:r>
            <w:r>
              <w:rPr>
                <w:noProof/>
                <w:webHidden/>
              </w:rPr>
            </w:r>
            <w:r>
              <w:rPr>
                <w:noProof/>
                <w:webHidden/>
              </w:rPr>
              <w:fldChar w:fldCharType="separate"/>
            </w:r>
            <w:r>
              <w:rPr>
                <w:noProof/>
                <w:webHidden/>
              </w:rPr>
              <w:t>15</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5" w:history="1">
            <w:r>
              <w:rPr>
                <w:rStyle w:val="Hyperlink"/>
                <w:rFonts w:ascii="Calibri" w:hAnsi="Calibri" w:cs="Calibri"/>
                <w:noProof/>
              </w:rPr>
              <w:t>A1.9. Matching the correlated-sample variance to the independent-sample variance</w:t>
            </w:r>
            <w:r>
              <w:rPr>
                <w:noProof/>
                <w:webHidden/>
              </w:rPr>
              <w:tab/>
            </w:r>
            <w:r>
              <w:rPr>
                <w:noProof/>
                <w:webHidden/>
              </w:rPr>
              <w:fldChar w:fldCharType="begin"/>
            </w:r>
            <w:r>
              <w:rPr>
                <w:noProof/>
                <w:webHidden/>
              </w:rPr>
              <w:instrText xml:space="preserve"> PAGEREF _Toc232605855 \h </w:instrText>
            </w:r>
            <w:r>
              <w:rPr>
                <w:noProof/>
                <w:webHidden/>
              </w:rPr>
            </w:r>
            <w:r>
              <w:rPr>
                <w:noProof/>
                <w:webHidden/>
              </w:rPr>
              <w:fldChar w:fldCharType="separate"/>
            </w:r>
            <w:r>
              <w:rPr>
                <w:noProof/>
                <w:webHidden/>
              </w:rPr>
              <w:t>15</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6" w:history="1">
            <w:r>
              <w:rPr>
                <w:rStyle w:val="Hyperlink"/>
                <w:rFonts w:ascii="Calibri" w:hAnsi="Calibri" w:cs="Calibri"/>
                <w:noProof/>
              </w:rPr>
              <w:t>A1.10. Why this can be called an independence-equivalent sample size</w:t>
            </w:r>
            <w:r>
              <w:rPr>
                <w:noProof/>
                <w:webHidden/>
              </w:rPr>
              <w:tab/>
            </w:r>
            <w:r>
              <w:rPr>
                <w:noProof/>
                <w:webHidden/>
              </w:rPr>
              <w:fldChar w:fldCharType="begin"/>
            </w:r>
            <w:r>
              <w:rPr>
                <w:noProof/>
                <w:webHidden/>
              </w:rPr>
              <w:instrText xml:space="preserve"> PAGEREF _Toc232605856 \h </w:instrText>
            </w:r>
            <w:r>
              <w:rPr>
                <w:noProof/>
                <w:webHidden/>
              </w:rPr>
            </w:r>
            <w:r>
              <w:rPr>
                <w:noProof/>
                <w:webHidden/>
              </w:rPr>
              <w:fldChar w:fldCharType="separate"/>
            </w:r>
            <w:r>
              <w:rPr>
                <w:noProof/>
                <w:webHidden/>
              </w:rPr>
              <w:t>16</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7" w:history="1">
            <w:r>
              <w:rPr>
                <w:rStyle w:val="Hyperlink"/>
                <w:rFonts w:ascii="Calibri" w:hAnsi="Calibri" w:cs="Calibri"/>
                <w:noProof/>
              </w:rPr>
              <w:t>A1.11. Why we call it “mean-based”</w:t>
            </w:r>
            <w:r>
              <w:rPr>
                <w:noProof/>
                <w:webHidden/>
              </w:rPr>
              <w:tab/>
            </w:r>
            <w:r>
              <w:rPr>
                <w:noProof/>
                <w:webHidden/>
              </w:rPr>
              <w:fldChar w:fldCharType="begin"/>
            </w:r>
            <w:r>
              <w:rPr>
                <w:noProof/>
                <w:webHidden/>
              </w:rPr>
              <w:instrText xml:space="preserve"> PAGEREF _Toc232605857 \h </w:instrText>
            </w:r>
            <w:r>
              <w:rPr>
                <w:noProof/>
                <w:webHidden/>
              </w:rPr>
            </w:r>
            <w:r>
              <w:rPr>
                <w:noProof/>
                <w:webHidden/>
              </w:rPr>
              <w:fldChar w:fldCharType="separate"/>
            </w:r>
            <w:r>
              <w:rPr>
                <w:noProof/>
                <w:webHidden/>
              </w:rPr>
              <w:t>16</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8" w:history="1">
            <w:r>
              <w:rPr>
                <w:rStyle w:val="Hyperlink"/>
                <w:rFonts w:ascii="Calibri" w:hAnsi="Calibri" w:cs="Calibri"/>
                <w:noProof/>
              </w:rPr>
              <w:t>A1.12. A simple sanity check: the case of independence</w:t>
            </w:r>
            <w:r>
              <w:rPr>
                <w:noProof/>
                <w:webHidden/>
              </w:rPr>
              <w:tab/>
            </w:r>
            <w:r>
              <w:rPr>
                <w:noProof/>
                <w:webHidden/>
              </w:rPr>
              <w:fldChar w:fldCharType="begin"/>
            </w:r>
            <w:r>
              <w:rPr>
                <w:noProof/>
                <w:webHidden/>
              </w:rPr>
              <w:instrText xml:space="preserve"> PAGEREF _Toc232605858 \h </w:instrText>
            </w:r>
            <w:r>
              <w:rPr>
                <w:noProof/>
                <w:webHidden/>
              </w:rPr>
            </w:r>
            <w:r>
              <w:rPr>
                <w:noProof/>
                <w:webHidden/>
              </w:rPr>
              <w:fldChar w:fldCharType="separate"/>
            </w:r>
            <w:r>
              <w:rPr>
                <w:noProof/>
                <w:webHidden/>
              </w:rPr>
              <w:t>17</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59" w:history="1">
            <w:r>
              <w:rPr>
                <w:rStyle w:val="Hyperlink"/>
                <w:rFonts w:ascii="Calibri" w:hAnsi="Calibri" w:cs="Calibri"/>
                <w:noProof/>
              </w:rPr>
              <w:t>A1.13. Why positive correlation usually reduces MIESS</w:t>
            </w:r>
            <w:r>
              <w:rPr>
                <w:noProof/>
                <w:webHidden/>
              </w:rPr>
              <w:tab/>
            </w:r>
            <w:r>
              <w:rPr>
                <w:noProof/>
                <w:webHidden/>
              </w:rPr>
              <w:fldChar w:fldCharType="begin"/>
            </w:r>
            <w:r>
              <w:rPr>
                <w:noProof/>
                <w:webHidden/>
              </w:rPr>
              <w:instrText xml:space="preserve"> PAGEREF _Toc232605859 \h </w:instrText>
            </w:r>
            <w:r>
              <w:rPr>
                <w:noProof/>
                <w:webHidden/>
              </w:rPr>
            </w:r>
            <w:r>
              <w:rPr>
                <w:noProof/>
                <w:webHidden/>
              </w:rPr>
              <w:fldChar w:fldCharType="separate"/>
            </w:r>
            <w:r>
              <w:rPr>
                <w:noProof/>
                <w:webHidden/>
              </w:rPr>
              <w:t>17</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60" w:history="1">
            <w:r>
              <w:rPr>
                <w:rStyle w:val="Hyperlink"/>
                <w:rFonts w:ascii="Calibri" w:hAnsi="Calibri" w:cs="Calibri"/>
                <w:noProof/>
              </w:rPr>
              <w:t>A1.14. Relationship among MeanOffCor, MaxOffCor, and MIESS</w:t>
            </w:r>
            <w:r>
              <w:rPr>
                <w:noProof/>
                <w:webHidden/>
              </w:rPr>
              <w:tab/>
            </w:r>
            <w:r>
              <w:rPr>
                <w:noProof/>
                <w:webHidden/>
              </w:rPr>
              <w:fldChar w:fldCharType="begin"/>
            </w:r>
            <w:r>
              <w:rPr>
                <w:noProof/>
                <w:webHidden/>
              </w:rPr>
              <w:instrText xml:space="preserve"> PAGEREF _Toc232605860 \h </w:instrText>
            </w:r>
            <w:r>
              <w:rPr>
                <w:noProof/>
                <w:webHidden/>
              </w:rPr>
            </w:r>
            <w:r>
              <w:rPr>
                <w:noProof/>
                <w:webHidden/>
              </w:rPr>
              <w:fldChar w:fldCharType="separate"/>
            </w:r>
            <w:r>
              <w:rPr>
                <w:noProof/>
                <w:webHidden/>
              </w:rPr>
              <w:t>17</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61" w:history="1">
            <w:r>
              <w:rPr>
                <w:rStyle w:val="Hyperlink"/>
                <w:rFonts w:ascii="Calibri" w:hAnsi="Calibri" w:cs="Calibri"/>
                <w:noProof/>
              </w:rPr>
              <w:t>A1.15. What MIESS is useful for in our setting</w:t>
            </w:r>
            <w:r>
              <w:rPr>
                <w:noProof/>
                <w:webHidden/>
              </w:rPr>
              <w:tab/>
            </w:r>
            <w:r>
              <w:rPr>
                <w:noProof/>
                <w:webHidden/>
              </w:rPr>
              <w:fldChar w:fldCharType="begin"/>
            </w:r>
            <w:r>
              <w:rPr>
                <w:noProof/>
                <w:webHidden/>
              </w:rPr>
              <w:instrText xml:space="preserve"> PAGEREF _Toc232605861 \h </w:instrText>
            </w:r>
            <w:r>
              <w:rPr>
                <w:noProof/>
                <w:webHidden/>
              </w:rPr>
            </w:r>
            <w:r>
              <w:rPr>
                <w:noProof/>
                <w:webHidden/>
              </w:rPr>
              <w:fldChar w:fldCharType="separate"/>
            </w:r>
            <w:r>
              <w:rPr>
                <w:noProof/>
                <w:webHidden/>
              </w:rPr>
              <w:t>18</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62" w:history="1">
            <w:r>
              <w:rPr>
                <w:rStyle w:val="Hyperlink"/>
                <w:rFonts w:ascii="Calibri" w:hAnsi="Calibri" w:cs="Calibri"/>
                <w:noProof/>
              </w:rPr>
              <w:t>A1.16. Why trait-level phylogenetic signal metrics were not used as subset-dependence diagnostics</w:t>
            </w:r>
            <w:r>
              <w:rPr>
                <w:noProof/>
                <w:webHidden/>
              </w:rPr>
              <w:tab/>
            </w:r>
            <w:r>
              <w:rPr>
                <w:noProof/>
                <w:webHidden/>
              </w:rPr>
              <w:fldChar w:fldCharType="begin"/>
            </w:r>
            <w:r>
              <w:rPr>
                <w:noProof/>
                <w:webHidden/>
              </w:rPr>
              <w:instrText xml:space="preserve"> PAGEREF _Toc232605862 \h </w:instrText>
            </w:r>
            <w:r>
              <w:rPr>
                <w:noProof/>
                <w:webHidden/>
              </w:rPr>
            </w:r>
            <w:r>
              <w:rPr>
                <w:noProof/>
                <w:webHidden/>
              </w:rPr>
              <w:fldChar w:fldCharType="separate"/>
            </w:r>
            <w:r>
              <w:rPr>
                <w:noProof/>
                <w:webHidden/>
              </w:rPr>
              <w:t>18</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63" w:history="1">
            <w:r>
              <w:rPr>
                <w:rStyle w:val="Hyperlink"/>
                <w:rFonts w:ascii="Calibri" w:hAnsi="Calibri" w:cs="Calibri"/>
                <w:noProof/>
                <w:lang w:eastAsia="zh-CN"/>
              </w:rPr>
              <w:t>A</w:t>
            </w:r>
            <w:r>
              <w:rPr>
                <w:rStyle w:val="Hyperlink"/>
                <w:rFonts w:ascii="Calibri" w:hAnsi="Calibri" w:cs="Calibri"/>
                <w:noProof/>
              </w:rPr>
              <w:t>1.17. A concise summary of the derivation</w:t>
            </w:r>
            <w:r>
              <w:rPr>
                <w:noProof/>
                <w:webHidden/>
              </w:rPr>
              <w:tab/>
            </w:r>
            <w:r>
              <w:rPr>
                <w:noProof/>
                <w:webHidden/>
              </w:rPr>
              <w:fldChar w:fldCharType="begin"/>
            </w:r>
            <w:r>
              <w:rPr>
                <w:noProof/>
                <w:webHidden/>
              </w:rPr>
              <w:instrText xml:space="preserve"> PAGEREF _Toc232605863 \h </w:instrText>
            </w:r>
            <w:r>
              <w:rPr>
                <w:noProof/>
                <w:webHidden/>
              </w:rPr>
            </w:r>
            <w:r>
              <w:rPr>
                <w:noProof/>
                <w:webHidden/>
              </w:rPr>
              <w:fldChar w:fldCharType="separate"/>
            </w:r>
            <w:r>
              <w:rPr>
                <w:noProof/>
                <w:webHidden/>
              </w:rPr>
              <w:t>19</w:t>
            </w:r>
            <w:r>
              <w:rPr>
                <w:noProof/>
                <w:webHidden/>
              </w:rPr>
              <w:fldChar w:fldCharType="end"/>
            </w:r>
          </w:hyperlink>
        </w:p>
        <w:p>
          <w:pPr>
            <w:pStyle w:val="TOC1"/>
            <w:tabs>
              <w:tab w:val="right" w:leader="dot" w:pos="9628"/>
            </w:tabs>
            <w:rPr>
              <w:rFonts w:eastAsiaTheme="minorEastAsia"/>
              <w:noProof/>
              <w:szCs w:val="22"/>
              <w:lang w:eastAsia="zh-CN"/>
            </w:rPr>
          </w:pPr>
          <w:hyperlink w:anchor="_Toc232605864" w:history="1">
            <w:r>
              <w:rPr>
                <w:rStyle w:val="Hyperlink"/>
                <w:rFonts w:ascii="Calibri" w:hAnsi="Calibri" w:cs="Calibri"/>
                <w:noProof/>
              </w:rPr>
              <w:t>Supplementary Results</w:t>
            </w:r>
            <w:r>
              <w:rPr>
                <w:noProof/>
                <w:webHidden/>
              </w:rPr>
              <w:tab/>
            </w:r>
            <w:r>
              <w:rPr>
                <w:noProof/>
                <w:webHidden/>
              </w:rPr>
              <w:fldChar w:fldCharType="begin"/>
            </w:r>
            <w:r>
              <w:rPr>
                <w:noProof/>
                <w:webHidden/>
              </w:rPr>
              <w:instrText xml:space="preserve"> PAGEREF _Toc232605864 \h </w:instrText>
            </w:r>
            <w:r>
              <w:rPr>
                <w:noProof/>
                <w:webHidden/>
              </w:rPr>
            </w:r>
            <w:r>
              <w:rPr>
                <w:noProof/>
                <w:webHidden/>
              </w:rPr>
              <w:fldChar w:fldCharType="separate"/>
            </w:r>
            <w:r>
              <w:rPr>
                <w:noProof/>
                <w:webHidden/>
              </w:rPr>
              <w:t>20</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65" w:history="1">
            <w:r>
              <w:rPr>
                <w:rStyle w:val="Hyperlink"/>
                <w:rFonts w:ascii="Calibri" w:hAnsi="Calibri" w:cs="Calibri"/>
                <w:noProof/>
              </w:rPr>
              <w:t>Section S1. Detailed Distance-Based Validation of Dispersed and Clustered Subsets</w:t>
            </w:r>
            <w:r>
              <w:rPr>
                <w:noProof/>
                <w:webHidden/>
              </w:rPr>
              <w:tab/>
            </w:r>
            <w:r>
              <w:rPr>
                <w:noProof/>
                <w:webHidden/>
              </w:rPr>
              <w:fldChar w:fldCharType="begin"/>
            </w:r>
            <w:r>
              <w:rPr>
                <w:noProof/>
                <w:webHidden/>
              </w:rPr>
              <w:instrText xml:space="preserve"> PAGEREF _Toc232605865 \h </w:instrText>
            </w:r>
            <w:r>
              <w:rPr>
                <w:noProof/>
                <w:webHidden/>
              </w:rPr>
            </w:r>
            <w:r>
              <w:rPr>
                <w:noProof/>
                <w:webHidden/>
              </w:rPr>
              <w:fldChar w:fldCharType="separate"/>
            </w:r>
            <w:r>
              <w:rPr>
                <w:noProof/>
                <w:webHidden/>
              </w:rPr>
              <w:t>20</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66" w:history="1">
            <w:r>
              <w:rPr>
                <w:rStyle w:val="Hyperlink"/>
                <w:rFonts w:ascii="Calibri" w:hAnsi="Calibri" w:cs="Calibri"/>
                <w:noProof/>
              </w:rPr>
              <w:t>Figure S1. Phylogenetic distribution of selected Cricetidae subsets.</w:t>
            </w:r>
            <w:r>
              <w:rPr>
                <w:noProof/>
                <w:webHidden/>
              </w:rPr>
              <w:tab/>
            </w:r>
            <w:r>
              <w:rPr>
                <w:noProof/>
                <w:webHidden/>
              </w:rPr>
              <w:fldChar w:fldCharType="begin"/>
            </w:r>
            <w:r>
              <w:rPr>
                <w:noProof/>
                <w:webHidden/>
              </w:rPr>
              <w:instrText xml:space="preserve"> PAGEREF _Toc232605866 \h </w:instrText>
            </w:r>
            <w:r>
              <w:rPr>
                <w:noProof/>
                <w:webHidden/>
              </w:rPr>
            </w:r>
            <w:r>
              <w:rPr>
                <w:noProof/>
                <w:webHidden/>
              </w:rPr>
              <w:fldChar w:fldCharType="separate"/>
            </w:r>
            <w:r>
              <w:rPr>
                <w:noProof/>
                <w:webHidden/>
              </w:rPr>
              <w:t>21</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67" w:history="1">
            <w:r>
              <w:rPr>
                <w:rStyle w:val="Hyperlink"/>
                <w:rFonts w:ascii="Calibri" w:hAnsi="Calibri" w:cs="Calibri"/>
                <w:noProof/>
              </w:rPr>
              <w:t>Figure S2. Distance-based comparison of selected Cricetidae subsets with random-subset baselines.</w:t>
            </w:r>
            <w:r>
              <w:rPr>
                <w:noProof/>
                <w:webHidden/>
              </w:rPr>
              <w:tab/>
            </w:r>
            <w:r>
              <w:rPr>
                <w:noProof/>
                <w:webHidden/>
              </w:rPr>
              <w:fldChar w:fldCharType="begin"/>
            </w:r>
            <w:r>
              <w:rPr>
                <w:noProof/>
                <w:webHidden/>
              </w:rPr>
              <w:instrText xml:space="preserve"> PAGEREF _Toc232605867 \h </w:instrText>
            </w:r>
            <w:r>
              <w:rPr>
                <w:noProof/>
                <w:webHidden/>
              </w:rPr>
            </w:r>
            <w:r>
              <w:rPr>
                <w:noProof/>
                <w:webHidden/>
              </w:rPr>
              <w:fldChar w:fldCharType="separate"/>
            </w:r>
            <w:r>
              <w:rPr>
                <w:noProof/>
                <w:webHidden/>
              </w:rPr>
              <w:t>21</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68" w:history="1">
            <w:r>
              <w:rPr>
                <w:rStyle w:val="Hyperlink"/>
                <w:rFonts w:ascii="Calibri" w:hAnsi="Calibri" w:cs="Calibri"/>
                <w:noProof/>
              </w:rPr>
              <w:t>Section S2. Sensitivity of Subsetting to Sampling Design</w:t>
            </w:r>
            <w:r>
              <w:rPr>
                <w:noProof/>
                <w:webHidden/>
              </w:rPr>
              <w:tab/>
            </w:r>
            <w:r>
              <w:rPr>
                <w:noProof/>
                <w:webHidden/>
              </w:rPr>
              <w:fldChar w:fldCharType="begin"/>
            </w:r>
            <w:r>
              <w:rPr>
                <w:noProof/>
                <w:webHidden/>
              </w:rPr>
              <w:instrText xml:space="preserve"> PAGEREF _Toc232605868 \h </w:instrText>
            </w:r>
            <w:r>
              <w:rPr>
                <w:noProof/>
                <w:webHidden/>
              </w:rPr>
            </w:r>
            <w:r>
              <w:rPr>
                <w:noProof/>
                <w:webHidden/>
              </w:rPr>
              <w:fldChar w:fldCharType="separate"/>
            </w:r>
            <w:r>
              <w:rPr>
                <w:noProof/>
                <w:webHidden/>
              </w:rPr>
              <w:t>22</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605869" w:history="1">
            <w:r>
              <w:rPr>
                <w:rStyle w:val="Hyperlink"/>
                <w:rFonts w:ascii="Calibri" w:hAnsi="Calibri" w:cs="Calibri"/>
                <w:noProof/>
              </w:rPr>
              <w:t>Supplementary Tables</w:t>
            </w:r>
            <w:r>
              <w:rPr>
                <w:noProof/>
                <w:webHidden/>
              </w:rPr>
              <w:tab/>
            </w:r>
            <w:r>
              <w:rPr>
                <w:noProof/>
                <w:webHidden/>
              </w:rPr>
              <w:fldChar w:fldCharType="begin"/>
            </w:r>
            <w:r>
              <w:rPr>
                <w:noProof/>
                <w:webHidden/>
              </w:rPr>
              <w:instrText xml:space="preserve"> PAGEREF _Toc232605869 \h </w:instrText>
            </w:r>
            <w:r>
              <w:rPr>
                <w:noProof/>
                <w:webHidden/>
              </w:rPr>
            </w:r>
            <w:r>
              <w:rPr>
                <w:noProof/>
                <w:webHidden/>
              </w:rPr>
              <w:fldChar w:fldCharType="separate"/>
            </w:r>
            <w:r>
              <w:rPr>
                <w:noProof/>
                <w:webHidden/>
              </w:rPr>
              <w:t>23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0" w:history="1">
            <w:r>
              <w:rPr>
                <w:rStyle w:val="Hyperlink"/>
                <w:rFonts w:ascii="Calibri" w:hAnsi="Calibri" w:cs="Calibri"/>
                <w:noProof/>
              </w:rPr>
              <w:t>Tables S1 are provided as a separate spreadsheet file.</w:t>
            </w:r>
            <w:r>
              <w:rPr>
                <w:noProof/>
                <w:webHidden/>
              </w:rPr>
              <w:tab/>
            </w:r>
            <w:r>
              <w:rPr>
                <w:noProof/>
                <w:webHidden/>
              </w:rPr>
              <w:fldChar w:fldCharType="begin"/>
            </w:r>
            <w:r>
              <w:rPr>
                <w:noProof/>
                <w:webHidden/>
              </w:rPr>
              <w:instrText xml:space="preserve"> PAGEREF _Toc232605870 \h </w:instrText>
            </w:r>
            <w:r>
              <w:rPr>
                <w:noProof/>
                <w:webHidden/>
              </w:rPr>
            </w:r>
            <w:r>
              <w:rPr>
                <w:noProof/>
                <w:webHidden/>
              </w:rPr>
              <w:fldChar w:fldCharType="separate"/>
            </w:r>
            <w:r>
              <w:rPr>
                <w:noProof/>
                <w:webHidden/>
              </w:rPr>
              <w:t>23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1" w:history="1">
            <w:r>
              <w:rPr>
                <w:rStyle w:val="Hyperlink"/>
                <w:rFonts w:ascii="Calibri" w:hAnsi="Calibri" w:cs="Calibri"/>
                <w:noProof/>
              </w:rPr>
              <w:t>Table S2. Boundary-distance criteria in the nested Cricetidae sensitivity analysis.</w:t>
            </w:r>
            <w:r>
              <w:rPr>
                <w:noProof/>
                <w:webHidden/>
              </w:rPr>
              <w:tab/>
            </w:r>
            <w:r>
              <w:rPr>
                <w:noProof/>
                <w:webHidden/>
              </w:rPr>
              <w:fldChar w:fldCharType="begin"/>
            </w:r>
            <w:r>
              <w:rPr>
                <w:noProof/>
                <w:webHidden/>
              </w:rPr>
              <w:instrText xml:space="preserve"> PAGEREF _Toc232605871 \h </w:instrText>
            </w:r>
            <w:r>
              <w:rPr>
                <w:noProof/>
                <w:webHidden/>
              </w:rPr>
            </w:r>
            <w:r>
              <w:rPr>
                <w:noProof/>
                <w:webHidden/>
              </w:rPr>
              <w:fldChar w:fldCharType="separate"/>
            </w:r>
            <w:r>
              <w:rPr>
                <w:noProof/>
                <w:webHidden/>
              </w:rPr>
              <w:t>23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2" w:history="1">
            <w:r>
              <w:rPr>
                <w:rStyle w:val="Hyperlink"/>
                <w:rFonts w:ascii="Calibri" w:hAnsi="Calibri" w:cs="Calibri"/>
                <w:noProof/>
              </w:rPr>
              <w:t>Table S3. MeanPD in the nested Cricetidae sensitivity analysis.</w:t>
            </w:r>
            <w:r>
              <w:rPr>
                <w:noProof/>
                <w:webHidden/>
              </w:rPr>
              <w:tab/>
            </w:r>
            <w:r>
              <w:rPr>
                <w:noProof/>
                <w:webHidden/>
              </w:rPr>
              <w:fldChar w:fldCharType="begin"/>
            </w:r>
            <w:r>
              <w:rPr>
                <w:noProof/>
                <w:webHidden/>
              </w:rPr>
              <w:instrText xml:space="preserve"> PAGEREF _Toc232605872 \h </w:instrText>
            </w:r>
            <w:r>
              <w:rPr>
                <w:noProof/>
                <w:webHidden/>
              </w:rPr>
            </w:r>
            <w:r>
              <w:rPr>
                <w:noProof/>
                <w:webHidden/>
              </w:rPr>
              <w:fldChar w:fldCharType="separate"/>
            </w:r>
            <w:r>
              <w:rPr>
                <w:noProof/>
                <w:webHidden/>
              </w:rPr>
              <w:t>23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3" w:history="1">
            <w:r>
              <w:rPr>
                <w:rStyle w:val="Hyperlink"/>
                <w:rFonts w:ascii="Calibri" w:hAnsi="Calibri" w:cs="Calibri"/>
                <w:noProof/>
              </w:rPr>
              <w:t>Table S4. MeanNND in the nested Cricetidae sensitivity analysis.</w:t>
            </w:r>
            <w:r>
              <w:rPr>
                <w:noProof/>
                <w:webHidden/>
              </w:rPr>
              <w:tab/>
            </w:r>
            <w:r>
              <w:rPr>
                <w:noProof/>
                <w:webHidden/>
              </w:rPr>
              <w:fldChar w:fldCharType="begin"/>
            </w:r>
            <w:r>
              <w:rPr>
                <w:noProof/>
                <w:webHidden/>
              </w:rPr>
              <w:instrText xml:space="preserve"> PAGEREF _Toc232605873 \h </w:instrText>
            </w:r>
            <w:r>
              <w:rPr>
                <w:noProof/>
                <w:webHidden/>
              </w:rPr>
            </w:r>
            <w:r>
              <w:rPr>
                <w:noProof/>
                <w:webHidden/>
              </w:rPr>
              <w:fldChar w:fldCharType="separate"/>
            </w:r>
            <w:r>
              <w:rPr>
                <w:noProof/>
                <w:webHidden/>
              </w:rPr>
              <w:t>24</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4" w:history="1">
            <w:r>
              <w:rPr>
                <w:rStyle w:val="Hyperlink"/>
                <w:rFonts w:ascii="Calibri" w:hAnsi="Calibri" w:cs="Calibri"/>
                <w:noProof/>
              </w:rPr>
              <w:t>Table S5. MeanOffCor in the nested Cricetidae sensitivity analysis.</w:t>
            </w:r>
            <w:r>
              <w:rPr>
                <w:noProof/>
                <w:webHidden/>
              </w:rPr>
              <w:tab/>
            </w:r>
            <w:r>
              <w:rPr>
                <w:noProof/>
                <w:webHidden/>
              </w:rPr>
              <w:fldChar w:fldCharType="begin"/>
            </w:r>
            <w:r>
              <w:rPr>
                <w:noProof/>
                <w:webHidden/>
              </w:rPr>
              <w:instrText xml:space="preserve"> PAGEREF _Toc232605874 \h </w:instrText>
            </w:r>
            <w:r>
              <w:rPr>
                <w:noProof/>
                <w:webHidden/>
              </w:rPr>
            </w:r>
            <w:r>
              <w:rPr>
                <w:noProof/>
                <w:webHidden/>
              </w:rPr>
              <w:fldChar w:fldCharType="separate"/>
            </w:r>
            <w:r>
              <w:rPr>
                <w:noProof/>
                <w:webHidden/>
              </w:rPr>
              <w:t>24</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5" w:history="1">
            <w:r>
              <w:rPr>
                <w:rStyle w:val="Hyperlink"/>
                <w:rFonts w:ascii="Calibri" w:hAnsi="Calibri" w:cs="Calibri"/>
                <w:noProof/>
              </w:rPr>
              <w:t>Table S6. MaxOffCor in the nested Cricetidae sensitivity analysis.</w:t>
            </w:r>
            <w:r>
              <w:rPr>
                <w:noProof/>
                <w:webHidden/>
              </w:rPr>
              <w:tab/>
            </w:r>
            <w:r>
              <w:rPr>
                <w:noProof/>
                <w:webHidden/>
              </w:rPr>
              <w:fldChar w:fldCharType="begin"/>
            </w:r>
            <w:r>
              <w:rPr>
                <w:noProof/>
                <w:webHidden/>
              </w:rPr>
              <w:instrText xml:space="preserve"> PAGEREF _Toc232605875 \h </w:instrText>
            </w:r>
            <w:r>
              <w:rPr>
                <w:noProof/>
                <w:webHidden/>
              </w:rPr>
            </w:r>
            <w:r>
              <w:rPr>
                <w:noProof/>
                <w:webHidden/>
              </w:rPr>
              <w:fldChar w:fldCharType="separate"/>
            </w:r>
            <w:r>
              <w:rPr>
                <w:noProof/>
                <w:webHidden/>
              </w:rPr>
              <w:t>25</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6" w:history="1">
            <w:r>
              <w:rPr>
                <w:rStyle w:val="Hyperlink"/>
                <w:rFonts w:ascii="Calibri" w:hAnsi="Calibri" w:cs="Calibri"/>
                <w:noProof/>
              </w:rPr>
              <w:t>Table S7. PIESS for RMSE in the nested Cricetidae sensitivity analysis.</w:t>
            </w:r>
            <w:r>
              <w:rPr>
                <w:noProof/>
                <w:webHidden/>
              </w:rPr>
              <w:tab/>
            </w:r>
            <w:r>
              <w:rPr>
                <w:noProof/>
                <w:webHidden/>
              </w:rPr>
              <w:fldChar w:fldCharType="begin"/>
            </w:r>
            <w:r>
              <w:rPr>
                <w:noProof/>
                <w:webHidden/>
              </w:rPr>
              <w:instrText xml:space="preserve"> PAGEREF _Toc232605876 \h </w:instrText>
            </w:r>
            <w:r>
              <w:rPr>
                <w:noProof/>
                <w:webHidden/>
              </w:rPr>
            </w:r>
            <w:r>
              <w:rPr>
                <w:noProof/>
                <w:webHidden/>
              </w:rPr>
              <w:fldChar w:fldCharType="separate"/>
            </w:r>
            <w:r>
              <w:rPr>
                <w:noProof/>
                <w:webHidden/>
              </w:rPr>
              <w:t>25</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7" w:history="1">
            <w:r>
              <w:rPr>
                <w:rStyle w:val="Hyperlink"/>
                <w:rFonts w:ascii="Calibri" w:hAnsi="Calibri" w:cs="Calibri"/>
                <w:noProof/>
              </w:rPr>
              <w:t>Table S8. PIESS for MAE in the nested Cricetidae sensitivity analysis.</w:t>
            </w:r>
            <w:r>
              <w:rPr>
                <w:noProof/>
                <w:webHidden/>
              </w:rPr>
              <w:tab/>
            </w:r>
            <w:r>
              <w:rPr>
                <w:noProof/>
                <w:webHidden/>
              </w:rPr>
              <w:fldChar w:fldCharType="begin"/>
            </w:r>
            <w:r>
              <w:rPr>
                <w:noProof/>
                <w:webHidden/>
              </w:rPr>
              <w:instrText xml:space="preserve"> PAGEREF _Toc232605877 \h </w:instrText>
            </w:r>
            <w:r>
              <w:rPr>
                <w:noProof/>
                <w:webHidden/>
              </w:rPr>
            </w:r>
            <w:r>
              <w:rPr>
                <w:noProof/>
                <w:webHidden/>
              </w:rPr>
              <w:fldChar w:fldCharType="separate"/>
            </w:r>
            <w:r>
              <w:rPr>
                <w:noProof/>
                <w:webHidden/>
              </w:rPr>
              <w:t>26</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8" w:history="1">
            <w:r>
              <w:rPr>
                <w:rStyle w:val="Hyperlink"/>
                <w:rFonts w:ascii="Calibri" w:hAnsi="Calibri" w:cs="Calibri"/>
                <w:noProof/>
              </w:rPr>
              <w:t>Table S9. MeanOffCor under alternative covariance assumptions in the nested Cricetidae sensitivity analysis.</w:t>
            </w:r>
            <w:r>
              <w:rPr>
                <w:noProof/>
                <w:webHidden/>
              </w:rPr>
              <w:tab/>
            </w:r>
            <w:r>
              <w:rPr>
                <w:noProof/>
                <w:webHidden/>
              </w:rPr>
              <w:fldChar w:fldCharType="begin"/>
            </w:r>
            <w:r>
              <w:rPr>
                <w:noProof/>
                <w:webHidden/>
              </w:rPr>
              <w:instrText xml:space="preserve"> PAGEREF _Toc232605878 \h </w:instrText>
            </w:r>
            <w:r>
              <w:rPr>
                <w:noProof/>
                <w:webHidden/>
              </w:rPr>
            </w:r>
            <w:r>
              <w:rPr>
                <w:noProof/>
                <w:webHidden/>
              </w:rPr>
              <w:fldChar w:fldCharType="separate"/>
            </w:r>
            <w:r>
              <w:rPr>
                <w:noProof/>
                <w:webHidden/>
              </w:rPr>
              <w:t>26</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79" w:history="1">
            <w:r>
              <w:rPr>
                <w:rStyle w:val="Hyperlink"/>
                <w:rFonts w:ascii="Calibri" w:hAnsi="Calibri" w:cs="Calibri"/>
                <w:noProof/>
              </w:rPr>
              <w:t>Table S10. MaxOffCor under alternative covariance assumptions in the nested Cricetidae sensitivity analysis.</w:t>
            </w:r>
            <w:r>
              <w:rPr>
                <w:noProof/>
                <w:webHidden/>
              </w:rPr>
              <w:tab/>
            </w:r>
            <w:r>
              <w:rPr>
                <w:noProof/>
                <w:webHidden/>
              </w:rPr>
              <w:fldChar w:fldCharType="begin"/>
            </w:r>
            <w:r>
              <w:rPr>
                <w:noProof/>
                <w:webHidden/>
              </w:rPr>
              <w:instrText xml:space="preserve"> PAGEREF _Toc232605879 \h </w:instrText>
            </w:r>
            <w:r>
              <w:rPr>
                <w:noProof/>
                <w:webHidden/>
              </w:rPr>
            </w:r>
            <w:r>
              <w:rPr>
                <w:noProof/>
                <w:webHidden/>
              </w:rPr>
              <w:fldChar w:fldCharType="separate"/>
            </w:r>
            <w:r>
              <w:rPr>
                <w:noProof/>
                <w:webHidden/>
              </w:rPr>
              <w:t>27</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80" w:history="1">
            <w:r>
              <w:rPr>
                <w:rStyle w:val="Hyperlink"/>
                <w:rFonts w:ascii="Calibri" w:hAnsi="Calibri" w:cs="Calibri"/>
                <w:noProof/>
              </w:rPr>
              <w:t>Table S11. PIESS for RMSE under alternative covariance assumptions in the nested Cricetidae sensitivity analysis.</w:t>
            </w:r>
            <w:r>
              <w:rPr>
                <w:noProof/>
                <w:webHidden/>
              </w:rPr>
              <w:tab/>
            </w:r>
            <w:r>
              <w:rPr>
                <w:noProof/>
                <w:webHidden/>
              </w:rPr>
              <w:fldChar w:fldCharType="begin"/>
            </w:r>
            <w:r>
              <w:rPr>
                <w:noProof/>
                <w:webHidden/>
              </w:rPr>
              <w:instrText xml:space="preserve"> PAGEREF _Toc232605880 \h </w:instrText>
            </w:r>
            <w:r>
              <w:rPr>
                <w:noProof/>
                <w:webHidden/>
              </w:rPr>
            </w:r>
            <w:r>
              <w:rPr>
                <w:noProof/>
                <w:webHidden/>
              </w:rPr>
              <w:fldChar w:fldCharType="separate"/>
            </w:r>
            <w:r>
              <w:rPr>
                <w:noProof/>
                <w:webHidden/>
              </w:rPr>
              <w:t>28</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605881" w:history="1">
            <w:r>
              <w:rPr>
                <w:rStyle w:val="Hyperlink"/>
                <w:rFonts w:ascii="Calibri" w:hAnsi="Calibri" w:cs="Calibri"/>
                <w:noProof/>
              </w:rPr>
              <w:t>Table S12. PIESS for MAE under alternative covariance assumptions in the nested Cricetidae sensitivity analysis.</w:t>
            </w:r>
            <w:r>
              <w:rPr>
                <w:noProof/>
                <w:webHidden/>
              </w:rPr>
              <w:tab/>
            </w:r>
            <w:r>
              <w:rPr>
                <w:noProof/>
                <w:webHidden/>
              </w:rPr>
              <w:fldChar w:fldCharType="begin"/>
            </w:r>
            <w:r>
              <w:rPr>
                <w:noProof/>
                <w:webHidden/>
              </w:rPr>
              <w:instrText xml:space="preserve"> PAGEREF _Toc232605881 \h </w:instrText>
            </w:r>
            <w:r>
              <w:rPr>
                <w:noProof/>
                <w:webHidden/>
              </w:rPr>
            </w:r>
            <w:r>
              <w:rPr>
                <w:noProof/>
                <w:webHidden/>
              </w:rPr>
              <w:fldChar w:fldCharType="separate"/>
            </w:r>
            <w:r>
              <w:rPr>
                <w:noProof/>
                <w:webHidden/>
              </w:rPr>
              <w:t>29</w:t>
            </w:r>
            <w:r>
              <w:rPr>
                <w:noProof/>
                <w:webHidden/>
              </w:rPr>
              <w:fldChar w:fldCharType="end"/>
            </w:r>
          </w:hyperlink>
        </w:p>
        <w:p>
          <w:pPr>
            <w:pStyle w:val="TOC1"/>
            <w:tabs>
              <w:tab w:val="right" w:leader="dot" w:pos="9628"/>
            </w:tabs>
            <w:rPr>
              <w:rFonts w:eastAsiaTheme="minorEastAsia"/>
              <w:noProof/>
              <w:szCs w:val="22"/>
              <w:lang w:eastAsia="zh-CN"/>
            </w:rPr>
          </w:pPr>
          <w:hyperlink w:anchor="_Toc232605882" w:history="1">
            <w:r>
              <w:rPr>
                <w:rStyle w:val="Hyperlink"/>
                <w:rFonts w:ascii="Calibri" w:hAnsi="Calibri" w:cs="Calibri"/>
                <w:noProof/>
              </w:rPr>
              <w:t>References for Supplementary Materials</w:t>
            </w:r>
            <w:r>
              <w:rPr>
                <w:noProof/>
                <w:webHidden/>
              </w:rPr>
              <w:tab/>
            </w:r>
            <w:r>
              <w:rPr>
                <w:noProof/>
                <w:webHidden/>
              </w:rPr>
              <w:fldChar w:fldCharType="begin"/>
            </w:r>
            <w:r>
              <w:rPr>
                <w:noProof/>
                <w:webHidden/>
              </w:rPr>
              <w:instrText xml:space="preserve"> PAGEREF _Toc232605882 \h </w:instrText>
            </w:r>
            <w:r>
              <w:rPr>
                <w:noProof/>
                <w:webHidden/>
              </w:rPr>
            </w:r>
            <w:r>
              <w:rPr>
                <w:noProof/>
                <w:webHidden/>
              </w:rPr>
              <w:fldChar w:fldCharType="separate"/>
            </w:r>
            <w:r>
              <w:rPr>
                <w:noProof/>
                <w:webHidden/>
              </w:rPr>
              <w:t>30</w:t>
            </w:r>
            <w:r>
              <w:rPr>
                <w:noProof/>
                <w:webHidden/>
              </w:rPr>
              <w:fldChar w:fldCharType="end"/>
            </w:r>
          </w:hyperlink>
        </w:p>
        <w:p>
          <w:pPr>
            <w:rPr>
              <w:rFonts w:ascii="Calibri" w:hAnsi="Calibri" w:cs="Calibri"/>
              <w:sz w:val="28"/>
              <w:szCs w:val="28"/>
            </w:rPr>
          </w:pPr>
          <w:r>
            <w:rPr>
              <w:rFonts w:ascii="Calibri" w:hAnsi="Calibri" w:cs="Calibri"/>
              <w:szCs w:val="28"/>
            </w:rPr>
            <w:fldChar w:fldCharType="end"/>
          </w:r>
        </w:p>
      </w:sdtContent>
    </w:sdt>
    <w:p>
      <w:pPr>
        <w:spacing w:after="0"/>
        <w:rPr>
          <w:rFonts w:ascii="Calibri" w:eastAsia="Times New Roman" w:hAnsi="Calibri" w:cs="Calibri"/>
          <w:sz w:val="22"/>
          <w:szCs w:val="22"/>
          <w:lang w:eastAsia="zh-CN"/>
        </w:rPr>
      </w:pPr>
      <w:r>
        <w:rPr>
          <w:rFonts w:ascii="Calibri" w:hAnsi="Calibri" w:cs="Calibri"/>
          <w:sz w:val="22"/>
          <w:szCs w:val="22"/>
        </w:rPr>
        <w:br w:type="page"/>
      </w:r>
    </w:p>
    <w:p>
      <w:pPr>
        <w:pStyle w:val="Heading1"/>
        <w:spacing w:line="264" w:lineRule="auto"/>
        <w:rPr>
          <w:rFonts w:ascii="Calibri" w:hAnsi="Calibri" w:cs="Calibri"/>
        </w:rPr>
      </w:pPr>
      <w:bookmarkStart w:id="2" w:name="_Toc232605834"/>
      <w:r>
        <w:rPr>
          <w:rFonts w:ascii="Calibri" w:hAnsi="Calibri" w:cs="Calibri"/>
        </w:rPr>
        <w:lastRenderedPageBreak/>
        <w:t>Supplementary Methods</w:t>
      </w:r>
      <w:bookmarkEnd w:id="2"/>
    </w:p>
    <w:p>
      <w:pPr>
        <w:pStyle w:val="Heading2"/>
        <w:spacing w:before="120" w:line="264" w:lineRule="auto"/>
        <w:rPr>
          <w:rFonts w:ascii="Calibri" w:hAnsi="Calibri" w:cs="Calibri"/>
        </w:rPr>
      </w:pPr>
      <w:bookmarkStart w:id="3" w:name="_Toc232605835"/>
      <w:bookmarkEnd w:id="1"/>
      <w:r>
        <w:rPr>
          <w:rFonts w:ascii="Calibri" w:hAnsi="Calibri" w:cs="Calibri"/>
        </w:rPr>
        <w:t>Section S1. Distance-Based Construction of Dispersed and Clustered Subsets</w:t>
      </w:r>
      <w:bookmarkEnd w:id="3"/>
    </w:p>
    <w:p>
      <w:pPr>
        <w:pStyle w:val="Heading3"/>
        <w:spacing w:before="120" w:line="264" w:lineRule="auto"/>
        <w:rPr>
          <w:rFonts w:ascii="Calibri" w:hAnsi="Calibri" w:cs="Calibri"/>
          <w:sz w:val="22"/>
          <w:szCs w:val="22"/>
        </w:rPr>
      </w:pPr>
      <w:bookmarkStart w:id="4" w:name="_Toc232605836"/>
      <w:r>
        <w:rPr>
          <w:rFonts w:ascii="Calibri" w:hAnsi="Calibri" w:cs="Calibri"/>
          <w:sz w:val="22"/>
          <w:szCs w:val="22"/>
        </w:rPr>
        <w:t>Distance-based descriptors of within-subset phylogenetic structure</w:t>
      </w:r>
      <w:bookmarkEnd w:id="4"/>
    </w:p>
    <w:p>
      <w:pPr>
        <w:pStyle w:val="NormalWeb"/>
        <w:spacing w:before="120" w:beforeAutospacing="0" w:line="264" w:lineRule="auto"/>
        <w:rPr>
          <w:rFonts w:ascii="Calibri" w:hAnsi="Calibri" w:cs="Calibri"/>
          <w:sz w:val="22"/>
          <w:szCs w:val="22"/>
        </w:rPr>
      </w:pPr>
      <w:r>
        <w:rPr>
          <w:rFonts w:ascii="Calibri" w:hAnsi="Calibri" w:cs="Calibri"/>
          <w:sz w:val="22"/>
          <w:szCs w:val="22"/>
        </w:rPr>
        <w:t xml:space="preserve">Let </w:t>
      </w:r>
      <w:r>
        <w:rPr>
          <w:rFonts w:ascii="Calibri" w:hAnsi="Calibri" w:cs="Calibri"/>
          <w:i/>
          <w:iCs/>
          <w:sz w:val="22"/>
          <w:szCs w:val="22"/>
        </w:rPr>
        <w:t>C</w:t>
      </w:r>
      <w:r>
        <w:rPr>
          <w:rFonts w:ascii="Calibri" w:hAnsi="Calibri" w:cs="Calibri"/>
          <w:sz w:val="22"/>
          <w:szCs w:val="22"/>
        </w:rPr>
        <w:t xml:space="preserve"> denote the candidate species pool and </w:t>
      </w:r>
      <w:r>
        <w:rPr>
          <w:rFonts w:ascii="Calibri" w:hAnsi="Calibri" w:cs="Calibri"/>
          <w:i/>
          <w:iCs/>
          <w:sz w:val="22"/>
          <w:szCs w:val="22"/>
        </w:rPr>
        <w:t>s</w:t>
      </w:r>
      <w:r>
        <w:rPr>
          <w:rFonts w:ascii="Calibri" w:hAnsi="Calibri" w:cs="Calibri"/>
          <w:sz w:val="22"/>
          <w:szCs w:val="22"/>
        </w:rPr>
        <w:t xml:space="preserve"> the target subset size. For each candidate pool, patristic distances among all species were represented by a distance matrix</w:t>
      </w:r>
      <w:r>
        <w:rPr>
          <w:rFonts w:ascii="Calibri" w:hAnsi="Calibri" w:cs="Calibri"/>
          <w:sz w:val="22"/>
          <w:szCs w:val="22"/>
        </w:rPr>
        <w:br/>
      </w:r>
      <m:oMathPara>
        <m:oMath>
          <m:r>
            <w:rPr>
              <w:rFonts w:ascii="Cambria Math" w:hAnsi="Cambria Math" w:cs="Calibri"/>
              <w:sz w:val="22"/>
              <w:szCs w:val="22"/>
            </w:rPr>
            <m:t>D=</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r>
            <w:rPr>
              <w:rFonts w:ascii="Cambria Math" w:hAnsi="Cambria Math" w:cs="Calibri"/>
              <w:sz w:val="22"/>
              <w:szCs w:val="22"/>
            </w:rPr>
            <m:t>,</m:t>
          </m:r>
        </m:oMath>
      </m:oMathPara>
    </w:p>
    <w:p>
      <w:pPr>
        <w:pStyle w:val="NormalWeb"/>
        <w:spacing w:line="264" w:lineRule="auto"/>
        <w:rPr>
          <w:rFonts w:ascii="Calibri" w:hAnsi="Calibri" w:cs="Calibri"/>
          <w:sz w:val="22"/>
          <w:szCs w:val="22"/>
        </w:rPr>
      </w:pPr>
      <w:r>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oMath>
      <w:r>
        <w:rPr>
          <w:rFonts w:ascii="Calibri" w:hAnsi="Calibri" w:cs="Calibri"/>
          <w:sz w:val="22"/>
          <w:szCs w:val="22"/>
        </w:rPr>
        <w:t xml:space="preserve"> is the total branch length connecting species </w:t>
      </w:r>
      <w:r>
        <w:rPr>
          <w:rFonts w:ascii="Calibri" w:hAnsi="Calibri" w:cs="Calibri"/>
          <w:i/>
          <w:iCs/>
          <w:sz w:val="22"/>
          <w:szCs w:val="22"/>
        </w:rPr>
        <w:t>i</w:t>
      </w:r>
      <w:r>
        <w:rPr>
          <w:rFonts w:ascii="Calibri" w:hAnsi="Calibri" w:cs="Calibri"/>
          <w:sz w:val="22"/>
          <w:szCs w:val="22"/>
        </w:rPr>
        <w:t xml:space="preserve"> and species </w:t>
      </w:r>
      <w:r>
        <w:rPr>
          <w:rFonts w:ascii="Calibri" w:hAnsi="Calibri" w:cs="Calibri"/>
          <w:i/>
          <w:iCs/>
          <w:sz w:val="22"/>
          <w:szCs w:val="22"/>
        </w:rPr>
        <w:t>j</w:t>
      </w:r>
      <w:r>
        <w:rPr>
          <w:rFonts w:ascii="Calibri" w:hAnsi="Calibri" w:cs="Calibri"/>
          <w:sz w:val="22"/>
          <w:szCs w:val="22"/>
        </w:rPr>
        <w:t xml:space="preserve">. For a target subset </w:t>
      </w:r>
      <m:oMath>
        <m:r>
          <w:rPr>
            <w:rFonts w:ascii="Cambria Math" w:hAnsi="Cambria Math" w:cs="Calibri"/>
            <w:sz w:val="22"/>
            <w:szCs w:val="22"/>
          </w:rPr>
          <m:t xml:space="preserve">S </m:t>
        </m:r>
        <m:r>
          <m:rPr>
            <m:sty m:val="p"/>
          </m:rPr>
          <w:rPr>
            <w:rFonts w:ascii="Cambria Math" w:hAnsi="Cambria Math" w:cs="Calibri"/>
            <w:sz w:val="22"/>
            <w:szCs w:val="22"/>
          </w:rPr>
          <m:t>⊂</m:t>
        </m:r>
        <m:r>
          <w:rPr>
            <w:rFonts w:ascii="Cambria Math" w:hAnsi="Cambria Math" w:cs="Calibri"/>
            <w:sz w:val="22"/>
            <w:szCs w:val="22"/>
          </w:rPr>
          <m:t>C</m:t>
        </m:r>
      </m:oMath>
      <w:r>
        <w:rPr>
          <w:rFonts w:ascii="Calibri" w:hAnsi="Calibri" w:cs="Calibri"/>
          <w:sz w:val="22"/>
          <w:szCs w:val="22"/>
        </w:rPr>
        <w:t xml:space="preserve"> of size </w:t>
      </w:r>
      <w:r>
        <w:rPr>
          <w:rFonts w:ascii="Calibri" w:hAnsi="Calibri" w:cs="Calibri"/>
          <w:i/>
          <w:iCs/>
          <w:sz w:val="22"/>
          <w:szCs w:val="22"/>
        </w:rPr>
        <w:t>s</w:t>
      </w:r>
      <w:r>
        <w:rPr>
          <w:rFonts w:ascii="Calibri" w:hAnsi="Calibri" w:cs="Calibri"/>
          <w:sz w:val="22"/>
          <w:szCs w:val="22"/>
        </w:rPr>
        <w:t>, we used distance-based descriptors to quantify different aspects of within-subset phylogenetic dispersion.</w:t>
      </w:r>
    </w:p>
    <w:p>
      <w:pPr>
        <w:pStyle w:val="NormalWeb"/>
        <w:spacing w:line="264" w:lineRule="auto"/>
        <w:rPr>
          <w:rFonts w:ascii="Calibri" w:hAnsi="Calibri" w:cs="Calibri"/>
          <w:sz w:val="22"/>
          <w:szCs w:val="22"/>
        </w:rPr>
      </w:pPr>
      <w:r>
        <w:rPr>
          <w:rFonts w:ascii="Calibri" w:hAnsi="Calibri" w:cs="Calibri"/>
          <w:sz w:val="22"/>
          <w:szCs w:val="22"/>
        </w:rPr>
        <w:t>The first descriptor was the minimum pairwise patristic distance,</w:t>
      </w:r>
    </w:p>
    <w:p>
      <w:pPr>
        <w:pStyle w:val="NormalWeb"/>
        <w:spacing w:line="264" w:lineRule="auto"/>
        <w:rPr>
          <w:rFonts w:ascii="Calibri" w:hAnsi="Calibri" w:cs="Calibri"/>
          <w:sz w:val="22"/>
          <w:szCs w:val="22"/>
        </w:rPr>
      </w:pPr>
      <m:oMathPara>
        <m:oMath>
          <m:r>
            <m:rPr>
              <m:nor/>
            </m:rPr>
            <w:rPr>
              <w:rFonts w:ascii="Calibri" w:hAnsi="Calibri" w:cs="Calibri"/>
              <w:sz w:val="22"/>
              <w:szCs w:val="22"/>
            </w:rPr>
            <m:t>MinPD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min</m:t>
                  </m:r>
                </m:e>
                <m:lim>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r>
            <w:rPr>
              <w:rFonts w:ascii="Cambria Math" w:hAnsi="Cambria Math" w:cs="Calibri"/>
              <w:sz w:val="22"/>
              <w:szCs w:val="22"/>
            </w:rPr>
            <m:t>,</m:t>
          </m:r>
        </m:oMath>
      </m:oMathPara>
    </w:p>
    <w:p>
      <w:pPr>
        <w:pStyle w:val="NormalWeb"/>
        <w:spacing w:line="264" w:lineRule="auto"/>
        <w:rPr>
          <w:rFonts w:ascii="Calibri" w:hAnsi="Calibri" w:cs="Calibri"/>
          <w:sz w:val="22"/>
          <w:szCs w:val="22"/>
        </w:rPr>
      </w:pPr>
      <w:r>
        <w:rPr>
          <w:rFonts w:ascii="Calibri" w:hAnsi="Calibri" w:cs="Calibri"/>
          <w:sz w:val="22"/>
          <w:szCs w:val="22"/>
        </w:rPr>
        <w:t>which captures the distance between the closest pair of selected species and is therefore sensitive to local crowding or near-duplicate species within the subset.</w:t>
      </w:r>
    </w:p>
    <w:p>
      <w:pPr>
        <w:pStyle w:val="NormalWeb"/>
        <w:spacing w:line="264" w:lineRule="auto"/>
        <w:rPr>
          <w:rFonts w:ascii="Calibri" w:hAnsi="Calibri" w:cs="Calibri"/>
          <w:sz w:val="22"/>
          <w:szCs w:val="22"/>
        </w:rPr>
      </w:pPr>
      <w:r>
        <w:rPr>
          <w:rFonts w:ascii="Calibri" w:hAnsi="Calibri" w:cs="Calibri"/>
          <w:sz w:val="22"/>
          <w:szCs w:val="22"/>
        </w:rPr>
        <w:t>The second descriptor was the mean pairwise patristic distance,</w:t>
      </w:r>
    </w:p>
    <w:p>
      <w:pPr>
        <w:pStyle w:val="NormalWeb"/>
        <w:spacing w:line="264" w:lineRule="auto"/>
        <w:rPr>
          <w:rFonts w:ascii="Calibri" w:hAnsi="Calibri" w:cs="Calibri"/>
          <w:sz w:val="22"/>
          <w:szCs w:val="22"/>
        </w:rPr>
      </w:pPr>
      <m:oMathPara>
        <m:oMath>
          <m:r>
            <m:rPr>
              <m:nor/>
            </m:rPr>
            <w:rPr>
              <w:rFonts w:ascii="Calibri" w:hAnsi="Calibri" w:cs="Calibri"/>
              <w:sz w:val="22"/>
              <w:szCs w:val="22"/>
            </w:rPr>
            <m:t>MeanPD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2</m:t>
              </m:r>
              <m:ctrlPr>
                <w:rPr>
                  <w:rFonts w:ascii="Cambria Math" w:hAnsi="Cambria Math" w:cs="Calibri"/>
                  <w:i/>
                  <w:sz w:val="22"/>
                  <w:szCs w:val="22"/>
                </w:rPr>
              </m:ctrlPr>
            </m:num>
            <m:den>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i/>
                  <w:sz w:val="22"/>
                  <w:szCs w:val="22"/>
                </w:rPr>
              </m:ctrlPr>
            </m:sub>
            <m:sup>
              <m:ctrlPr>
                <w:rPr>
                  <w:rFonts w:ascii="Cambria Math" w:hAnsi="Cambria Math" w:cs="Calibri"/>
                  <w:i/>
                  <w:sz w:val="22"/>
                  <w:szCs w:val="22"/>
                </w:rPr>
              </m:ctrlPr>
            </m:sup>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nary>
          <m:r>
            <w:rPr>
              <w:rFonts w:ascii="Cambria Math" w:hAnsi="Cambria Math" w:cs="Calibri"/>
              <w:sz w:val="22"/>
              <w:szCs w:val="22"/>
            </w:rPr>
            <m:t>,</m:t>
          </m:r>
        </m:oMath>
      </m:oMathPara>
    </w:p>
    <w:p>
      <w:pPr>
        <w:pStyle w:val="NormalWeb"/>
        <w:spacing w:line="264" w:lineRule="auto"/>
        <w:rPr>
          <w:rFonts w:ascii="Calibri" w:hAnsi="Calibri" w:cs="Calibri"/>
          <w:sz w:val="22"/>
          <w:szCs w:val="22"/>
        </w:rPr>
      </w:pPr>
      <w:r>
        <w:rPr>
          <w:rFonts w:ascii="Calibri" w:hAnsi="Calibri" w:cs="Calibri"/>
          <w:sz w:val="22"/>
          <w:szCs w:val="22"/>
        </w:rPr>
        <w:t>which summarizes the overall phylogenetic spread of the selected subset.</w:t>
      </w:r>
    </w:p>
    <w:p>
      <w:pPr>
        <w:pStyle w:val="NormalWeb"/>
        <w:spacing w:line="264" w:lineRule="auto"/>
        <w:rPr>
          <w:rFonts w:ascii="Calibri" w:hAnsi="Calibri" w:cs="Calibri"/>
          <w:sz w:val="22"/>
          <w:szCs w:val="22"/>
        </w:rPr>
      </w:pPr>
      <w:r>
        <w:rPr>
          <w:rFonts w:ascii="Calibri" w:hAnsi="Calibri" w:cs="Calibri"/>
          <w:sz w:val="22"/>
          <w:szCs w:val="22"/>
        </w:rPr>
        <w:t>The third descriptor was the mean nearest-neighbor phylogenetic distance,</w:t>
      </w:r>
    </w:p>
    <w:p>
      <w:pPr>
        <w:pStyle w:val="NormalWeb"/>
        <w:spacing w:line="264" w:lineRule="auto"/>
        <w:rPr>
          <w:rFonts w:ascii="Calibri" w:hAnsi="Calibri" w:cs="Calibri"/>
          <w:sz w:val="22"/>
          <w:szCs w:val="22"/>
        </w:rPr>
      </w:pPr>
      <m:oMathPara>
        <m:oMath>
          <m:r>
            <m:rPr>
              <m:nor/>
            </m:rPr>
            <w:rPr>
              <w:rFonts w:ascii="Calibri" w:hAnsi="Calibri" w:cs="Calibri"/>
              <w:sz w:val="22"/>
              <w:szCs w:val="22"/>
            </w:rPr>
            <m:t>MeanNND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ctrlPr>
                <w:rPr>
                  <w:rFonts w:ascii="Cambria Math" w:hAnsi="Cambria Math" w:cs="Calibri"/>
                  <w:i/>
                  <w:sz w:val="22"/>
                  <w:szCs w:val="22"/>
                </w:rPr>
              </m:ctrlPr>
            </m:num>
            <m:den>
              <m:r>
                <w:rPr>
                  <w:rFonts w:ascii="Cambria Math" w:hAnsi="Cambria Math" w:cs="Calibri"/>
                  <w:sz w:val="22"/>
                  <w:szCs w:val="22"/>
                </w:rPr>
                <m:t>s</m:t>
              </m:r>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ctrlPr>
                <w:rPr>
                  <w:rFonts w:ascii="Cambria Math" w:hAnsi="Cambria Math" w:cs="Calibri"/>
                  <w:i/>
                  <w:sz w:val="22"/>
                  <w:szCs w:val="22"/>
                </w:rPr>
              </m:ctrlPr>
            </m:sub>
            <m:sup>
              <m:ctrlPr>
                <w:rPr>
                  <w:rFonts w:ascii="Cambria Math" w:hAnsi="Cambria Math" w:cs="Calibri"/>
                  <w:i/>
                  <w:sz w:val="22"/>
                  <w:szCs w:val="22"/>
                </w:rPr>
              </m:ctrlPr>
            </m:sup>
            <m:e>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min</m:t>
                      </m:r>
                      <m:ctrlPr>
                        <w:rPr>
                          <w:rFonts w:ascii="Cambria Math" w:hAnsi="Cambria Math" w:cs="Calibri"/>
                          <w:sz w:val="22"/>
                          <w:szCs w:val="22"/>
                        </w:rPr>
                      </m:ctrlPr>
                    </m:e>
                    <m:lim>
                      <m:r>
                        <w:rPr>
                          <w:rFonts w:ascii="Cambria Math" w:hAnsi="Cambria Math" w:cs="Calibri"/>
                          <w:sz w:val="22"/>
                          <w:szCs w:val="22"/>
                        </w:rPr>
                        <m:t>j</m:t>
                      </m:r>
                      <m:r>
                        <m:rPr>
                          <m:sty m:val="p"/>
                        </m:rPr>
                        <w:rPr>
                          <w:rFonts w:ascii="Cambria Math" w:hAnsi="Cambria Math" w:cs="Calibri"/>
                          <w:sz w:val="22"/>
                          <w:szCs w:val="22"/>
                        </w:rPr>
                        <m:t>∈</m:t>
                      </m:r>
                      <m:r>
                        <w:rPr>
                          <w:rFonts w:ascii="Cambria Math" w:hAnsi="Cambria Math" w:cs="Calibri"/>
                          <w:sz w:val="22"/>
                          <w:szCs w:val="22"/>
                        </w:rPr>
                        <m:t>S;j</m:t>
                      </m:r>
                      <m:r>
                        <m:rPr>
                          <m:sty m:val="p"/>
                        </m:rPr>
                        <w:rPr>
                          <w:rFonts w:ascii="Cambria Math" w:hAnsi="Cambria Math" w:cs="Calibri"/>
                          <w:sz w:val="22"/>
                          <w:szCs w:val="22"/>
                        </w:rPr>
                        <m:t>≠</m:t>
                      </m:r>
                      <m:r>
                        <w:rPr>
                          <w:rFonts w:ascii="Cambria Math" w:hAnsi="Cambria Math" w:cs="Calibri"/>
                          <w:sz w:val="22"/>
                          <w:szCs w:val="22"/>
                        </w:rPr>
                        <m:t>i</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ctrlPr>
                <w:rPr>
                  <w:rFonts w:ascii="Cambria Math" w:hAnsi="Cambria Math" w:cs="Calibri"/>
                  <w:i/>
                  <w:sz w:val="22"/>
                  <w:szCs w:val="22"/>
                </w:rPr>
              </m:ctrlPr>
            </m:e>
          </m:nary>
          <m:r>
            <w:rPr>
              <w:rFonts w:ascii="Cambria Math" w:hAnsi="Cambria Math" w:cs="Calibri"/>
              <w:sz w:val="22"/>
              <w:szCs w:val="22"/>
            </w:rPr>
            <m:t>,</m:t>
          </m:r>
        </m:oMath>
      </m:oMathPara>
    </w:p>
    <w:p>
      <w:pPr>
        <w:pStyle w:val="NormalWeb"/>
        <w:spacing w:line="264" w:lineRule="auto"/>
        <w:rPr>
          <w:rFonts w:ascii="Calibri" w:hAnsi="Calibri" w:cs="Calibri"/>
          <w:sz w:val="22"/>
          <w:szCs w:val="22"/>
        </w:rPr>
      </w:pPr>
      <w:r>
        <w:rPr>
          <w:rFonts w:ascii="Calibri" w:hAnsi="Calibri" w:cs="Calibri"/>
          <w:sz w:val="22"/>
          <w:szCs w:val="22"/>
        </w:rPr>
        <w:t>which measures the average distance from each selected species to its nearest selected neighbor and therefore reflects local spacing around selected tips.</w:t>
      </w:r>
    </w:p>
    <w:p>
      <w:pPr>
        <w:pStyle w:val="NormalWeb"/>
        <w:spacing w:line="264" w:lineRule="auto"/>
        <w:rPr>
          <w:rFonts w:ascii="Calibri" w:hAnsi="Calibri" w:cs="Calibri"/>
          <w:sz w:val="22"/>
          <w:szCs w:val="22"/>
        </w:rPr>
      </w:pPr>
      <w:r>
        <w:rPr>
          <w:rFonts w:ascii="Calibri" w:hAnsi="Calibri" w:cs="Calibri"/>
          <w:sz w:val="22"/>
          <w:szCs w:val="22"/>
        </w:rPr>
        <w:t>For clustered subset construction, we also used the maximum pairwise patristic distance,</w:t>
      </w:r>
    </w:p>
    <w:p>
      <w:pPr>
        <w:pStyle w:val="NormalWeb"/>
        <w:spacing w:line="264" w:lineRule="auto"/>
        <w:rPr>
          <w:rFonts w:ascii="Calibri" w:hAnsi="Calibri" w:cs="Calibri"/>
          <w:sz w:val="22"/>
          <w:szCs w:val="22"/>
        </w:rPr>
      </w:pPr>
      <m:oMathPara>
        <m:oMath>
          <m:r>
            <m:rPr>
              <m:nor/>
            </m:rPr>
            <w:rPr>
              <w:rFonts w:ascii="Calibri" w:hAnsi="Calibri" w:cs="Calibri"/>
              <w:sz w:val="22"/>
              <w:szCs w:val="22"/>
            </w:rPr>
            <m:t>MaxPD</m:t>
          </m:r>
          <m:d>
            <m:dPr>
              <m:ctrlPr>
                <w:rPr>
                  <w:rFonts w:ascii="Cambria Math" w:hAnsi="Cambria Math" w:cs="Calibri"/>
                  <w:i/>
                  <w:sz w:val="22"/>
                  <w:szCs w:val="22"/>
                </w:rPr>
              </m:ctrlPr>
            </m:dPr>
            <m:e>
              <m:r>
                <w:rPr>
                  <w:rFonts w:ascii="Cambria Math" w:hAnsi="Cambria Math" w:cs="Calibri"/>
                  <w:sz w:val="22"/>
                  <w:szCs w:val="22"/>
                </w:rPr>
                <m:t>S</m:t>
              </m:r>
            </m:e>
          </m:d>
          <m:r>
            <w:rPr>
              <w:rFonts w:ascii="Cambria Math" w:hAnsi="Cambria Math" w:cs="Calibri"/>
              <w:sz w:val="22"/>
              <w:szCs w:val="22"/>
            </w:rPr>
            <m:t>=</m:t>
          </m:r>
          <m:func>
            <m:funcPr>
              <m:ctrlPr>
                <w:rPr>
                  <w:rFonts w:ascii="Cambria Math" w:hAnsi="Cambria Math" w:cs="Calibri"/>
                  <w:sz w:val="22"/>
                  <w:szCs w:val="22"/>
                </w:rPr>
              </m:ctrlPr>
            </m:funcPr>
            <m:fName>
              <m:limLow>
                <m:limLowPr>
                  <m:ctrlPr>
                    <w:rPr>
                      <w:rFonts w:ascii="Cambria Math" w:hAnsi="Cambria Math" w:cs="Calibri"/>
                      <w:i/>
                      <w:sz w:val="22"/>
                      <w:szCs w:val="22"/>
                    </w:rPr>
                  </m:ctrlPr>
                </m:limLowPr>
                <m:e>
                  <m:r>
                    <m:rPr>
                      <m:sty m:val="p"/>
                    </m:rPr>
                    <w:rPr>
                      <w:rFonts w:ascii="Cambria Math" w:hAnsi="Cambria Math" w:cs="Calibri"/>
                      <w:sz w:val="22"/>
                      <w:szCs w:val="22"/>
                    </w:rPr>
                    <m:t>max</m:t>
                  </m:r>
                </m:e>
                <m:lim>
                  <m:r>
                    <w:rPr>
                      <w:rFonts w:ascii="Cambria Math" w:hAnsi="Cambria Math" w:cs="Calibri"/>
                      <w:sz w:val="22"/>
                      <w:szCs w:val="22"/>
                    </w:rPr>
                    <m:t>i,j</m:t>
                  </m:r>
                  <m:r>
                    <m:rPr>
                      <m:sty m:val="p"/>
                    </m:rPr>
                    <w:rPr>
                      <w:rFonts w:ascii="Cambria Math" w:hAnsi="Cambria Math" w:cs="Calibri"/>
                      <w:sz w:val="22"/>
                      <w:szCs w:val="22"/>
                    </w:rPr>
                    <m:t>∈</m:t>
                  </m:r>
                  <m:r>
                    <w:rPr>
                      <w:rFonts w:ascii="Cambria Math" w:hAnsi="Cambria Math" w:cs="Calibri"/>
                      <w:sz w:val="22"/>
                      <w:szCs w:val="22"/>
                    </w:rPr>
                    <m:t>S,,i&lt;j</m:t>
                  </m:r>
                  <m:ctrlPr>
                    <w:rPr>
                      <w:rFonts w:ascii="Cambria Math" w:hAnsi="Cambria Math" w:cs="Calibri"/>
                      <w:sz w:val="22"/>
                      <w:szCs w:val="22"/>
                    </w:rPr>
                  </m:ctrlPr>
                </m:lim>
              </m:limLow>
              <m:ctrlPr>
                <w:rPr>
                  <w:rFonts w:ascii="Cambria Math" w:hAnsi="Cambria Math" w:cs="Calibri"/>
                  <w:i/>
                  <w:sz w:val="22"/>
                  <w:szCs w:val="22"/>
                </w:rPr>
              </m:ctrlPr>
            </m:fName>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ij</m:t>
                  </m:r>
                </m:sub>
              </m:sSub>
              <m:ctrlPr>
                <w:rPr>
                  <w:rFonts w:ascii="Cambria Math" w:hAnsi="Cambria Math" w:cs="Calibri"/>
                  <w:i/>
                  <w:sz w:val="22"/>
                  <w:szCs w:val="22"/>
                </w:rPr>
              </m:ctrlPr>
            </m:e>
          </m:func>
          <m:r>
            <w:rPr>
              <w:rFonts w:ascii="Cambria Math" w:hAnsi="Cambria Math" w:cs="Calibri"/>
              <w:sz w:val="22"/>
              <w:szCs w:val="22"/>
            </w:rPr>
            <m:t>,</m:t>
          </m:r>
        </m:oMath>
      </m:oMathPara>
    </w:p>
    <w:p>
      <w:pPr>
        <w:pStyle w:val="NormalWeb"/>
        <w:spacing w:line="264" w:lineRule="auto"/>
        <w:rPr>
          <w:rFonts w:ascii="Calibri" w:hAnsi="Calibri" w:cs="Calibri"/>
          <w:sz w:val="22"/>
          <w:szCs w:val="22"/>
        </w:rPr>
      </w:pPr>
      <w:r>
        <w:rPr>
          <w:rFonts w:ascii="Calibri" w:hAnsi="Calibri" w:cs="Calibri"/>
          <w:sz w:val="22"/>
          <w:szCs w:val="22"/>
        </w:rPr>
        <w:t>which represents the greatest phylogenetic separation between any two selected species in the subset. In the clustered-subset context, MaxPD served as a boundary-distance criterion, helping to ensure that even the most distant pair of selected species remained phylogenetically close.</w:t>
      </w:r>
    </w:p>
    <w:p>
      <w:pPr>
        <w:pStyle w:val="NormalWeb"/>
        <w:spacing w:line="264" w:lineRule="auto"/>
        <w:rPr>
          <w:rFonts w:ascii="Calibri" w:hAnsi="Calibri" w:cs="Calibri"/>
          <w:sz w:val="22"/>
          <w:szCs w:val="22"/>
        </w:rPr>
      </w:pPr>
      <w:r>
        <w:rPr>
          <w:rFonts w:ascii="Calibri" w:hAnsi="Calibri" w:cs="Calibri"/>
          <w:sz w:val="22"/>
          <w:szCs w:val="22"/>
        </w:rPr>
        <w:t>Together, these descriptors capture complementary aspects of within-subset phylogenetic structure. MinPD reflects the closest selected pair, MeanPD reflects overall spread or compactness, MeanNND reflects local spacing around selected species, and MaxPD reflects the outer boundary of the subset.</w:t>
      </w:r>
    </w:p>
    <w:p>
      <w:pPr>
        <w:pStyle w:val="Heading3"/>
        <w:spacing w:before="120" w:line="264" w:lineRule="auto"/>
        <w:rPr>
          <w:rFonts w:ascii="Calibri" w:hAnsi="Calibri" w:cs="Calibri"/>
          <w:sz w:val="22"/>
          <w:szCs w:val="22"/>
        </w:rPr>
      </w:pPr>
      <w:bookmarkStart w:id="5" w:name="_Toc232605837"/>
      <w:r>
        <w:rPr>
          <w:rFonts w:ascii="Calibri" w:hAnsi="Calibri" w:cs="Calibri"/>
          <w:sz w:val="22"/>
          <w:szCs w:val="22"/>
        </w:rPr>
        <w:lastRenderedPageBreak/>
        <w:t>Construction of phylogenetically dispersed subsets</w:t>
      </w:r>
      <w:bookmarkEnd w:id="5"/>
    </w:p>
    <w:p>
      <w:pPr>
        <w:pStyle w:val="NormalWeb"/>
        <w:spacing w:line="264" w:lineRule="auto"/>
        <w:rPr>
          <w:rFonts w:ascii="Calibri" w:hAnsi="Calibri" w:cs="Calibri"/>
          <w:sz w:val="22"/>
          <w:szCs w:val="22"/>
        </w:rPr>
      </w:pPr>
      <w:r>
        <w:rPr>
          <w:rFonts w:ascii="Calibri" w:hAnsi="Calibri" w:cs="Calibri"/>
          <w:sz w:val="22"/>
          <w:szCs w:val="22"/>
        </w:rPr>
        <w:t>Phylogenetically dispersed subset construction was formulated as a multi-criterion optimization problem. The primary objective was to maximize MinPD, with MeanPD and MeanNND used as secondary and tertiary criteria, respectively. Thus, between two candidate subsets of the same size, the preferred subset was the one with the larger MinPD; if MinPD was tied, the subset with the larger MeanPD was preferred; if both MinPD and MeanPD were tied, the subset with the larger MeanNND was preferred. This ordered criterion was used to prioritize avoidance of very close species pairs while still favoring broad overall spread and local separation across the candidate-pool tree.</w:t>
      </w:r>
    </w:p>
    <w:p>
      <w:pPr>
        <w:pStyle w:val="NormalWeb"/>
        <w:spacing w:line="264" w:lineRule="auto"/>
        <w:rPr>
          <w:rFonts w:ascii="Calibri" w:hAnsi="Calibri" w:cs="Calibri"/>
          <w:sz w:val="22"/>
          <w:szCs w:val="22"/>
        </w:rPr>
      </w:pPr>
      <w:r>
        <w:rPr>
          <w:rFonts w:ascii="Calibri" w:hAnsi="Calibri" w:cs="Calibri"/>
          <w:sz w:val="22"/>
          <w:szCs w:val="22"/>
        </w:rPr>
        <w:t>Because exhaustive search over all possible subsets was computationally impractical for large candidate pools, dispersed subsets were constructed using a two-stage heuristic procedure. In the first stage, an initial subset was built by greedy forward selection. The first species was chosen as the species with the largest average patristic distance to all other species in the candidate pool, thereby placing the initial subset at a phylogenetically peripheral position rather than at an arbitrary starting point. Species were then added sequentially until the target subset size was reached. At each step, every unselected candidate was temporarily added to the current subset, and the resulting candidate subset was evaluated using the ordered criteria: larger MinPD, then larger MeanPD, then larger MeanNND. The candidate producing the best ordered value was retained.</w:t>
      </w:r>
    </w:p>
    <w:p>
      <w:pPr>
        <w:pStyle w:val="NormalWeb"/>
        <w:spacing w:line="264" w:lineRule="auto"/>
        <w:rPr>
          <w:rFonts w:ascii="Calibri" w:hAnsi="Calibri" w:cs="Calibri"/>
          <w:sz w:val="22"/>
          <w:szCs w:val="22"/>
        </w:rPr>
      </w:pPr>
      <w:r>
        <w:rPr>
          <w:rFonts w:ascii="Calibri" w:hAnsi="Calibri" w:cs="Calibri"/>
          <w:sz w:val="22"/>
          <w:szCs w:val="22"/>
        </w:rPr>
        <w:t xml:space="preserve">In the second stage, the complete greedy subset was refined by one-for-one local swaps. For every species already included in this subset, we considered replacing it with each species not included in the subset, and each resulting one-for-one replacement was re-evaluated under the same ordered criteria. A replacement was accepted if it improved the ordered objective. This procedure was repeated until no further improving exchange could be found. </w:t>
      </w:r>
    </w:p>
    <w:p>
      <w:pPr>
        <w:pStyle w:val="NormalWeb"/>
        <w:spacing w:line="264" w:lineRule="auto"/>
        <w:rPr>
          <w:rFonts w:ascii="Calibri" w:hAnsi="Calibri" w:cs="Calibri"/>
          <w:sz w:val="22"/>
          <w:szCs w:val="22"/>
        </w:rPr>
      </w:pPr>
      <w:r>
        <w:rPr>
          <w:rFonts w:ascii="Calibri" w:hAnsi="Calibri" w:cs="Calibri"/>
          <w:sz w:val="22"/>
          <w:szCs w:val="22"/>
        </w:rPr>
        <w:t>The greedy initialization was used only to provide a deterministic starting point; the subsequent swap-based refinement allowed the final subset to move away from the initial greedy path when alternative combinations better satisfied the ordered dispersion criteria. Although this heuristic does not guarantee a global optimum, it provides a transparent and computationally practical procedure for constructing strongly dispersed subsets from large candidate pools.</w:t>
      </w:r>
    </w:p>
    <w:p>
      <w:pPr>
        <w:pStyle w:val="Heading3"/>
        <w:spacing w:before="120" w:line="264" w:lineRule="auto"/>
        <w:rPr>
          <w:rFonts w:ascii="Calibri" w:hAnsi="Calibri" w:cs="Calibri"/>
          <w:sz w:val="22"/>
          <w:szCs w:val="22"/>
        </w:rPr>
      </w:pPr>
      <w:bookmarkStart w:id="6" w:name="_Toc232605838"/>
      <w:r>
        <w:rPr>
          <w:rFonts w:ascii="Calibri" w:hAnsi="Calibri" w:cs="Calibri"/>
          <w:sz w:val="22"/>
          <w:szCs w:val="22"/>
        </w:rPr>
        <w:t>Construction of phylogenetically clustered subsets</w:t>
      </w:r>
      <w:bookmarkEnd w:id="6"/>
    </w:p>
    <w:p>
      <w:pPr>
        <w:pStyle w:val="NormalWeb"/>
        <w:spacing w:line="264" w:lineRule="auto"/>
        <w:rPr>
          <w:rFonts w:ascii="Calibri" w:hAnsi="Calibri" w:cs="Calibri"/>
          <w:sz w:val="22"/>
          <w:szCs w:val="22"/>
        </w:rPr>
      </w:pPr>
      <w:r>
        <w:rPr>
          <w:rFonts w:ascii="Calibri" w:hAnsi="Calibri" w:cs="Calibri"/>
          <w:sz w:val="22"/>
          <w:szCs w:val="22"/>
        </w:rPr>
        <w:t>Phylogenetically clustered subsets were constructed as high-dependence contrast sets rather than as the primary optimization target of the framework. Because clustered subset construction is inherently tree-local rather than globally dispersive, clustered subsets were not generated by applying the dispersed-subset procedure in reverse. Instead, we used a separate clustering-oriented heuristic.</w:t>
      </w:r>
    </w:p>
    <w:p>
      <w:pPr>
        <w:pStyle w:val="NormalWeb"/>
        <w:spacing w:line="264" w:lineRule="auto"/>
        <w:rPr>
          <w:rFonts w:ascii="Calibri" w:hAnsi="Calibri" w:cs="Calibri"/>
          <w:sz w:val="22"/>
          <w:szCs w:val="22"/>
        </w:rPr>
      </w:pPr>
      <w:r>
        <w:rPr>
          <w:rFonts w:ascii="Calibri" w:hAnsi="Calibri" w:cs="Calibri"/>
          <w:sz w:val="22"/>
          <w:szCs w:val="22"/>
        </w:rPr>
        <w:t>For clustered subset construction, candidate subsets were ranked using an ordered compactness criterion: smaller MeanPD was prioritized first, followed by smaller MeanNND and smaller MaxPD. MeanPD was used as the primary criterion because the goal was to select subsets that were compact in overall phylogenetic distance. MeanNND was used as a secondary criterion to capture local neighborhood compactness. MaxPD was used as a tertiary boundary-distance criterion to avoid selecting subsets in which one or more species were relatively distant from the rest of the cluster.</w:t>
      </w:r>
    </w:p>
    <w:p>
      <w:pPr>
        <w:pStyle w:val="NormalWeb"/>
        <w:spacing w:line="264" w:lineRule="auto"/>
        <w:rPr>
          <w:rFonts w:ascii="Calibri" w:hAnsi="Calibri" w:cs="Calibri"/>
          <w:sz w:val="22"/>
          <w:szCs w:val="22"/>
        </w:rPr>
      </w:pPr>
      <w:r>
        <w:rPr>
          <w:rFonts w:ascii="Calibri" w:hAnsi="Calibri" w:cs="Calibri"/>
          <w:sz w:val="22"/>
          <w:szCs w:val="22"/>
        </w:rPr>
        <w:t xml:space="preserve">Each species in the candidate pool was used in turn as the starting species. For each starting species, an initial clustered subset was constructed sequentially. At each step, one species from the remaining candidate pool was added to the current subset so as to minimize MeanPD, with MeanNND and MaxPD </w:t>
      </w:r>
      <w:r>
        <w:rPr>
          <w:rFonts w:ascii="Calibri" w:hAnsi="Calibri" w:cs="Calibri"/>
          <w:sz w:val="22"/>
          <w:szCs w:val="22"/>
        </w:rPr>
        <w:lastRenderedPageBreak/>
        <w:t>used as secondary and tertiary criteria, respectively. This process continued until the target subset size was reached.</w:t>
      </w:r>
    </w:p>
    <w:p>
      <w:pPr>
        <w:pStyle w:val="NormalWeb"/>
        <w:spacing w:line="264" w:lineRule="auto"/>
        <w:rPr>
          <w:rFonts w:ascii="Calibri" w:hAnsi="Calibri" w:cs="Calibri"/>
          <w:sz w:val="22"/>
          <w:szCs w:val="22"/>
        </w:rPr>
      </w:pPr>
      <w:r>
        <w:rPr>
          <w:rFonts w:ascii="Calibri" w:hAnsi="Calibri" w:cs="Calibri"/>
          <w:sz w:val="22"/>
          <w:szCs w:val="22"/>
        </w:rPr>
        <w:t>The resulting clustered subset was then refined by one-for-one exchanges between selected and unselected species. Each possible exchange was evaluated under the same ordered clustering criterion: smaller MeanPD, then smaller MeanNND, then smaller MaxPD. An exchange was accepted if it improved this ordered criterion, and the procedure was repeated until no further improving exchange could be found.</w:t>
      </w:r>
    </w:p>
    <w:p>
      <w:pPr>
        <w:pStyle w:val="NormalWeb"/>
        <w:spacing w:line="264" w:lineRule="auto"/>
        <w:rPr>
          <w:rFonts w:ascii="Calibri" w:hAnsi="Calibri" w:cs="Calibri"/>
          <w:sz w:val="22"/>
          <w:szCs w:val="22"/>
        </w:rPr>
      </w:pPr>
      <w:r>
        <w:rPr>
          <w:rFonts w:ascii="Calibri" w:hAnsi="Calibri" w:cs="Calibri"/>
          <w:sz w:val="22"/>
          <w:szCs w:val="22"/>
        </w:rPr>
        <w:t>Because each species was used as a starting point, multiple candidate clustered subsets were generated for each candidate pool and target subset size. Duplicate candidate subsets generated from different starting species were collapsed before ranking. The remaining candidate clustered subsets were then compared using the same clustering-oriented order, and the best-ranked subset was retained as the final clustered subset for that candidate pool and subset size.</w:t>
      </w:r>
    </w:p>
    <w:p>
      <w:pPr>
        <w:pStyle w:val="NormalWeb"/>
        <w:spacing w:line="264" w:lineRule="auto"/>
        <w:rPr>
          <w:rFonts w:ascii="Calibri" w:hAnsi="Calibri" w:cs="Calibri"/>
          <w:sz w:val="22"/>
          <w:szCs w:val="22"/>
        </w:rPr>
      </w:pPr>
      <w:r>
        <w:rPr>
          <w:rFonts w:ascii="Calibri" w:hAnsi="Calibri" w:cs="Calibri"/>
          <w:b/>
          <w:bCs/>
          <w:sz w:val="22"/>
          <w:szCs w:val="22"/>
        </w:rPr>
        <w:t>Alternative implementation note</w:t>
      </w:r>
      <w:r>
        <w:rPr>
          <w:rFonts w:ascii="Calibri" w:hAnsi="Calibri" w:cs="Calibri"/>
          <w:sz w:val="22"/>
          <w:szCs w:val="22"/>
        </w:rPr>
        <w:t xml:space="preserve">: A simpler nearest-neighbor approach is also implemented. In this approach, each species in the candidate pool is used in turn as the starting species, and the subset is formed by adding the </w:t>
      </w:r>
      <w:r>
        <w:rPr>
          <w:rFonts w:ascii="Calibri" w:hAnsi="Calibri" w:cs="Calibri"/>
          <w:i/>
          <w:iCs/>
          <w:sz w:val="22"/>
          <w:szCs w:val="22"/>
        </w:rPr>
        <w:t>s</w:t>
      </w:r>
      <w:r>
        <w:rPr>
          <w:rFonts w:ascii="Calibri" w:hAnsi="Calibri" w:cs="Calibri"/>
          <w:sz w:val="22"/>
          <w:szCs w:val="22"/>
        </w:rPr>
        <w:t xml:space="preserve"> − 1 species with the smallest patristic distances to that starting species. This approach is computationally faster because it does not re-evaluate the full within-subset distance structure during sequential construction or subsequent exchange steps. In most cases, it produced the same clustered subsets as the greedy-plus-exchange procedure, but in some cases the greedy-plus-exchange procedure produced more compact subsets under the ordered clustering criterion. Therefore, the nearest-neighbor approach was retained as a faster approximation but was not used in the main analyses reported here.</w:t>
      </w:r>
    </w:p>
    <w:p>
      <w:pPr>
        <w:pStyle w:val="Heading2"/>
        <w:spacing w:before="120" w:line="264" w:lineRule="auto"/>
        <w:rPr>
          <w:rFonts w:ascii="Calibri" w:hAnsi="Calibri" w:cs="Calibri"/>
        </w:rPr>
      </w:pPr>
      <w:bookmarkStart w:id="7" w:name="_Toc232605839"/>
      <w:r>
        <w:rPr>
          <w:rFonts w:ascii="Calibri" w:hAnsi="Calibri" w:cs="Calibri"/>
        </w:rPr>
        <w:t>Section S2. Prediction-Metric-Based Independence-Equivalent Sample Size</w:t>
      </w:r>
      <w:bookmarkEnd w:id="7"/>
    </w:p>
    <w:p>
      <w:pPr>
        <w:pStyle w:val="BodyText"/>
        <w:spacing w:line="264" w:lineRule="auto"/>
        <w:rPr>
          <w:rFonts w:ascii="Calibri" w:hAnsi="Calibri" w:cs="Calibri"/>
          <w:sz w:val="22"/>
          <w:szCs w:val="22"/>
        </w:rPr>
      </w:pPr>
      <w:r>
        <w:rPr>
          <w:rFonts w:ascii="Calibri" w:hAnsi="Calibri" w:cs="Calibri"/>
          <w:sz w:val="22"/>
          <w:szCs w:val="22"/>
        </w:rPr>
        <w:t>MIESS provides a mean-based diagnostic of subset-level information content. Species-level machine-learning evaluation, however, typically focuses on predictive-performance metrics rather than mean estimation. Because effective sample size governs the stability of performance estimates across repeated samples, larger effective sample sizes correspond to narrower 95% empirical intervals. We therefore additionally performed a prediction-metric-based calibration to estimate how many independent test species would yield a comparable level of uncertainty in common predictive metrics.</w:t>
      </w:r>
    </w:p>
    <w:p>
      <w:pPr>
        <w:pStyle w:val="BodyText"/>
        <w:spacing w:line="264" w:lineRule="auto"/>
        <w:rPr>
          <w:rFonts w:ascii="Calibri" w:hAnsi="Calibri" w:cs="Calibri"/>
          <w:sz w:val="22"/>
          <w:szCs w:val="22"/>
        </w:rPr>
      </w:pPr>
      <w:r>
        <w:rPr>
          <w:rFonts w:ascii="Calibri" w:hAnsi="Calibri" w:cs="Calibri"/>
          <w:sz w:val="22"/>
          <w:szCs w:val="22"/>
        </w:rPr>
        <w:t xml:space="preserve">This analysis was performed for 64-species subsets selected from the 512-species </w:t>
      </w:r>
      <w:r>
        <w:rPr>
          <w:rFonts w:ascii="Calibri" w:hAnsi="Calibri" w:cs="Calibri"/>
          <w:i/>
          <w:iCs/>
          <w:sz w:val="22"/>
          <w:szCs w:val="22"/>
        </w:rPr>
        <w:t>Cricetidae</w:t>
      </w:r>
      <w:r>
        <w:rPr>
          <w:rFonts w:ascii="Calibri" w:hAnsi="Calibri" w:cs="Calibri"/>
          <w:sz w:val="22"/>
          <w:szCs w:val="22"/>
        </w:rPr>
        <w:t xml:space="preserve"> candidate pool. We focused on the phylogenetically dispersed and phylogenetically clustered subsets as contrasting low- and high-dependence cases. The prediction-metric-based independence-equivalent sample size was estimated separately for root mean squared error (RMSE), mean absolute error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For computational efficiency, simulations were conducted directly on the selected subsets rather than on the full 512-species tree. This simplification does not change the simulated distribution for the selected species. Under a multivariate normal model, the marginal distribution of any selected subset of variables is also multivariate normal. The mean vector of that marginal distribution is obtained by retaining the components of the full mean vector for the selected species, and its covariance matrix is obtained by retaining the rows and columns for those same species in the full covariance matrix. Therefore, simulating values on the full 512-tip tree and then extracting the selected 64 species is statistically equivalent, for the present purpose, to simulating them directly using the subset-specific </w:t>
      </w:r>
      <m:oMath>
        <m:r>
          <w:rPr>
            <w:rFonts w:ascii="Cambria Math" w:hAnsi="Cambria Math" w:cs="Calibri"/>
            <w:sz w:val="22"/>
            <w:szCs w:val="22"/>
          </w:rPr>
          <m:t>64</m:t>
        </m:r>
        <m:r>
          <m:rPr>
            <m:sty m:val="p"/>
          </m:rPr>
          <w:rPr>
            <w:rFonts w:ascii="Cambria Math" w:hAnsi="Cambria Math" w:cs="Calibri"/>
            <w:sz w:val="22"/>
            <w:szCs w:val="22"/>
          </w:rPr>
          <m:t>×</m:t>
        </m:r>
        <m:r>
          <w:rPr>
            <w:rFonts w:ascii="Cambria Math" w:hAnsi="Cambria Math" w:cs="Calibri"/>
            <w:sz w:val="22"/>
            <w:szCs w:val="22"/>
          </w:rPr>
          <m:t>64</m:t>
        </m:r>
      </m:oMath>
      <w:r>
        <w:rPr>
          <w:rFonts w:ascii="Calibri" w:hAnsi="Calibri" w:cs="Calibri"/>
          <w:sz w:val="22"/>
          <w:szCs w:val="22"/>
        </w:rPr>
        <w:t xml:space="preserve"> correlation matrix. We therefore first fixed the 64-species dispersed and clustered subsets, extracted their subset-specific Brownian-motion correlation matrices from the full </w:t>
      </w:r>
      <m:oMath>
        <m:r>
          <w:rPr>
            <w:rFonts w:ascii="Cambria Math" w:hAnsi="Cambria Math" w:cs="Calibri"/>
            <w:sz w:val="22"/>
            <w:szCs w:val="22"/>
          </w:rPr>
          <m:t>512</m:t>
        </m:r>
        <m:r>
          <m:rPr>
            <m:sty m:val="p"/>
          </m:rPr>
          <w:rPr>
            <w:rFonts w:ascii="Cambria Math" w:hAnsi="Cambria Math" w:cs="Calibri"/>
            <w:sz w:val="22"/>
            <w:szCs w:val="22"/>
          </w:rPr>
          <m:t>×</m:t>
        </m:r>
        <m:r>
          <w:rPr>
            <w:rFonts w:ascii="Cambria Math" w:hAnsi="Cambria Math" w:cs="Calibri"/>
            <w:sz w:val="22"/>
            <w:szCs w:val="22"/>
          </w:rPr>
          <m:t>512</m:t>
        </m:r>
      </m:oMath>
      <w:r>
        <w:rPr>
          <w:rFonts w:ascii="Calibri" w:hAnsi="Calibri" w:cs="Calibri"/>
          <w:sz w:val="22"/>
          <w:szCs w:val="22"/>
        </w:rPr>
        <w:t xml:space="preserve"> correlation matrix, and conducted the simulations directly on these </w:t>
      </w:r>
      <m:oMath>
        <m:r>
          <w:rPr>
            <w:rFonts w:ascii="Cambria Math" w:hAnsi="Cambria Math" w:cs="Calibri"/>
            <w:sz w:val="22"/>
            <w:szCs w:val="22"/>
          </w:rPr>
          <m:t>64</m:t>
        </m:r>
        <m:r>
          <m:rPr>
            <m:sty m:val="p"/>
          </m:rPr>
          <w:rPr>
            <w:rFonts w:ascii="Cambria Math" w:hAnsi="Cambria Math" w:cs="Calibri"/>
            <w:sz w:val="22"/>
            <w:szCs w:val="22"/>
          </w:rPr>
          <m:t>×</m:t>
        </m:r>
        <m:r>
          <w:rPr>
            <w:rFonts w:ascii="Cambria Math" w:hAnsi="Cambria Math" w:cs="Calibri"/>
            <w:sz w:val="22"/>
            <w:szCs w:val="22"/>
          </w:rPr>
          <m:t>64</m:t>
        </m:r>
      </m:oMath>
      <w:r>
        <w:rPr>
          <w:rFonts w:ascii="Calibri" w:hAnsi="Calibri" w:cs="Calibri"/>
          <w:sz w:val="22"/>
          <w:szCs w:val="22"/>
        </w:rPr>
        <w:t xml:space="preserve"> matrices.</w:t>
      </w:r>
    </w:p>
    <w:p>
      <w:pPr>
        <w:pStyle w:val="BodyText"/>
        <w:spacing w:line="264" w:lineRule="auto"/>
        <w:rPr>
          <w:rFonts w:ascii="Calibri" w:hAnsi="Calibri" w:cs="Calibri"/>
          <w:sz w:val="22"/>
          <w:szCs w:val="22"/>
        </w:rPr>
      </w:pPr>
      <w:r>
        <w:rPr>
          <w:rFonts w:ascii="Calibri" w:hAnsi="Calibri" w:cs="Calibri"/>
          <w:sz w:val="22"/>
          <w:szCs w:val="22"/>
        </w:rPr>
        <w:lastRenderedPageBreak/>
        <w:t xml:space="preserve">For each target subset </w:t>
      </w:r>
      <m:oMath>
        <m:r>
          <w:rPr>
            <w:rFonts w:ascii="Cambria Math" w:hAnsi="Cambria Math" w:cs="Calibri"/>
            <w:sz w:val="22"/>
            <w:szCs w:val="22"/>
          </w:rPr>
          <m:t>S</m:t>
        </m:r>
      </m:oMath>
      <w:r>
        <w:rPr>
          <w:rFonts w:ascii="Calibri" w:hAnsi="Calibri" w:cs="Calibri"/>
          <w:sz w:val="22"/>
          <w:szCs w:val="22"/>
        </w:rPr>
        <w:t xml:space="preserve">, we denoted its Brownian-motion correlation matrix as </w:t>
      </w:r>
      <m:oMath>
        <m:sSub>
          <m:sSubPr>
            <m:ctrlPr>
              <w:rPr>
                <w:rFonts w:ascii="Cambria Math" w:hAnsi="Cambria Math" w:cs="Calibri"/>
                <w:sz w:val="22"/>
                <w:szCs w:val="22"/>
              </w:rPr>
            </m:ctrlPr>
          </m:sSubPr>
          <m:e>
            <m:r>
              <w:rPr>
                <w:rFonts w:ascii="Cambria Math" w:hAnsi="Cambria Math" w:cs="Calibri"/>
                <w:sz w:val="22"/>
                <w:szCs w:val="22"/>
              </w:rPr>
              <m:t>R</m:t>
            </m:r>
          </m:e>
          <m:sub>
            <m:r>
              <m:rPr>
                <m:sty m:val="p"/>
              </m:rPr>
              <w:rPr>
                <w:rFonts w:ascii="Cambria Math" w:hAnsi="Cambria Math" w:cs="Calibri"/>
                <w:sz w:val="22"/>
                <w:szCs w:val="22"/>
              </w:rPr>
              <m:t>BM</m:t>
            </m:r>
          </m:sub>
        </m:sSub>
        <m:d>
          <m:dPr>
            <m:ctrlPr>
              <w:rPr>
                <w:rFonts w:ascii="Cambria Math" w:hAnsi="Cambria Math" w:cs="Calibri"/>
                <w:sz w:val="22"/>
                <w:szCs w:val="22"/>
              </w:rPr>
            </m:ctrlPr>
          </m:dPr>
          <m:e>
            <m:r>
              <w:rPr>
                <w:rFonts w:ascii="Cambria Math" w:hAnsi="Cambria Math" w:cs="Calibri"/>
                <w:sz w:val="22"/>
                <w:szCs w:val="22"/>
              </w:rPr>
              <m:t>S</m:t>
            </m:r>
          </m:e>
        </m:d>
      </m:oMath>
      <w:r>
        <w:rPr>
          <w:rFonts w:ascii="Calibri" w:hAnsi="Calibri" w:cs="Calibri"/>
          <w:sz w:val="22"/>
          <w:szCs w:val="22"/>
        </w:rPr>
        <w:t xml:space="preserve">. We then constructed a </w:t>
      </w:r>
      <m:oMath>
        <m:r>
          <w:rPr>
            <w:rFonts w:ascii="Cambria Math" w:hAnsi="Cambria Math" w:cs="Calibri"/>
            <w:sz w:val="22"/>
            <w:szCs w:val="22"/>
          </w:rPr>
          <m:t>λ</m:t>
        </m:r>
      </m:oMath>
      <w:r>
        <w:rPr>
          <w:rFonts w:ascii="Calibri" w:hAnsi="Calibri" w:cs="Calibri"/>
          <w:sz w:val="22"/>
          <w:szCs w:val="22"/>
        </w:rPr>
        <w:t>-transformed correlation matrix as</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ij</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d>
            <m:dPr>
              <m:begChr m:val="{"/>
              <m:endChr m:val=""/>
              <m:ctrlPr>
                <w:rPr>
                  <w:rFonts w:ascii="Cambria Math" w:hAnsi="Cambria Math" w:cs="Calibri"/>
                  <w:sz w:val="22"/>
                  <w:szCs w:val="22"/>
                </w:rPr>
              </m:ctrlPr>
            </m:dPr>
            <m:e>
              <m:m>
                <m:mPr>
                  <m:plcHide m:val="1"/>
                  <m:mcs>
                    <m:mc>
                      <m:mcPr>
                        <m:count m:val="2"/>
                        <m:mcJc m:val="left"/>
                      </m:mcPr>
                    </m:mc>
                  </m:mcs>
                  <m:ctrlPr>
                    <w:rPr>
                      <w:rFonts w:ascii="Cambria Math" w:hAnsi="Cambria Math" w:cs="Calibri"/>
                      <w:sz w:val="22"/>
                      <w:szCs w:val="22"/>
                    </w:rPr>
                  </m:ctrlPr>
                </m:mPr>
                <m:mr>
                  <m:e>
                    <m:r>
                      <w:rPr>
                        <w:rFonts w:ascii="Cambria Math" w:hAnsi="Cambria Math" w:cs="Calibri"/>
                        <w:sz w:val="22"/>
                        <w:szCs w:val="22"/>
                      </w:rPr>
                      <m:t>1</m:t>
                    </m:r>
                    <m:r>
                      <m:rPr>
                        <m:sty m:val="p"/>
                      </m:rPr>
                      <w:rPr>
                        <w:rFonts w:ascii="Cambria Math" w:hAnsi="Cambria Math" w:cs="Calibri"/>
                        <w:sz w:val="22"/>
                        <w:szCs w:val="22"/>
                      </w:rPr>
                      <m:t>,</m:t>
                    </m:r>
                  </m:e>
                  <m:e>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j</m:t>
                    </m:r>
                    <m:r>
                      <m:rPr>
                        <m:sty m:val="p"/>
                      </m:rPr>
                      <w:rPr>
                        <w:rFonts w:ascii="Cambria Math" w:hAnsi="Cambria Math" w:cs="Calibri"/>
                        <w:sz w:val="22"/>
                        <w:szCs w:val="22"/>
                      </w:rPr>
                      <m:t>,</m:t>
                    </m:r>
                  </m:e>
                </m:mr>
                <m:mr>
                  <m:e>
                    <m:r>
                      <w:rPr>
                        <w:rFonts w:ascii="Cambria Math" w:hAnsi="Cambria Math" w:cs="Calibri"/>
                        <w:sz w:val="22"/>
                        <w:szCs w:val="22"/>
                      </w:rPr>
                      <m:t>λ</m:t>
                    </m:r>
                    <m:sSub>
                      <m:sSubPr>
                        <m:ctrlPr>
                          <w:rPr>
                            <w:rFonts w:ascii="Cambria Math" w:hAnsi="Cambria Math" w:cs="Calibri"/>
                            <w:sz w:val="22"/>
                            <w:szCs w:val="22"/>
                          </w:rPr>
                        </m:ctrlPr>
                      </m:sSubPr>
                      <m:e>
                        <m:r>
                          <w:rPr>
                            <w:rFonts w:ascii="Cambria Math" w:hAnsi="Cambria Math" w:cs="Calibri"/>
                            <w:sz w:val="22"/>
                            <w:szCs w:val="22"/>
                          </w:rPr>
                          <m:t>R</m:t>
                        </m:r>
                      </m:e>
                      <m:sub>
                        <m:r>
                          <m:rPr>
                            <m:sty m:val="p"/>
                          </m:rPr>
                          <w:rPr>
                            <w:rFonts w:ascii="Cambria Math" w:hAnsi="Cambria Math" w:cs="Calibri"/>
                            <w:sz w:val="22"/>
                            <w:szCs w:val="22"/>
                          </w:rPr>
                          <m:t>BM,</m:t>
                        </m:r>
                        <m:r>
                          <w:rPr>
                            <w:rFonts w:ascii="Cambria Math" w:hAnsi="Cambria Math" w:cs="Calibri"/>
                            <w:sz w:val="22"/>
                            <w:szCs w:val="22"/>
                          </w:rPr>
                          <m:t>ij</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e>
                  <m:e>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j</m:t>
                    </m:r>
                    <m:r>
                      <m:rPr>
                        <m:sty m:val="p"/>
                      </m:rPr>
                      <w:rPr>
                        <w:rFonts w:ascii="Cambria Math" w:hAnsi="Cambria Math" w:cs="Calibri"/>
                        <w:sz w:val="22"/>
                        <w:szCs w:val="22"/>
                      </w:rPr>
                      <m:t>.</m:t>
                    </m:r>
                  </m:e>
                </m:mr>
              </m:m>
            </m:e>
          </m:d>
        </m:oMath>
      </m:oMathPara>
    </w:p>
    <w:p>
      <w:pPr>
        <w:pStyle w:val="FirstParagraph"/>
        <w:spacing w:line="264" w:lineRule="auto"/>
        <w:rPr>
          <w:rFonts w:ascii="Calibri" w:hAnsi="Calibri" w:cs="Calibri"/>
          <w:sz w:val="22"/>
          <w:szCs w:val="22"/>
        </w:rPr>
      </w:pPr>
      <w:r>
        <w:rPr>
          <w:rFonts w:ascii="Calibri" w:hAnsi="Calibri" w:cs="Calibri"/>
          <w:sz w:val="22"/>
          <w:szCs w:val="22"/>
        </w:rPr>
        <w:t xml:space="preserve">Thus,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corresponds to an independent-sample benchmark, whereas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retains the full Brownian-motion phylogenetic correlation structure within the subset.</w:t>
      </w:r>
    </w:p>
    <w:p>
      <w:pPr>
        <w:pStyle w:val="BodyText"/>
        <w:spacing w:line="264" w:lineRule="auto"/>
        <w:rPr>
          <w:rFonts w:ascii="Calibri" w:hAnsi="Calibri" w:cs="Calibri"/>
          <w:sz w:val="22"/>
          <w:szCs w:val="22"/>
        </w:rPr>
      </w:pPr>
      <w:r>
        <w:rPr>
          <w:rFonts w:ascii="Calibri" w:hAnsi="Calibri" w:cs="Calibri"/>
          <w:sz w:val="22"/>
          <w:szCs w:val="22"/>
        </w:rPr>
        <w:t xml:space="preserve">For the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phylogenetically structured scenario, we repeated the simulation 10,000 times separately for the dispersed and clustered subsets. Minor non-monotonic patterns across subset sizes may occur due to stochastic variation, reflecting finite-sample variability across simulation replicates under a fixed data-generating process. In each replicate, we generated a true value vector and a prediction-error vector as</w:t>
      </w:r>
    </w:p>
    <w:p>
      <w:pPr>
        <w:pStyle w:val="BodyText"/>
        <w:spacing w:line="264" w:lineRule="auto"/>
        <w:rPr>
          <w:rFonts w:ascii="Calibri" w:hAnsi="Calibri" w:cs="Calibri"/>
          <w:sz w:val="22"/>
          <w:szCs w:val="22"/>
        </w:rPr>
      </w:pPr>
      <m:oMathPara>
        <m:oMathParaPr>
          <m:jc m:val="center"/>
        </m:oMathParaPr>
        <m:oMath>
          <m:r>
            <w:rPr>
              <w:rFonts w:ascii="Cambria Math" w:hAnsi="Cambria Math" w:cs="Calibri"/>
              <w:sz w:val="22"/>
              <w:szCs w:val="22"/>
            </w:rPr>
            <m:t>y</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sub>
              </m:sSub>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m:oMathPara>
        <m:oMathParaPr>
          <m:jc m:val="center"/>
        </m:oMathParaPr>
        <m:oMath>
          <m:r>
            <w:rPr>
              <w:rFonts w:ascii="Cambria Math" w:hAnsi="Cambria Math" w:cs="Calibri"/>
              <w:sz w:val="22"/>
              <w:szCs w:val="22"/>
            </w:rPr>
            <m:t>u</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sub>
              </m:sSub>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and defined the simulated predicted values as</w:t>
      </w:r>
    </w:p>
    <w:p>
      <w:pPr>
        <w:pStyle w:val="BodyText"/>
        <w:spacing w:line="264" w:lineRule="auto"/>
        <w:rPr>
          <w:rFonts w:ascii="Calibri" w:hAnsi="Calibri" w:cs="Calibri"/>
          <w:sz w:val="22"/>
          <w:szCs w:val="22"/>
        </w:rPr>
      </w:pPr>
      <m:oMathPara>
        <m:oMathParaPr>
          <m:jc m:val="center"/>
        </m:oMathParaPr>
        <m:oMath>
          <m:acc>
            <m:accPr>
              <m:ctrlPr>
                <w:rPr>
                  <w:rFonts w:ascii="Cambria Math" w:hAnsi="Cambria Math" w:cs="Calibri"/>
                  <w:sz w:val="22"/>
                  <w:szCs w:val="22"/>
                </w:rPr>
              </m:ctrlPr>
            </m:accPr>
            <m:e>
              <m:r>
                <w:rPr>
                  <w:rFonts w:ascii="Cambria Math" w:hAnsi="Cambria Math" w:cs="Calibri"/>
                  <w:sz w:val="22"/>
                  <w:szCs w:val="22"/>
                </w:rPr>
                <m:t>y</m:t>
              </m:r>
            </m:e>
          </m:acc>
          <m:r>
            <m:rPr>
              <m:sty m:val="p"/>
            </m:rPr>
            <w:rPr>
              <w:rFonts w:ascii="Cambria Math" w:hAnsi="Cambria Math" w:cs="Calibri"/>
              <w:sz w:val="22"/>
              <w:szCs w:val="22"/>
            </w:rPr>
            <m:t>=</m:t>
          </m:r>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u</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Here, </w:t>
      </w:r>
      <m:oMath>
        <m:r>
          <w:rPr>
            <w:rFonts w:ascii="Cambria Math" w:hAnsi="Cambria Math" w:cs="Calibri"/>
            <w:sz w:val="22"/>
            <w:szCs w:val="22"/>
          </w:rPr>
          <m:t>y</m:t>
        </m:r>
      </m:oMath>
      <w:r>
        <w:rPr>
          <w:rFonts w:ascii="Calibri" w:hAnsi="Calibri" w:cs="Calibri"/>
          <w:sz w:val="22"/>
          <w:szCs w:val="22"/>
        </w:rPr>
        <w:t xml:space="preserve"> represents the true species-level values, </w:t>
      </w:r>
      <m:oMath>
        <m:r>
          <w:rPr>
            <w:rFonts w:ascii="Cambria Math" w:hAnsi="Cambria Math" w:cs="Calibri"/>
            <w:sz w:val="22"/>
            <w:szCs w:val="22"/>
          </w:rPr>
          <m:t>u</m:t>
        </m:r>
      </m:oMath>
      <w:r>
        <w:rPr>
          <w:rFonts w:ascii="Calibri" w:hAnsi="Calibri" w:cs="Calibri"/>
          <w:sz w:val="22"/>
          <w:szCs w:val="22"/>
        </w:rPr>
        <w:t xml:space="preserve"> represents prediction errors, and </w:t>
      </w:r>
      <m:oMath>
        <m:acc>
          <m:accPr>
            <m:ctrlPr>
              <w:rPr>
                <w:rFonts w:ascii="Cambria Math" w:hAnsi="Cambria Math" w:cs="Calibri"/>
                <w:sz w:val="22"/>
                <w:szCs w:val="22"/>
              </w:rPr>
            </m:ctrlPr>
          </m:accPr>
          <m:e>
            <m:r>
              <w:rPr>
                <w:rFonts w:ascii="Cambria Math" w:hAnsi="Cambria Math" w:cs="Calibri"/>
                <w:sz w:val="22"/>
                <w:szCs w:val="22"/>
              </w:rPr>
              <m:t>y</m:t>
            </m:r>
          </m:e>
        </m:acc>
      </m:oMath>
      <w:r>
        <w:rPr>
          <w:rFonts w:ascii="Calibri" w:hAnsi="Calibri" w:cs="Calibri"/>
          <w:sz w:val="22"/>
          <w:szCs w:val="22"/>
        </w:rPr>
        <w:t xml:space="preserve"> represents predicted values. The true values and prediction errors were generated independently, but both followed the same subset-specific phylogenetic correlation structure. This design allows prediction errors themselves to contain lineage-specific structure, rather than assuming that errors are independent across species. We set </w:t>
      </w:r>
      <m:oMath>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r>
          <m:rPr>
            <m:sty m:val="p"/>
          </m:rPr>
          <w:rPr>
            <w:rFonts w:ascii="Cambria Math" w:hAnsi="Cambria Math" w:cs="Calibri"/>
            <w:sz w:val="22"/>
            <w:szCs w:val="22"/>
          </w:rPr>
          <m:t>=0.</m:t>
        </m:r>
        <m:r>
          <w:rPr>
            <w:rFonts w:ascii="Cambria Math" w:hAnsi="Cambria Math" w:cs="Calibri"/>
            <w:sz w:val="22"/>
            <w:szCs w:val="22"/>
          </w:rPr>
          <m:t>1</m:t>
        </m:r>
      </m:oMath>
      <w:r>
        <w:rPr>
          <w:rFonts w:ascii="Calibri" w:hAnsi="Calibri" w:cs="Calibri"/>
          <w:sz w:val="22"/>
          <w:szCs w:val="22"/>
        </w:rPr>
        <w:t xml:space="preserve"> so that prediction performance was neither trivially perfect nor dominated by error variance. The same error-variance setting was used for all subset types, </w:t>
      </w:r>
      <m:oMath>
        <m:r>
          <w:rPr>
            <w:rFonts w:ascii="Cambria Math" w:hAnsi="Cambria Math" w:cs="Calibri"/>
            <w:sz w:val="22"/>
            <w:szCs w:val="22"/>
          </w:rPr>
          <m:t>λ</m:t>
        </m:r>
      </m:oMath>
      <w:r>
        <w:rPr>
          <w:rFonts w:ascii="Calibri" w:hAnsi="Calibri" w:cs="Calibri"/>
          <w:sz w:val="22"/>
          <w:szCs w:val="22"/>
        </w:rPr>
        <w:t xml:space="preserve"> conditions, and sensitivity analyses, ensuring that differences among results reflected differences in sample structure and covariance assumptions rather than arbitrary changes in prediction difficulty.</w:t>
      </w:r>
    </w:p>
    <w:p>
      <w:pPr>
        <w:pStyle w:val="BodyText"/>
        <w:keepNext/>
        <w:spacing w:line="264" w:lineRule="auto"/>
        <w:rPr>
          <w:rFonts w:ascii="Calibri" w:hAnsi="Calibri" w:cs="Calibri"/>
          <w:sz w:val="22"/>
          <w:szCs w:val="22"/>
        </w:rPr>
      </w:pPr>
      <w:r>
        <w:rPr>
          <w:rFonts w:ascii="Calibri" w:hAnsi="Calibri" w:cs="Calibri"/>
          <w:sz w:val="22"/>
          <w:szCs w:val="22"/>
        </w:rPr>
        <w:t xml:space="preserve">For each replicate and each subset </w:t>
      </w:r>
      <m:oMath>
        <m:r>
          <w:rPr>
            <w:rFonts w:ascii="Cambria Math" w:hAnsi="Cambria Math" w:cs="Calibri"/>
            <w:sz w:val="22"/>
            <w:szCs w:val="22"/>
          </w:rPr>
          <m:t>S</m:t>
        </m:r>
      </m:oMath>
      <w:r>
        <w:rPr>
          <w:rFonts w:ascii="Calibri" w:hAnsi="Calibri" w:cs="Calibri"/>
          <w:sz w:val="22"/>
          <w:szCs w:val="22"/>
        </w:rPr>
        <w:t xml:space="preserve">, we calculated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as</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RMSE</m:t>
          </m:r>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rad>
            <m:radPr>
              <m:degHide m:val="1"/>
              <m:ctrlPr>
                <w:rPr>
                  <w:rFonts w:ascii="Cambria Math" w:hAnsi="Cambria Math" w:cs="Calibri"/>
                  <w:sz w:val="22"/>
                  <w:szCs w:val="22"/>
                </w:rPr>
              </m:ctrlPr>
            </m:radPr>
            <m:deg/>
            <m:e>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s</m:t>
                  </m:r>
                </m:den>
              </m:f>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sup>
                      <m:r>
                        <w:rPr>
                          <w:rFonts w:ascii="Cambria Math" w:hAnsi="Cambria Math" w:cs="Calibri"/>
                          <w:sz w:val="22"/>
                          <w:szCs w:val="22"/>
                        </w:rPr>
                        <m:t>2</m:t>
                      </m:r>
                    </m:sup>
                  </m:sSup>
                </m:e>
              </m:nary>
            </m:e>
          </m:ra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MAE</m:t>
          </m:r>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s</m:t>
              </m:r>
            </m:den>
          </m:f>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d>
                <m:dPr>
                  <m:begChr m:val="|"/>
                  <m:endChr m:val="|"/>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nary>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and</w:t>
      </w:r>
    </w:p>
    <w:p>
      <w:pPr>
        <w:pStyle w:val="BodyText"/>
        <w:spacing w:line="264" w:lineRule="auto"/>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f>
            <m:fPr>
              <m:ctrlPr>
                <w:rPr>
                  <w:rFonts w:ascii="Cambria Math" w:hAnsi="Cambria Math" w:cs="Calibri"/>
                  <w:sz w:val="22"/>
                  <w:szCs w:val="22"/>
                </w:rPr>
              </m:ctrlPr>
            </m:fPr>
            <m:num>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i</m:t>
                              </m:r>
                            </m:sub>
                          </m:sSub>
                        </m:e>
                      </m:d>
                    </m:e>
                    <m:sup>
                      <m:r>
                        <w:rPr>
                          <w:rFonts w:ascii="Cambria Math" w:hAnsi="Cambria Math" w:cs="Calibri"/>
                          <w:sz w:val="22"/>
                          <w:szCs w:val="22"/>
                        </w:rPr>
                        <m:t>2</m:t>
                      </m:r>
                    </m:sup>
                  </m:sSup>
                </m:e>
              </m:nary>
            </m:num>
            <m:den>
              <m:nary>
                <m:naryPr>
                  <m:chr m:val="∑"/>
                  <m:limLoc m:val="undOvr"/>
                  <m:supHide m:val="1"/>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S</m:t>
                  </m:r>
                </m:sub>
                <m:sup>
                  <m:r>
                    <w:rPr>
                      <w:rFonts w:ascii="Cambria Math" w:hAnsi="Cambria Math" w:cs="Calibri"/>
                      <w:sz w:val="22"/>
                      <w:szCs w:val="22"/>
                    </w:rPr>
                    <m:t>​</m:t>
                  </m:r>
                </m:sup>
                <m:e>
                  <m:sSup>
                    <m:sSupPr>
                      <m:ctrlPr>
                        <w:rPr>
                          <w:rFonts w:ascii="Cambria Math" w:hAnsi="Cambria Math" w:cs="Calibri"/>
                          <w:sz w:val="22"/>
                          <w:szCs w:val="22"/>
                        </w:rPr>
                      </m:ctrlPr>
                    </m:sSupPr>
                    <m:e>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acc>
                                <m:accPr>
                                  <m:chr m:val="‾"/>
                                  <m:ctrlPr>
                                    <w:rPr>
                                      <w:rFonts w:ascii="Cambria Math" w:hAnsi="Cambria Math" w:cs="Calibri"/>
                                      <w:sz w:val="22"/>
                                      <w:szCs w:val="22"/>
                                    </w:rPr>
                                  </m:ctrlPr>
                                </m:accPr>
                                <m:e>
                                  <m:r>
                                    <w:rPr>
                                      <w:rFonts w:ascii="Cambria Math" w:hAnsi="Cambria Math" w:cs="Calibri"/>
                                      <w:sz w:val="22"/>
                                      <w:szCs w:val="22"/>
                                    </w:rPr>
                                    <m:t>y</m:t>
                                  </m:r>
                                </m:e>
                              </m:acc>
                            </m:e>
                            <m:sub>
                              <m:r>
                                <w:rPr>
                                  <w:rFonts w:ascii="Cambria Math" w:hAnsi="Cambria Math" w:cs="Calibri"/>
                                  <w:sz w:val="22"/>
                                  <w:szCs w:val="22"/>
                                </w:rPr>
                                <m:t>S</m:t>
                              </m:r>
                            </m:sub>
                          </m:sSub>
                        </m:e>
                      </m:d>
                    </m:e>
                    <m:sup>
                      <m:r>
                        <w:rPr>
                          <w:rFonts w:ascii="Cambria Math" w:hAnsi="Cambria Math" w:cs="Calibri"/>
                          <w:sz w:val="22"/>
                          <w:szCs w:val="22"/>
                        </w:rPr>
                        <m:t>2</m:t>
                      </m:r>
                    </m:sup>
                  </m:sSup>
                </m:e>
              </m:nary>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was not truncated at zero, because negative values indicate that the predictions performed worse than using the subset mean as the prediction.</w:t>
      </w:r>
    </w:p>
    <w:p>
      <w:pPr>
        <w:pStyle w:val="BodyText"/>
        <w:spacing w:line="264" w:lineRule="auto"/>
        <w:rPr>
          <w:rFonts w:ascii="Calibri" w:hAnsi="Calibri" w:cs="Calibri"/>
          <w:sz w:val="22"/>
          <w:szCs w:val="22"/>
        </w:rPr>
      </w:pPr>
      <w:r>
        <w:rPr>
          <w:rFonts w:ascii="Calibri" w:hAnsi="Calibri" w:cs="Calibri"/>
          <w:sz w:val="22"/>
          <w:szCs w:val="22"/>
        </w:rPr>
        <w:t xml:space="preserve">For each subset and each metric, the 10,000 simulation replicates produced an empirical distribution of the corresponding performance metric. Let </w:t>
      </w:r>
      <m:oMath>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oMath>
      <w:r>
        <w:rPr>
          <w:rFonts w:ascii="Calibri" w:hAnsi="Calibri" w:cs="Calibri"/>
          <w:sz w:val="22"/>
          <w:szCs w:val="22"/>
        </w:rPr>
        <w:t xml:space="preserve"> denote the simulated values of a given metric </w:t>
      </w:r>
      <m:oMath>
        <m:r>
          <w:rPr>
            <w:rFonts w:ascii="Cambria Math" w:hAnsi="Cambria Math" w:cs="Calibri"/>
            <w:sz w:val="22"/>
            <w:szCs w:val="22"/>
          </w:rPr>
          <m:t>m</m:t>
        </m:r>
      </m:oMath>
      <w:r>
        <w:rPr>
          <w:rFonts w:ascii="Calibri" w:hAnsi="Calibri" w:cs="Calibri"/>
          <w:sz w:val="22"/>
          <w:szCs w:val="22"/>
        </w:rPr>
        <w:t xml:space="preserve">, where </w:t>
      </w:r>
      <m:oMath>
        <m:r>
          <w:rPr>
            <w:rFonts w:ascii="Cambria Math" w:hAnsi="Cambria Math" w:cs="Calibri"/>
            <w:sz w:val="22"/>
            <w:szCs w:val="22"/>
          </w:rPr>
          <m:t>m</m:t>
        </m:r>
      </m:oMath>
      <w:r>
        <w:rPr>
          <w:rFonts w:ascii="Calibri" w:hAnsi="Calibri" w:cs="Calibri"/>
          <w:sz w:val="22"/>
          <w:szCs w:val="22"/>
        </w:rPr>
        <w:t xml:space="preserve"> is RMSE, MAE, or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and </w:t>
      </w:r>
      <m:oMath>
        <m:r>
          <w:rPr>
            <w:rFonts w:ascii="Cambria Math" w:hAnsi="Cambria Math" w:cs="Calibri"/>
            <w:sz w:val="22"/>
            <w:szCs w:val="22"/>
          </w:rPr>
          <m:t>B</m:t>
        </m:r>
        <m:r>
          <m:rPr>
            <m:sty m:val="p"/>
          </m:rPr>
          <w:rPr>
            <w:rFonts w:ascii="Cambria Math" w:hAnsi="Cambria Math" w:cs="Calibri"/>
            <w:sz w:val="22"/>
            <w:szCs w:val="22"/>
          </w:rPr>
          <m:t>=</m:t>
        </m:r>
        <m:r>
          <w:rPr>
            <w:rFonts w:ascii="Cambria Math" w:hAnsi="Cambria Math" w:cs="Calibri"/>
            <w:sz w:val="22"/>
            <w:szCs w:val="22"/>
          </w:rPr>
          <m:t>10</m:t>
        </m:r>
        <m:r>
          <m:rPr>
            <m:sty m:val="p"/>
          </m:rPr>
          <w:rPr>
            <w:rFonts w:ascii="Cambria Math" w:hAnsi="Cambria Math" w:cs="Calibri"/>
            <w:sz w:val="22"/>
            <w:szCs w:val="22"/>
          </w:rPr>
          <m:t>,</m:t>
        </m:r>
        <m:r>
          <w:rPr>
            <w:rFonts w:ascii="Cambria Math" w:hAnsi="Cambria Math" w:cs="Calibri"/>
            <w:sz w:val="22"/>
            <w:szCs w:val="22"/>
          </w:rPr>
          <m:t>000</m:t>
        </m:r>
      </m:oMath>
      <w:r>
        <w:rPr>
          <w:rFonts w:ascii="Calibri" w:hAnsi="Calibri" w:cs="Calibri"/>
          <w:sz w:val="22"/>
          <w:szCs w:val="22"/>
        </w:rPr>
        <w:t>. We summarized the uncertainty of each metric using the width of its 95% empirical interval:</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W</m:t>
              </m:r>
            </m:e>
            <m:sub>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Q</m:t>
              </m:r>
            </m:e>
            <m:sub>
              <m:r>
                <w:rPr>
                  <w:rFonts w:ascii="Cambria Math" w:hAnsi="Cambria Math" w:cs="Calibri"/>
                  <w:sz w:val="22"/>
                  <w:szCs w:val="22"/>
                </w:rPr>
                <m:t>0.975</m:t>
              </m:r>
            </m:sub>
          </m:sSub>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e>
          </m:d>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Q</m:t>
              </m:r>
            </m:e>
            <m:sub>
              <m:r>
                <w:rPr>
                  <w:rFonts w:ascii="Cambria Math" w:hAnsi="Cambria Math" w:cs="Calibri"/>
                  <w:sz w:val="22"/>
                  <w:szCs w:val="22"/>
                </w:rPr>
                <m:t>0.025</m:t>
              </m:r>
            </m:sub>
          </m:sSub>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m</m:t>
                  </m:r>
                </m:e>
                <m:sub>
                  <m:r>
                    <w:rPr>
                      <w:rFonts w:ascii="Cambria Math" w:hAnsi="Cambria Math" w:cs="Calibri"/>
                      <w:sz w:val="22"/>
                      <w:szCs w:val="22"/>
                    </w:rPr>
                    <m:t>B</m:t>
                  </m:r>
                </m:sub>
              </m:sSub>
            </m:e>
          </m: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lastRenderedPageBreak/>
        <w:t>This interval describes the empirical spread of repeated simulation outcomes and should not be interpreted as a bootstrap confidence interval for a single observed dataset.</w:t>
      </w:r>
    </w:p>
    <w:p>
      <w:pPr>
        <w:pStyle w:val="BodyText"/>
        <w:spacing w:line="264" w:lineRule="auto"/>
        <w:rPr>
          <w:rFonts w:ascii="Calibri" w:hAnsi="Calibri" w:cs="Calibri"/>
          <w:sz w:val="22"/>
          <w:szCs w:val="22"/>
        </w:rPr>
      </w:pPr>
      <w:r>
        <w:rPr>
          <w:rFonts w:ascii="Calibri" w:hAnsi="Calibri" w:cs="Calibri"/>
          <w:sz w:val="22"/>
          <w:szCs w:val="22"/>
        </w:rPr>
        <w:t xml:space="preserve">To translate the metric uncertainty of a phylogenetically structured 64-species subset into an independence-equivalent sample size, we constructed an independent-sample benchmark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This benchmark was not generated by repeatedly sampling species from the dispersed or clustered subsets. Once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all off-diagonal correlations are removed, so species identity and subset origin no longer affect the dependence structure. Therefore, for each independent benchmark sample size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4</m:t>
        </m:r>
        <m:r>
          <m:rPr>
            <m:sty m:val="p"/>
          </m:rPr>
          <w:rPr>
            <w:rFonts w:ascii="Cambria Math" w:hAnsi="Cambria Math" w:cs="Calibri"/>
            <w:sz w:val="22"/>
            <w:szCs w:val="22"/>
          </w:rPr>
          <m:t>,</m:t>
        </m:r>
        <m:r>
          <w:rPr>
            <w:rFonts w:ascii="Cambria Math" w:hAnsi="Cambria Math" w:cs="Calibri"/>
            <w:sz w:val="22"/>
            <w:szCs w:val="22"/>
          </w:rPr>
          <m:t>5</m:t>
        </m:r>
        <m:r>
          <m:rPr>
            <m:sty m:val="p"/>
          </m:rPr>
          <w:rPr>
            <w:rFonts w:ascii="Cambria Math" w:hAnsi="Cambria Math" w:cs="Calibri"/>
            <w:sz w:val="22"/>
            <w:szCs w:val="22"/>
          </w:rPr>
          <m:t>,…,</m:t>
        </m:r>
        <m:r>
          <w:rPr>
            <w:rFonts w:ascii="Cambria Math" w:hAnsi="Cambria Math" w:cs="Calibri"/>
            <w:sz w:val="22"/>
            <w:szCs w:val="22"/>
          </w:rPr>
          <m:t>32</m:t>
        </m:r>
      </m:oMath>
      <w:r>
        <w:rPr>
          <w:rFonts w:ascii="Calibri" w:hAnsi="Calibri" w:cs="Calibri"/>
          <w:sz w:val="22"/>
          <w:szCs w:val="22"/>
        </w:rPr>
        <w:t xml:space="preserve">, we simulated 10,000 independent samples using an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n</m:t>
        </m:r>
      </m:oMath>
      <w:r>
        <w:rPr>
          <w:rFonts w:ascii="Calibri" w:hAnsi="Calibri" w:cs="Calibri"/>
          <w:sz w:val="22"/>
          <w:szCs w:val="22"/>
        </w:rPr>
        <w:t xml:space="preserve"> identity correlation matrix:</w:t>
      </w:r>
    </w:p>
    <w:p>
      <w:pPr>
        <w:pStyle w:val="BodyText"/>
        <w:spacing w:line="264" w:lineRule="auto"/>
        <w:rPr>
          <w:rFonts w:ascii="Calibri" w:hAnsi="Calibri" w:cs="Calibri"/>
          <w:sz w:val="22"/>
          <w:szCs w:val="22"/>
        </w:rPr>
      </w:pPr>
      <m:oMathPara>
        <m:oMathParaPr>
          <m:jc m:val="center"/>
        </m:oMathParaPr>
        <m:oMath>
          <m:r>
            <w:rPr>
              <w:rFonts w:ascii="Cambria Math" w:hAnsi="Cambria Math" w:cs="Calibri"/>
              <w:sz w:val="22"/>
              <w:szCs w:val="22"/>
            </w:rPr>
            <m:t>y</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I</m:t>
                  </m:r>
                </m:e>
                <m:sub>
                  <m:r>
                    <w:rPr>
                      <w:rFonts w:ascii="Cambria Math" w:hAnsi="Cambria Math" w:cs="Calibri"/>
                      <w:sz w:val="22"/>
                      <w:szCs w:val="22"/>
                    </w:rPr>
                    <m:t>n</m:t>
                  </m:r>
                </m:sub>
              </m:sSub>
            </m:e>
          </m: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m:oMathPara>
        <m:oMathParaPr>
          <m:jc m:val="center"/>
        </m:oMathParaPr>
        <m:oMath>
          <m:r>
            <w:rPr>
              <w:rFonts w:ascii="Cambria Math" w:hAnsi="Cambria Math" w:cs="Calibri"/>
              <w:sz w:val="22"/>
              <w:szCs w:val="22"/>
            </w:rPr>
            <m:t>u</m:t>
          </m:r>
          <m:r>
            <m:rPr>
              <m:scr m:val="script"/>
              <m:sty m:val="p"/>
            </m:rPr>
            <w:rPr>
              <w:rFonts w:ascii="Cambria Math" w:hAnsi="Cambria Math" w:cs="Calibri"/>
              <w:sz w:val="22"/>
              <w:szCs w:val="22"/>
            </w:rPr>
            <m:t>∼N</m:t>
          </m:r>
          <m:d>
            <m:dPr>
              <m:ctrlPr>
                <w:rPr>
                  <w:rFonts w:ascii="Cambria Math" w:hAnsi="Cambria Math" w:cs="Calibri"/>
                  <w:sz w:val="22"/>
                  <w:szCs w:val="22"/>
                </w:rPr>
              </m:ctrlPr>
            </m:dPr>
            <m:e>
              <m:r>
                <w:rPr>
                  <w:rFonts w:ascii="Cambria Math" w:hAnsi="Cambria Math" w:cs="Calibri"/>
                  <w:sz w:val="22"/>
                  <w:szCs w:val="22"/>
                </w:rPr>
                <m:t>0</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σ</m:t>
                  </m:r>
                </m:e>
                <m:sub>
                  <m:r>
                    <w:rPr>
                      <w:rFonts w:ascii="Cambria Math" w:hAnsi="Cambria Math" w:cs="Calibri"/>
                      <w:sz w:val="22"/>
                      <w:szCs w:val="22"/>
                    </w:rPr>
                    <m:t>u</m:t>
                  </m:r>
                </m:sub>
                <m:sup>
                  <m:r>
                    <w:rPr>
                      <w:rFonts w:ascii="Cambria Math" w:hAnsi="Cambria Math" w:cs="Calibri"/>
                      <w:sz w:val="22"/>
                      <w:szCs w:val="22"/>
                    </w:rPr>
                    <m:t>2</m:t>
                  </m:r>
                </m:sup>
              </m:sSubSup>
              <m:sSub>
                <m:sSubPr>
                  <m:ctrlPr>
                    <w:rPr>
                      <w:rFonts w:ascii="Cambria Math" w:hAnsi="Cambria Math" w:cs="Calibri"/>
                      <w:sz w:val="22"/>
                      <w:szCs w:val="22"/>
                    </w:rPr>
                  </m:ctrlPr>
                </m:sSubPr>
                <m:e>
                  <m:r>
                    <w:rPr>
                      <w:rFonts w:ascii="Cambria Math" w:hAnsi="Cambria Math" w:cs="Calibri"/>
                      <w:sz w:val="22"/>
                      <w:szCs w:val="22"/>
                    </w:rPr>
                    <m:t>I</m:t>
                  </m:r>
                </m:e>
                <m:sub>
                  <m:r>
                    <w:rPr>
                      <w:rFonts w:ascii="Cambria Math" w:hAnsi="Cambria Math" w:cs="Calibri"/>
                      <w:sz w:val="22"/>
                      <w:szCs w:val="22"/>
                    </w:rPr>
                    <m:t>n</m:t>
                  </m:r>
                </m:sub>
              </m:sSub>
            </m:e>
          </m: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and</w:t>
      </w:r>
    </w:p>
    <w:p>
      <w:pPr>
        <w:pStyle w:val="BodyText"/>
        <w:spacing w:line="264" w:lineRule="auto"/>
        <w:rPr>
          <w:rFonts w:ascii="Calibri" w:hAnsi="Calibri" w:cs="Calibri"/>
          <w:sz w:val="22"/>
          <w:szCs w:val="22"/>
        </w:rPr>
      </w:pPr>
      <m:oMathPara>
        <m:oMathParaPr>
          <m:jc m:val="center"/>
        </m:oMathParaPr>
        <m:oMath>
          <m:acc>
            <m:accPr>
              <m:ctrlPr>
                <w:rPr>
                  <w:rFonts w:ascii="Cambria Math" w:hAnsi="Cambria Math" w:cs="Calibri"/>
                  <w:sz w:val="22"/>
                  <w:szCs w:val="22"/>
                </w:rPr>
              </m:ctrlPr>
            </m:accPr>
            <m:e>
              <m:r>
                <w:rPr>
                  <w:rFonts w:ascii="Cambria Math" w:hAnsi="Cambria Math" w:cs="Calibri"/>
                  <w:sz w:val="22"/>
                  <w:szCs w:val="22"/>
                </w:rPr>
                <m:t>y</m:t>
              </m:r>
            </m:e>
          </m:acc>
          <m:r>
            <m:rPr>
              <m:sty m:val="p"/>
            </m:rPr>
            <w:rPr>
              <w:rFonts w:ascii="Cambria Math" w:hAnsi="Cambria Math" w:cs="Calibri"/>
              <w:sz w:val="22"/>
              <w:szCs w:val="22"/>
            </w:rPr>
            <m:t>=</m:t>
          </m:r>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u</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For each </w:t>
      </w:r>
      <m:oMath>
        <m:r>
          <w:rPr>
            <w:rFonts w:ascii="Cambria Math" w:hAnsi="Cambria Math" w:cs="Calibri"/>
            <w:sz w:val="22"/>
            <w:szCs w:val="22"/>
          </w:rPr>
          <m:t>n</m:t>
        </m:r>
      </m:oMath>
      <w:r>
        <w:rPr>
          <w:rFonts w:ascii="Calibri" w:hAnsi="Calibri" w:cs="Calibri"/>
          <w:sz w:val="22"/>
          <w:szCs w:val="22"/>
        </w:rPr>
        <w:t xml:space="preserve">,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were calculated across the 10,000 replicates, and their 95% empirical interval widths were obtained. These values formed a common independent-sample benchmark curve for each metric, denoted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oMath>
      <w:r>
        <w:rPr>
          <w:rFonts w:ascii="Calibri" w:hAnsi="Calibri" w:cs="Calibri"/>
          <w:sz w:val="22"/>
          <w:szCs w:val="22"/>
        </w:rPr>
        <w:t>.</w:t>
      </w:r>
    </w:p>
    <w:p>
      <w:pPr>
        <w:pStyle w:val="BodyText"/>
        <w:keepNext/>
        <w:spacing w:line="264" w:lineRule="auto"/>
        <w:rPr>
          <w:rFonts w:ascii="Calibri" w:hAnsi="Calibri" w:cs="Calibri"/>
          <w:sz w:val="22"/>
          <w:szCs w:val="22"/>
        </w:rPr>
      </w:pPr>
      <w:r>
        <w:rPr>
          <w:rFonts w:ascii="Calibri" w:hAnsi="Calibri" w:cs="Calibri"/>
          <w:sz w:val="22"/>
          <w:szCs w:val="22"/>
        </w:rPr>
        <w:t xml:space="preserve">For a given 64-species phylogenetic subset </w:t>
      </w:r>
      <m:oMath>
        <m:r>
          <w:rPr>
            <w:rFonts w:ascii="Cambria Math" w:hAnsi="Cambria Math" w:cs="Calibri"/>
            <w:sz w:val="22"/>
            <w:szCs w:val="22"/>
          </w:rPr>
          <m:t>S</m:t>
        </m:r>
      </m:oMath>
      <w:r>
        <w:rPr>
          <w:rFonts w:ascii="Calibri" w:hAnsi="Calibri" w:cs="Calibri"/>
          <w:sz w:val="22"/>
          <w:szCs w:val="22"/>
        </w:rPr>
        <w:t xml:space="preserve">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we then estimated the metric-specific independence-equivalent sample size by matching its empirical interval width to the corresponding independent benchmark curve:</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r>
                <w:rPr>
                  <w:rFonts w:ascii="Cambria Math" w:hAnsi="Cambria Math" w:cs="Calibri"/>
                  <w:sz w:val="22"/>
                  <w:szCs w:val="22"/>
                </w:rPr>
                <m:t>m</m:t>
              </m:r>
            </m:sub>
          </m:sSub>
          <m:d>
            <m:dPr>
              <m:ctrlPr>
                <w:rPr>
                  <w:rFonts w:ascii="Cambria Math" w:hAnsi="Cambria Math" w:cs="Calibri"/>
                  <w:sz w:val="22"/>
                  <w:szCs w:val="22"/>
                </w:rPr>
              </m:ctrlPr>
            </m:dPr>
            <m:e>
              <m:r>
                <w:rPr>
                  <w:rFonts w:ascii="Cambria Math" w:hAnsi="Cambria Math" w:cs="Calibri"/>
                  <w:sz w:val="22"/>
                  <w:szCs w:val="22"/>
                </w:rPr>
                <m:t>S</m:t>
              </m:r>
            </m:e>
          </m:d>
          <m:r>
            <m:rPr>
              <m:sty m:val="p"/>
            </m:rPr>
            <w:rPr>
              <w:rFonts w:ascii="Cambria Math" w:hAnsi="Cambria Math" w:cs="Calibri"/>
              <w:sz w:val="22"/>
              <w:szCs w:val="22"/>
            </w:rPr>
            <m:t>=</m:t>
          </m:r>
          <m:limLow>
            <m:limLowPr>
              <m:ctrlPr>
                <w:rPr>
                  <w:rFonts w:ascii="Cambria Math" w:hAnsi="Cambria Math" w:cs="Calibri"/>
                  <w:sz w:val="22"/>
                  <w:szCs w:val="22"/>
                </w:rPr>
              </m:ctrlPr>
            </m:limLowPr>
            <m:e>
              <m:r>
                <m:rPr>
                  <m:sty m:val="p"/>
                </m:rPr>
                <w:rPr>
                  <w:rFonts w:ascii="Cambria Math" w:hAnsi="Cambria Math" w:cs="Calibri"/>
                  <w:sz w:val="22"/>
                  <w:szCs w:val="22"/>
                </w:rPr>
                <m:t>arg min</m:t>
              </m:r>
            </m:e>
            <m:lim>
              <m:r>
                <w:rPr>
                  <w:rFonts w:ascii="Cambria Math" w:hAnsi="Cambria Math" w:cs="Calibri"/>
                  <w:sz w:val="22"/>
                  <w:szCs w:val="22"/>
                </w:rPr>
                <m:t>n</m:t>
              </m:r>
            </m:lim>
          </m:limLow>
          <m:d>
            <m:dPr>
              <m:begChr m:val="|"/>
              <m:endChr m:val="|"/>
              <m:ctrlPr>
                <w:rPr>
                  <w:rFonts w:ascii="Cambria Math" w:hAnsi="Cambria Math" w:cs="Calibri"/>
                  <w:sz w:val="22"/>
                  <w:szCs w:val="22"/>
                </w:rPr>
              </m:ctrlPr>
            </m:dPr>
            <m:e>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ind</m:t>
                  </m:r>
                </m:sup>
              </m:sSubSup>
              <m:d>
                <m:dPr>
                  <m:ctrlPr>
                    <w:rPr>
                      <w:rFonts w:ascii="Cambria Math" w:hAnsi="Cambria Math" w:cs="Calibri"/>
                      <w:sz w:val="22"/>
                      <w:szCs w:val="22"/>
                    </w:rPr>
                  </m:ctrlPr>
                </m:dPr>
                <m:e>
                  <m:r>
                    <w:rPr>
                      <w:rFonts w:ascii="Cambria Math" w:hAnsi="Cambria Math" w:cs="Calibri"/>
                      <w:sz w:val="22"/>
                      <w:szCs w:val="22"/>
                    </w:rPr>
                    <m:t>n</m:t>
                  </m:r>
                </m:e>
              </m:d>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phylo</m:t>
                  </m:r>
                </m:sup>
              </m:sSubSup>
              <m:d>
                <m:dPr>
                  <m:ctrlPr>
                    <w:rPr>
                      <w:rFonts w:ascii="Cambria Math" w:hAnsi="Cambria Math" w:cs="Calibri"/>
                      <w:sz w:val="22"/>
                      <w:szCs w:val="22"/>
                    </w:rPr>
                  </m:ctrlPr>
                </m:dPr>
                <m:e>
                  <m:r>
                    <w:rPr>
                      <w:rFonts w:ascii="Cambria Math" w:hAnsi="Cambria Math" w:cs="Calibri"/>
                      <w:sz w:val="22"/>
                      <w:szCs w:val="22"/>
                    </w:rPr>
                    <m:t>S</m:t>
                  </m:r>
                </m:e>
              </m:d>
            </m:e>
          </m: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where </w:t>
      </w:r>
      <m:oMath>
        <m:sSubSup>
          <m:sSubSupPr>
            <m:ctrlPr>
              <w:rPr>
                <w:rFonts w:ascii="Cambria Math" w:hAnsi="Cambria Math" w:cs="Calibri"/>
                <w:sz w:val="22"/>
                <w:szCs w:val="22"/>
              </w:rPr>
            </m:ctrlPr>
          </m:sSubSupPr>
          <m:e>
            <m:r>
              <w:rPr>
                <w:rFonts w:ascii="Cambria Math" w:hAnsi="Cambria Math" w:cs="Calibri"/>
                <w:sz w:val="22"/>
                <w:szCs w:val="22"/>
              </w:rPr>
              <m:t>W</m:t>
            </m:r>
          </m:e>
          <m:sub>
            <m:r>
              <w:rPr>
                <w:rFonts w:ascii="Cambria Math" w:hAnsi="Cambria Math" w:cs="Calibri"/>
                <w:sz w:val="22"/>
                <w:szCs w:val="22"/>
              </w:rPr>
              <m:t>m</m:t>
            </m:r>
          </m:sub>
          <m:sup>
            <m:r>
              <m:rPr>
                <m:sty m:val="p"/>
              </m:rPr>
              <w:rPr>
                <w:rFonts w:ascii="Cambria Math" w:hAnsi="Cambria Math" w:cs="Calibri"/>
                <w:sz w:val="22"/>
                <w:szCs w:val="22"/>
              </w:rPr>
              <m:t>phylo</m:t>
            </m:r>
          </m:sup>
        </m:sSubSup>
        <m:d>
          <m:dPr>
            <m:ctrlPr>
              <w:rPr>
                <w:rFonts w:ascii="Cambria Math" w:hAnsi="Cambria Math" w:cs="Calibri"/>
                <w:sz w:val="22"/>
                <w:szCs w:val="22"/>
              </w:rPr>
            </m:ctrlPr>
          </m:dPr>
          <m:e>
            <m:r>
              <w:rPr>
                <w:rFonts w:ascii="Cambria Math" w:hAnsi="Cambria Math" w:cs="Calibri"/>
                <w:sz w:val="22"/>
                <w:szCs w:val="22"/>
              </w:rPr>
              <m:t>S</m:t>
            </m:r>
          </m:e>
        </m:d>
      </m:oMath>
      <w:r>
        <w:rPr>
          <w:rFonts w:ascii="Calibri" w:hAnsi="Calibri" w:cs="Calibri"/>
          <w:sz w:val="22"/>
          <w:szCs w:val="22"/>
        </w:rPr>
        <w:t xml:space="preserve"> is the 95% empirical interval width for metric </w:t>
      </w:r>
      <m:oMath>
        <m:r>
          <w:rPr>
            <w:rFonts w:ascii="Cambria Math" w:hAnsi="Cambria Math" w:cs="Calibri"/>
            <w:sz w:val="22"/>
            <w:szCs w:val="22"/>
          </w:rPr>
          <m:t>m</m:t>
        </m:r>
      </m:oMath>
      <w:r>
        <w:rPr>
          <w:rFonts w:ascii="Calibri" w:hAnsi="Calibri" w:cs="Calibri"/>
          <w:sz w:val="22"/>
          <w:szCs w:val="22"/>
        </w:rPr>
        <w:t xml:space="preserve"> in subset </w:t>
      </w:r>
      <m:oMath>
        <m:r>
          <w:rPr>
            <w:rFonts w:ascii="Cambria Math" w:hAnsi="Cambria Math" w:cs="Calibri"/>
            <w:sz w:val="22"/>
            <w:szCs w:val="22"/>
          </w:rPr>
          <m:t>S</m:t>
        </m:r>
      </m:oMath>
      <w:r>
        <w:rPr>
          <w:rFonts w:ascii="Calibri" w:hAnsi="Calibri" w:cs="Calibri"/>
          <w:sz w:val="22"/>
          <w:szCs w:val="22"/>
        </w:rPr>
        <w:t xml:space="preserve"> under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The dispersed and clustered subsets were matched separately to the same independent-sample benchmark curve, producing separate independence-equivalent sample sizes for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When the phylogenetic subset interval width fell between two adjacent independent benchmark values, the independence-equivalent sample size was estimated by nearest-neighbor matching or interpolation along the benchmark curve. If the interval width of a phylogenetic subset exceeded the benchmark interval width at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4</m:t>
        </m:r>
      </m:oMath>
      <w:r>
        <w:rPr>
          <w:rFonts w:ascii="Calibri" w:hAnsi="Calibri" w:cs="Calibri"/>
          <w:sz w:val="22"/>
          <w:szCs w:val="22"/>
        </w:rPr>
        <w:t xml:space="preserve">, the result was reported as </w:t>
      </w: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r>
              <w:rPr>
                <w:rFonts w:ascii="Cambria Math" w:hAnsi="Cambria Math" w:cs="Calibri"/>
                <w:sz w:val="22"/>
                <w:szCs w:val="22"/>
              </w:rPr>
              <m:t>m</m:t>
            </m:r>
          </m:sub>
        </m:sSub>
        <m:r>
          <m:rPr>
            <m:sty m:val="p"/>
          </m:rPr>
          <w:rPr>
            <w:rFonts w:ascii="Cambria Math" w:hAnsi="Cambria Math" w:cs="Calibri"/>
            <w:sz w:val="22"/>
            <w:szCs w:val="22"/>
          </w:rPr>
          <m:t>≤</m:t>
        </m:r>
        <m:r>
          <w:rPr>
            <w:rFonts w:ascii="Cambria Math" w:hAnsi="Cambria Math" w:cs="Calibri"/>
            <w:sz w:val="22"/>
            <w:szCs w:val="22"/>
          </w:rPr>
          <m:t>4</m:t>
        </m:r>
      </m:oMath>
      <w:r>
        <w:rPr>
          <w:rFonts w:ascii="Calibri" w:hAnsi="Calibri" w:cs="Calibri"/>
          <w:sz w:val="22"/>
          <w:szCs w:val="22"/>
        </w:rPr>
        <w:t xml:space="preserve"> rather than extrapolated beyond the calibrated range.</w:t>
      </w:r>
    </w:p>
    <w:p>
      <w:pPr>
        <w:pStyle w:val="BodyText"/>
        <w:spacing w:line="264" w:lineRule="auto"/>
        <w:rPr>
          <w:rFonts w:ascii="Calibri" w:hAnsi="Calibri" w:cs="Calibri"/>
          <w:sz w:val="22"/>
          <w:szCs w:val="22"/>
        </w:rPr>
      </w:pPr>
      <w:r>
        <w:rPr>
          <w:rFonts w:ascii="Calibri" w:hAnsi="Calibri" w:cs="Calibri"/>
          <w:sz w:val="22"/>
          <w:szCs w:val="22"/>
        </w:rPr>
        <w:t xml:space="preserve">We additionally performed sensitivity analyses under alternative phylogenetic covariance assumptions. The main prediction-metric-based calibration used the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0</m:t>
        </m:r>
      </m:oMath>
      <w:r>
        <w:rPr>
          <w:rFonts w:ascii="Calibri" w:hAnsi="Calibri" w:cs="Calibri"/>
          <w:sz w:val="22"/>
          <w:szCs w:val="22"/>
        </w:rPr>
        <w:t xml:space="preserve"> condition as an independent-sample benchmark and the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1</m:t>
        </m:r>
      </m:oMath>
      <w:r>
        <w:rPr>
          <w:rFonts w:ascii="Calibri" w:hAnsi="Calibri" w:cs="Calibri"/>
          <w:sz w:val="22"/>
          <w:szCs w:val="22"/>
        </w:rPr>
        <w:t xml:space="preserve"> Brownian-motion condition as the primary phylogenetically structured scenario. To examine whether the resulting conclusions depended on this covariance assumption, we repeated the phylogenetically structured simulations for selected representative subsets under </w:t>
      </w:r>
      <m:oMath>
        <m:r>
          <w:rPr>
            <w:rFonts w:ascii="Cambria Math" w:hAnsi="Cambria Math" w:cs="Calibri"/>
            <w:sz w:val="22"/>
            <w:szCs w:val="22"/>
          </w:rPr>
          <m:t>λ</m:t>
        </m:r>
      </m:oMath>
      <w:r>
        <w:rPr>
          <w:rFonts w:ascii="Calibri" w:hAnsi="Calibri" w:cs="Calibri"/>
          <w:sz w:val="22"/>
          <w:szCs w:val="22"/>
        </w:rPr>
        <w:t xml:space="preserve">-transformed Brownian-motion, Ornstein-Uhlenbeck, and early-burst covariance structures. RMSE, MAE, and predictive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Pr>
          <w:rFonts w:ascii="Calibri" w:hAnsi="Calibri" w:cs="Calibri"/>
          <w:sz w:val="22"/>
          <w:szCs w:val="22"/>
        </w:rPr>
        <w:t xml:space="preserve"> were summarized using the same 95% empirical interval-width procedure. These analyses were interpreted as robustness checks for the qualitative pattern of prediction-metric uncertainty, rather than as a separate definition of effective sample size.</w:t>
      </w:r>
    </w:p>
    <w:p>
      <w:pPr>
        <w:pStyle w:val="BodyText"/>
        <w:spacing w:line="264" w:lineRule="auto"/>
        <w:rPr>
          <w:rFonts w:ascii="Calibri" w:hAnsi="Calibri" w:cs="Calibri"/>
          <w:sz w:val="22"/>
          <w:szCs w:val="22"/>
        </w:rPr>
      </w:pPr>
      <w:r>
        <w:rPr>
          <w:rFonts w:ascii="Calibri" w:hAnsi="Calibri" w:cs="Calibri"/>
          <w:sz w:val="22"/>
          <w:szCs w:val="22"/>
        </w:rPr>
        <w:t>This prediction-metric-based independence-equivalent sample size is specific to the performance metric, simulation setting, covariance structure, and subset being evaluated. It was therefore used as an empirical complement to MIESS, rather than as a universal measure of effective sample size.</w:t>
      </w:r>
    </w:p>
    <w:p>
      <w:pPr>
        <w:pStyle w:val="NormalWeb"/>
        <w:spacing w:line="264" w:lineRule="auto"/>
        <w:rPr>
          <w:rFonts w:ascii="Calibri" w:hAnsi="Calibri" w:cs="Calibri"/>
          <w:sz w:val="22"/>
          <w:szCs w:val="22"/>
        </w:rPr>
      </w:pPr>
    </w:p>
    <w:p>
      <w:pPr>
        <w:pStyle w:val="Heading2"/>
        <w:spacing w:before="120" w:line="264" w:lineRule="auto"/>
        <w:rPr>
          <w:rFonts w:ascii="Calibri" w:hAnsi="Calibri" w:cs="Calibri"/>
        </w:rPr>
      </w:pPr>
      <w:bookmarkStart w:id="8" w:name="_Toc232605840"/>
      <w:r>
        <w:rPr>
          <w:rFonts w:ascii="Calibri" w:hAnsi="Calibri" w:cs="Calibri"/>
        </w:rPr>
        <w:lastRenderedPageBreak/>
        <w:t>Section S3. Covariance model parameterization and alternative evolutionary processes</w:t>
      </w:r>
      <w:bookmarkEnd w:id="8"/>
    </w:p>
    <w:p>
      <w:pPr>
        <w:pStyle w:val="BodyText"/>
        <w:spacing w:line="264" w:lineRule="auto"/>
        <w:rPr>
          <w:rFonts w:ascii="Calibri" w:hAnsi="Calibri" w:cs="Calibri"/>
          <w:sz w:val="22"/>
          <w:szCs w:val="22"/>
        </w:rPr>
      </w:pPr>
      <w:r>
        <w:rPr>
          <w:rFonts w:ascii="Calibri" w:hAnsi="Calibri" w:cs="Calibri"/>
          <w:sz w:val="22"/>
          <w:szCs w:val="22"/>
        </w:rPr>
        <w:t>To ensure interpretability and comparability across phylogenetic covariance models, we implemented a unified framework in which all evolutionary models were expressed as modifications of a common Brownian motion (BM) baseline. In all cases, the starting point is a phylogenetic covariance matrix constructed under a standard BM process on a fixed phylogeny, where covariance between species increases with shared evolutionary history (i.e., shared branch length from the root).</w:t>
      </w:r>
    </w:p>
    <w:p>
      <w:pPr>
        <w:pStyle w:val="Heading3"/>
        <w:spacing w:line="264" w:lineRule="auto"/>
        <w:rPr>
          <w:rFonts w:ascii="Calibri" w:hAnsi="Calibri" w:cs="Calibri"/>
          <w:sz w:val="22"/>
          <w:szCs w:val="22"/>
        </w:rPr>
      </w:pPr>
      <w:bookmarkStart w:id="9" w:name="_Toc232605841"/>
      <w:r>
        <w:rPr>
          <w:rFonts w:ascii="Calibri" w:hAnsi="Calibri" w:cs="Calibri"/>
          <w:sz w:val="22"/>
          <w:szCs w:val="22"/>
        </w:rPr>
        <w:t>S3.1 Brownian motion baseline and independence benchmark</w:t>
      </w:r>
      <w:bookmarkEnd w:id="9"/>
    </w:p>
    <w:p>
      <w:pPr>
        <w:pStyle w:val="BodyText"/>
        <w:spacing w:line="264" w:lineRule="auto"/>
        <w:rPr>
          <w:rFonts w:ascii="Calibri" w:hAnsi="Calibri" w:cs="Calibri"/>
          <w:sz w:val="22"/>
          <w:szCs w:val="22"/>
        </w:rPr>
      </w:pPr>
      <w:r>
        <w:rPr>
          <w:rFonts w:ascii="Calibri" w:hAnsi="Calibri" w:cs="Calibri"/>
          <w:sz w:val="22"/>
          <w:szCs w:val="22"/>
        </w:rPr>
        <w:t>Under standard BM, the covariance between any pair of species is proportional to their shared evolutionary history, and the resulting covariance matrix contains non-zero off-diagonal elements that encode phylogenetic dependence.</w:t>
      </w:r>
    </w:p>
    <w:p>
      <w:pPr>
        <w:pStyle w:val="BodyText"/>
        <w:spacing w:line="264" w:lineRule="auto"/>
        <w:rPr>
          <w:rFonts w:ascii="Calibri" w:hAnsi="Calibri" w:cs="Calibri"/>
          <w:sz w:val="22"/>
          <w:szCs w:val="22"/>
        </w:rPr>
      </w:pPr>
      <w:r>
        <w:rPr>
          <w:rFonts w:ascii="Calibri" w:hAnsi="Calibri" w:cs="Calibri"/>
          <w:sz w:val="22"/>
          <w:szCs w:val="22"/>
        </w:rPr>
        <w:t xml:space="preserve">To provide a common reference point across all models, we define a shared independence benchmark corresponding to a diagonal covariance matrix (i.e., no phylogenetic correlation among species). In the </w:t>
      </w:r>
      <w:r>
        <w:rPr>
          <w:rFonts w:ascii="Calibri" w:hAnsi="Calibri" w:cs="Calibri"/>
          <w:i/>
          <w:iCs/>
          <w:sz w:val="22"/>
          <w:szCs w:val="22"/>
        </w:rPr>
        <w:t>λ</w:t>
      </w:r>
      <w:r>
        <w:rPr>
          <w:rFonts w:ascii="Calibri" w:hAnsi="Calibri" w:cs="Calibri"/>
          <w:sz w:val="22"/>
          <w:szCs w:val="22"/>
        </w:rPr>
        <w:t xml:space="preserve">-transformed BM framework, this benchmark is obtained at </w:t>
      </w:r>
      <w:r>
        <w:rPr>
          <w:rFonts w:ascii="Calibri" w:hAnsi="Calibri" w:cs="Calibri"/>
          <w:i/>
          <w:iCs/>
          <w:sz w:val="22"/>
          <w:szCs w:val="22"/>
        </w:rPr>
        <w:t>λ</w:t>
      </w:r>
      <w:r>
        <w:rPr>
          <w:rFonts w:ascii="Calibri" w:hAnsi="Calibri" w:cs="Calibri"/>
          <w:sz w:val="22"/>
          <w:szCs w:val="22"/>
        </w:rPr>
        <w:t xml:space="preserve"> = 0. All other models (OU and EB) are interpreted relative to this same independence reference to ensure comparability of effective-information measures (MIESS and PIESS) across different evolutionary assumptions.</w:t>
      </w:r>
    </w:p>
    <w:p>
      <w:pPr>
        <w:pStyle w:val="Heading3"/>
        <w:spacing w:line="264" w:lineRule="auto"/>
        <w:rPr>
          <w:rFonts w:ascii="Calibri" w:hAnsi="Calibri" w:cs="Calibri"/>
          <w:sz w:val="22"/>
          <w:szCs w:val="22"/>
        </w:rPr>
      </w:pPr>
      <w:bookmarkStart w:id="10" w:name="_Toc232605842"/>
      <w:r>
        <w:rPr>
          <w:rFonts w:ascii="Calibri" w:hAnsi="Calibri" w:cs="Calibri"/>
          <w:sz w:val="22"/>
          <w:szCs w:val="22"/>
        </w:rPr>
        <w:t>S3.2 λ-transformed Brownian motion (BM) model</w:t>
      </w:r>
      <w:bookmarkEnd w:id="10"/>
    </w:p>
    <w:p>
      <w:pPr>
        <w:pStyle w:val="BodyText"/>
        <w:spacing w:line="264" w:lineRule="auto"/>
        <w:rPr>
          <w:rFonts w:ascii="Calibri" w:hAnsi="Calibri" w:cs="Calibri"/>
          <w:sz w:val="22"/>
          <w:szCs w:val="22"/>
        </w:rPr>
      </w:pPr>
      <w:r>
        <w:rPr>
          <w:rFonts w:ascii="Calibri" w:hAnsi="Calibri" w:cs="Calibri"/>
          <w:sz w:val="22"/>
          <w:szCs w:val="22"/>
        </w:rPr>
        <w:t xml:space="preserve">The </w:t>
      </w:r>
      <w:r>
        <w:rPr>
          <w:rFonts w:ascii="Calibri" w:hAnsi="Calibri" w:cs="Calibri"/>
          <w:i/>
          <w:iCs/>
          <w:sz w:val="22"/>
          <w:szCs w:val="22"/>
        </w:rPr>
        <w:t>λ</w:t>
      </w:r>
      <w:r>
        <w:rPr>
          <w:rFonts w:ascii="Calibri" w:hAnsi="Calibri" w:cs="Calibri"/>
          <w:sz w:val="22"/>
          <w:szCs w:val="22"/>
        </w:rPr>
        <w:t xml:space="preserve"> transformation provides a simple and widely used way to modulate the strength of phylogenetic signal by rescaling the off-diagonal elements of the BM covariance matrix.</w:t>
      </w:r>
    </w:p>
    <w:p>
      <w:pPr>
        <w:pStyle w:val="BodyText"/>
        <w:spacing w:line="264" w:lineRule="auto"/>
        <w:rPr>
          <w:rFonts w:ascii="Calibri" w:hAnsi="Calibri" w:cs="Calibri"/>
          <w:sz w:val="22"/>
          <w:szCs w:val="22"/>
        </w:rPr>
      </w:pPr>
      <w:r>
        <w:rPr>
          <w:rFonts w:ascii="Calibri" w:hAnsi="Calibri" w:cs="Calibri"/>
          <w:sz w:val="22"/>
          <w:szCs w:val="22"/>
        </w:rPr>
        <w:t xml:space="preserve">Formally, </w:t>
      </w:r>
      <w:r>
        <w:rPr>
          <w:rFonts w:ascii="Calibri" w:hAnsi="Calibri" w:cs="Calibri"/>
          <w:i/>
          <w:iCs/>
          <w:sz w:val="22"/>
          <w:szCs w:val="22"/>
        </w:rPr>
        <w:t>λ</w:t>
      </w:r>
      <w:r>
        <w:rPr>
          <w:rFonts w:ascii="Calibri" w:hAnsi="Calibri" w:cs="Calibri"/>
          <w:sz w:val="22"/>
          <w:szCs w:val="22"/>
        </w:rPr>
        <w:t xml:space="preserve"> acts as a multiplicative factor on all covariances between species:</w:t>
      </w:r>
    </w:p>
    <w:p>
      <w:pPr>
        <w:pStyle w:val="BodyText"/>
        <w:numPr>
          <w:ilvl w:val="0"/>
          <w:numId w:val="6"/>
        </w:numPr>
        <w:spacing w:line="264" w:lineRule="auto"/>
        <w:rPr>
          <w:rFonts w:ascii="Calibri" w:hAnsi="Calibri" w:cs="Calibri"/>
          <w:sz w:val="22"/>
          <w:szCs w:val="22"/>
        </w:rPr>
      </w:pPr>
      <w:r>
        <w:rPr>
          <w:rFonts w:ascii="Calibri" w:hAnsi="Calibri" w:cs="Calibri"/>
          <w:sz w:val="22"/>
          <w:szCs w:val="22"/>
        </w:rPr>
        <w:t xml:space="preserve">When </w:t>
      </w:r>
      <w:r>
        <w:rPr>
          <w:rFonts w:ascii="Calibri" w:hAnsi="Calibri" w:cs="Calibri"/>
          <w:i/>
          <w:iCs/>
          <w:sz w:val="22"/>
          <w:szCs w:val="22"/>
        </w:rPr>
        <w:t>λ</w:t>
      </w:r>
      <w:r>
        <w:rPr>
          <w:rFonts w:ascii="Calibri" w:hAnsi="Calibri" w:cs="Calibri"/>
          <w:sz w:val="22"/>
          <w:szCs w:val="22"/>
        </w:rPr>
        <w:t xml:space="preserve"> = 1, the original BM covariance structure is recovered.</w:t>
      </w:r>
    </w:p>
    <w:p>
      <w:pPr>
        <w:pStyle w:val="BodyText"/>
        <w:numPr>
          <w:ilvl w:val="0"/>
          <w:numId w:val="6"/>
        </w:numPr>
        <w:spacing w:line="264" w:lineRule="auto"/>
        <w:rPr>
          <w:rFonts w:ascii="Calibri" w:hAnsi="Calibri" w:cs="Calibri"/>
          <w:sz w:val="22"/>
          <w:szCs w:val="22"/>
        </w:rPr>
      </w:pPr>
      <w:r>
        <w:rPr>
          <w:rFonts w:ascii="Calibri" w:hAnsi="Calibri" w:cs="Calibri"/>
          <w:sz w:val="22"/>
          <w:szCs w:val="22"/>
        </w:rPr>
        <w:t xml:space="preserve">When </w:t>
      </w:r>
      <w:r>
        <w:rPr>
          <w:rFonts w:ascii="Calibri" w:hAnsi="Calibri" w:cs="Calibri"/>
          <w:i/>
          <w:iCs/>
          <w:sz w:val="22"/>
          <w:szCs w:val="22"/>
        </w:rPr>
        <w:t>λ</w:t>
      </w:r>
      <w:r>
        <w:rPr>
          <w:rFonts w:ascii="Calibri" w:hAnsi="Calibri" w:cs="Calibri"/>
          <w:sz w:val="22"/>
          <w:szCs w:val="22"/>
        </w:rPr>
        <w:t xml:space="preserve"> = 0, all off-diagonal elements are removed, producing a diagonal covariance matrix corresponding to phylogenetically independent observations.</w:t>
      </w:r>
    </w:p>
    <w:p>
      <w:pPr>
        <w:pStyle w:val="BodyText"/>
        <w:numPr>
          <w:ilvl w:val="0"/>
          <w:numId w:val="6"/>
        </w:numPr>
        <w:spacing w:line="264" w:lineRule="auto"/>
        <w:rPr>
          <w:rFonts w:ascii="Calibri" w:hAnsi="Calibri" w:cs="Calibri"/>
          <w:sz w:val="22"/>
          <w:szCs w:val="22"/>
        </w:rPr>
      </w:pPr>
      <w:r>
        <w:rPr>
          <w:rFonts w:ascii="Calibri" w:hAnsi="Calibri" w:cs="Calibri"/>
          <w:sz w:val="22"/>
          <w:szCs w:val="22"/>
        </w:rPr>
        <w:t xml:space="preserve">Intermediate values of </w:t>
      </w:r>
      <w:r>
        <w:rPr>
          <w:rFonts w:ascii="Calibri" w:hAnsi="Calibri" w:cs="Calibri"/>
          <w:i/>
          <w:iCs/>
          <w:sz w:val="22"/>
          <w:szCs w:val="22"/>
        </w:rPr>
        <w:t xml:space="preserve">λ </w:t>
      </w:r>
      <w:r>
        <w:rPr>
          <w:rFonts w:ascii="Calibri" w:hAnsi="Calibri" w:cs="Calibri"/>
          <w:sz w:val="22"/>
          <w:szCs w:val="22"/>
        </w:rPr>
        <w:t xml:space="preserve">(0 &lt; </w:t>
      </w:r>
      <w:r>
        <w:rPr>
          <w:rFonts w:ascii="Calibri" w:hAnsi="Calibri" w:cs="Calibri"/>
          <w:i/>
          <w:iCs/>
          <w:sz w:val="22"/>
          <w:szCs w:val="22"/>
        </w:rPr>
        <w:t>λ</w:t>
      </w:r>
      <w:r>
        <w:rPr>
          <w:rFonts w:ascii="Calibri" w:hAnsi="Calibri" w:cs="Calibri"/>
          <w:sz w:val="22"/>
          <w:szCs w:val="22"/>
        </w:rPr>
        <w:t xml:space="preserve"> &lt; 1) gradually reduce phylogenetic covariance while preserving marginal variances.</w:t>
      </w:r>
    </w:p>
    <w:p>
      <w:pPr>
        <w:pStyle w:val="BodyText"/>
        <w:spacing w:line="264" w:lineRule="auto"/>
        <w:rPr>
          <w:rFonts w:ascii="Calibri" w:hAnsi="Calibri" w:cs="Calibri"/>
          <w:sz w:val="22"/>
          <w:szCs w:val="22"/>
        </w:rPr>
      </w:pPr>
      <w:r>
        <w:rPr>
          <w:rFonts w:ascii="Calibri" w:hAnsi="Calibri" w:cs="Calibri"/>
          <w:sz w:val="22"/>
          <w:szCs w:val="22"/>
        </w:rPr>
        <w:t xml:space="preserve">Importantly, </w:t>
      </w:r>
      <w:r>
        <w:rPr>
          <w:rFonts w:ascii="Calibri" w:hAnsi="Calibri" w:cs="Calibri"/>
          <w:i/>
          <w:iCs/>
          <w:sz w:val="22"/>
          <w:szCs w:val="22"/>
        </w:rPr>
        <w:t>λ</w:t>
      </w:r>
      <w:r>
        <w:rPr>
          <w:rFonts w:ascii="Calibri" w:hAnsi="Calibri" w:cs="Calibri"/>
          <w:sz w:val="22"/>
          <w:szCs w:val="22"/>
        </w:rPr>
        <w:t xml:space="preserve"> does not change the variance of individual species but only adjusts the strength of shared evolutionary dependence.</w:t>
      </w:r>
    </w:p>
    <w:p>
      <w:pPr>
        <w:pStyle w:val="Heading3"/>
        <w:spacing w:line="264" w:lineRule="auto"/>
        <w:rPr>
          <w:rFonts w:ascii="Calibri" w:hAnsi="Calibri" w:cs="Calibri"/>
          <w:sz w:val="22"/>
          <w:szCs w:val="22"/>
        </w:rPr>
      </w:pPr>
      <w:bookmarkStart w:id="11" w:name="_Toc232605843"/>
      <w:r>
        <w:rPr>
          <w:rFonts w:ascii="Calibri" w:hAnsi="Calibri" w:cs="Calibri"/>
          <w:sz w:val="22"/>
          <w:szCs w:val="22"/>
        </w:rPr>
        <w:t>S3.3 Ornstein–Uhlenbeck (OU) model and phylogenetic half-life scaling</w:t>
      </w:r>
      <w:bookmarkEnd w:id="11"/>
    </w:p>
    <w:p>
      <w:pPr>
        <w:pStyle w:val="BodyText"/>
        <w:spacing w:line="264" w:lineRule="auto"/>
        <w:rPr>
          <w:rFonts w:ascii="Calibri" w:hAnsi="Calibri" w:cs="Calibri"/>
          <w:sz w:val="22"/>
          <w:szCs w:val="22"/>
        </w:rPr>
      </w:pPr>
      <w:r>
        <w:rPr>
          <w:rFonts w:ascii="Calibri" w:hAnsi="Calibri" w:cs="Calibri"/>
          <w:sz w:val="22"/>
          <w:szCs w:val="22"/>
        </w:rPr>
        <w:t>The OU model describes evolution under stabilizing selection toward an optimal trait value. In this model, phylogenetic dependence decays over evolutionary time because trait values are pulled toward the optimum.</w:t>
      </w:r>
    </w:p>
    <w:p>
      <w:pPr>
        <w:pStyle w:val="BodyText"/>
        <w:spacing w:line="264" w:lineRule="auto"/>
        <w:rPr>
          <w:rFonts w:ascii="Calibri" w:hAnsi="Calibri" w:cs="Calibri"/>
          <w:sz w:val="22"/>
          <w:szCs w:val="22"/>
        </w:rPr>
      </w:pPr>
      <w:r>
        <w:rPr>
          <w:rFonts w:ascii="Calibri" w:hAnsi="Calibri" w:cs="Calibri"/>
          <w:sz w:val="22"/>
          <w:szCs w:val="22"/>
        </w:rPr>
        <w:t>Instead of using the standard selection strength parameter (</w:t>
      </w:r>
      <w:r>
        <w:rPr>
          <w:rFonts w:ascii="Calibri" w:hAnsi="Calibri" w:cs="Calibri"/>
          <w:i/>
          <w:iCs/>
          <w:sz w:val="22"/>
          <w:szCs w:val="22"/>
        </w:rPr>
        <w:t>α</w:t>
      </w:r>
      <w:r>
        <w:rPr>
          <w:rFonts w:ascii="Calibri" w:hAnsi="Calibri" w:cs="Calibri"/>
          <w:sz w:val="22"/>
          <w:szCs w:val="22"/>
        </w:rPr>
        <w:t xml:space="preserve">) directly, we reparameterize the OU process using the phylogenetic half-life ratio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defined as:</w:t>
      </w:r>
    </w:p>
    <w:p>
      <w:pPr>
        <w:pStyle w:val="BodyText"/>
        <w:numPr>
          <w:ilvl w:val="0"/>
          <w:numId w:val="7"/>
        </w:numPr>
        <w:spacing w:line="264" w:lineRule="auto"/>
        <w:rPr>
          <w:rFonts w:ascii="Calibri" w:hAnsi="Calibri" w:cs="Calibri"/>
          <w:sz w:val="22"/>
          <w:szCs w:val="22"/>
        </w:rPr>
      </w:pPr>
      <w:r>
        <w:rPr>
          <w:rFonts w:ascii="Calibri" w:hAnsi="Calibri" w:cs="Calibri"/>
          <w:i/>
          <w:iCs/>
          <w:sz w:val="22"/>
          <w:szCs w:val="22"/>
        </w:rPr>
        <w:t>h</w:t>
      </w:r>
      <w:r>
        <w:rPr>
          <w:rFonts w:ascii="Calibri" w:hAnsi="Calibri" w:cs="Calibri"/>
          <w:sz w:val="22"/>
          <w:szCs w:val="22"/>
        </w:rPr>
        <w:t>: phylogenetic half-life, defined as the time required for phylogenetic correlation to decay by 50%, given by:</w:t>
      </w:r>
    </w:p>
    <w:p>
      <w:pPr>
        <w:pStyle w:val="BodyText"/>
        <w:spacing w:line="264" w:lineRule="auto"/>
        <w:ind w:left="720"/>
        <w:jc w:val="center"/>
        <w:rPr>
          <w:rFonts w:ascii="Calibri" w:hAnsi="Calibri" w:cs="Calibri"/>
          <w:sz w:val="22"/>
          <w:szCs w:val="22"/>
        </w:rPr>
      </w:pPr>
      <m:oMath>
        <m:r>
          <w:rPr>
            <w:rFonts w:ascii="Cambria Math" w:hAnsi="Cambria Math" w:cs="Calibri"/>
            <w:sz w:val="22"/>
            <w:szCs w:val="22"/>
          </w:rPr>
          <m:t>h=</m:t>
        </m:r>
        <m:f>
          <m:fPr>
            <m:ctrlPr>
              <w:rPr>
                <w:rFonts w:ascii="Cambria Math" w:hAnsi="Cambria Math" w:cs="Calibri"/>
                <w:i/>
                <w:sz w:val="22"/>
                <w:szCs w:val="22"/>
              </w:rPr>
            </m:ctrlPr>
          </m:fPr>
          <m:num>
            <m:r>
              <w:rPr>
                <w:rFonts w:ascii="Cambria Math" w:hAnsi="Cambria Math" w:cs="Calibri"/>
                <w:sz w:val="22"/>
                <w:szCs w:val="22"/>
              </w:rPr>
              <m:t>ln</m:t>
            </m:r>
            <m:d>
              <m:dPr>
                <m:ctrlPr>
                  <w:rPr>
                    <w:rFonts w:ascii="Cambria Math" w:hAnsi="Cambria Math" w:cs="Calibri"/>
                    <w:i/>
                    <w:sz w:val="22"/>
                    <w:szCs w:val="22"/>
                  </w:rPr>
                </m:ctrlPr>
              </m:dPr>
              <m:e>
                <m:r>
                  <w:rPr>
                    <w:rFonts w:ascii="Cambria Math" w:hAnsi="Cambria Math" w:cs="Calibri"/>
                    <w:sz w:val="22"/>
                    <w:szCs w:val="22"/>
                  </w:rPr>
                  <m:t>2</m:t>
                </m:r>
              </m:e>
            </m:d>
          </m:num>
          <m:den>
            <m:r>
              <w:rPr>
                <w:rFonts w:ascii="Cambria Math" w:hAnsi="Cambria Math" w:cs="Calibri"/>
                <w:sz w:val="22"/>
                <w:szCs w:val="22"/>
              </w:rPr>
              <m:t>α</m:t>
            </m:r>
          </m:den>
        </m:f>
      </m:oMath>
      <w:r>
        <w:rPr>
          <w:rFonts w:ascii="Calibri" w:hAnsi="Calibri" w:cs="Calibri"/>
          <w:sz w:val="22"/>
          <w:szCs w:val="22"/>
        </w:rPr>
        <w:t>,</w:t>
      </w:r>
    </w:p>
    <w:p>
      <w:pPr>
        <w:pStyle w:val="BodyText"/>
        <w:spacing w:line="264" w:lineRule="auto"/>
        <w:ind w:left="720"/>
        <w:rPr>
          <w:rFonts w:ascii="Calibri" w:hAnsi="Calibri" w:cs="Calibri"/>
          <w:sz w:val="22"/>
          <w:szCs w:val="22"/>
        </w:rPr>
      </w:pPr>
      <w:r>
        <w:rPr>
          <w:rFonts w:ascii="Calibri" w:hAnsi="Calibri" w:cs="Calibri"/>
          <w:sz w:val="22"/>
          <w:szCs w:val="22"/>
        </w:rPr>
        <w:lastRenderedPageBreak/>
        <w:t xml:space="preserve">where </w:t>
      </w:r>
      <w:r>
        <w:rPr>
          <w:rFonts w:ascii="Calibri" w:hAnsi="Calibri" w:cs="Calibri"/>
          <w:i/>
          <w:iCs/>
          <w:sz w:val="22"/>
          <w:szCs w:val="22"/>
        </w:rPr>
        <w:t>α</w:t>
      </w:r>
      <w:r>
        <w:rPr>
          <w:rFonts w:ascii="Calibri" w:hAnsi="Calibri" w:cs="Calibri"/>
          <w:sz w:val="22"/>
          <w:szCs w:val="22"/>
        </w:rPr>
        <w:t xml:space="preserve"> is the strength of stabilizing selection controlling the exponential decay rate of trait covariance.</w:t>
      </w:r>
    </w:p>
    <w:p>
      <w:pPr>
        <w:pStyle w:val="BodyText"/>
        <w:numPr>
          <w:ilvl w:val="0"/>
          <w:numId w:val="7"/>
        </w:numPr>
        <w:spacing w:line="264" w:lineRule="auto"/>
        <w:rPr>
          <w:rFonts w:ascii="Calibri" w:hAnsi="Calibri" w:cs="Calibri"/>
          <w:sz w:val="22"/>
          <w:szCs w:val="22"/>
        </w:rPr>
      </w:pPr>
      <w:r>
        <w:rPr>
          <w:rFonts w:ascii="Calibri" w:hAnsi="Calibri" w:cs="Calibri"/>
          <w:i/>
          <w:iCs/>
          <w:sz w:val="22"/>
          <w:szCs w:val="22"/>
        </w:rPr>
        <w:t>H</w:t>
      </w:r>
      <w:r>
        <w:rPr>
          <w:rFonts w:ascii="Calibri" w:hAnsi="Calibri" w:cs="Calibri"/>
          <w:sz w:val="22"/>
          <w:szCs w:val="22"/>
        </w:rPr>
        <w:t>: total height of the phylogenetic tree (from root to tips)</w:t>
      </w:r>
    </w:p>
    <w:p>
      <w:pPr>
        <w:pStyle w:val="BodyText"/>
        <w:spacing w:line="264" w:lineRule="auto"/>
        <w:rPr>
          <w:rFonts w:ascii="Calibri" w:hAnsi="Calibri" w:cs="Calibri"/>
          <w:sz w:val="22"/>
          <w:szCs w:val="22"/>
        </w:rPr>
      </w:pPr>
      <w:r>
        <w:rPr>
          <w:rFonts w:ascii="Calibri" w:hAnsi="Calibri" w:cs="Calibri"/>
          <w:sz w:val="22"/>
          <w:szCs w:val="22"/>
        </w:rPr>
        <w:t xml:space="preserve">The ratio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xml:space="preserve"> provides a dimensionless measure of how quickly phylogenetic signal decays relative to the depth of the tree:</w:t>
      </w:r>
    </w:p>
    <w:p>
      <w:pPr>
        <w:pStyle w:val="BodyText"/>
        <w:numPr>
          <w:ilvl w:val="0"/>
          <w:numId w:val="7"/>
        </w:numPr>
        <w:spacing w:line="264" w:lineRule="auto"/>
        <w:rPr>
          <w:rFonts w:ascii="Calibri" w:hAnsi="Calibri" w:cs="Calibri"/>
          <w:sz w:val="22"/>
          <w:szCs w:val="22"/>
        </w:rPr>
      </w:pPr>
      <w:r>
        <w:rPr>
          <w:rFonts w:ascii="Calibri" w:hAnsi="Calibri" w:cs="Calibri"/>
          <w:sz w:val="22"/>
          <w:szCs w:val="22"/>
        </w:rPr>
        <w:t xml:space="preserve">Small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xml:space="preserve"> values correspond to rapid decay of phylogenetic signal, producing weak covariance among species and approaching the independence benchmark.</w:t>
      </w:r>
    </w:p>
    <w:p>
      <w:pPr>
        <w:pStyle w:val="BodyText"/>
        <w:numPr>
          <w:ilvl w:val="0"/>
          <w:numId w:val="7"/>
        </w:numPr>
        <w:spacing w:line="264" w:lineRule="auto"/>
        <w:rPr>
          <w:rFonts w:ascii="Calibri" w:hAnsi="Calibri" w:cs="Calibri"/>
          <w:sz w:val="22"/>
          <w:szCs w:val="22"/>
        </w:rPr>
      </w:pPr>
      <w:r>
        <w:rPr>
          <w:rFonts w:ascii="Calibri" w:hAnsi="Calibri" w:cs="Calibri"/>
          <w:sz w:val="22"/>
          <w:szCs w:val="22"/>
        </w:rPr>
        <w:t xml:space="preserve">Large </w:t>
      </w:r>
      <w:r>
        <w:rPr>
          <w:rFonts w:ascii="Calibri" w:hAnsi="Calibri" w:cs="Calibri"/>
          <w:i/>
          <w:iCs/>
          <w:sz w:val="22"/>
          <w:szCs w:val="22"/>
        </w:rPr>
        <w:t>h</w:t>
      </w:r>
      <w:r>
        <w:rPr>
          <w:rFonts w:ascii="Calibri" w:hAnsi="Calibri" w:cs="Calibri"/>
          <w:sz w:val="22"/>
          <w:szCs w:val="22"/>
        </w:rPr>
        <w:t>/</w:t>
      </w:r>
      <w:r>
        <w:rPr>
          <w:rFonts w:ascii="Calibri" w:hAnsi="Calibri" w:cs="Calibri"/>
          <w:i/>
          <w:iCs/>
          <w:sz w:val="22"/>
          <w:szCs w:val="22"/>
        </w:rPr>
        <w:t>H</w:t>
      </w:r>
      <w:r>
        <w:rPr>
          <w:rFonts w:ascii="Calibri" w:hAnsi="Calibri" w:cs="Calibri"/>
          <w:sz w:val="22"/>
          <w:szCs w:val="22"/>
        </w:rPr>
        <w:t xml:space="preserve"> values correspond to slow decay of phylogenetic signal, producing strong phylogenetic dependence and behavior closer to BM.</w:t>
      </w:r>
    </w:p>
    <w:p>
      <w:pPr>
        <w:pStyle w:val="BodyText"/>
        <w:spacing w:line="264" w:lineRule="auto"/>
        <w:rPr>
          <w:rFonts w:ascii="Calibri" w:hAnsi="Calibri" w:cs="Calibri"/>
          <w:sz w:val="22"/>
          <w:szCs w:val="22"/>
        </w:rPr>
      </w:pPr>
      <w:r>
        <w:rPr>
          <w:rFonts w:ascii="Calibri" w:hAnsi="Calibri" w:cs="Calibri"/>
          <w:sz w:val="22"/>
          <w:szCs w:val="22"/>
        </w:rPr>
        <w:t>This scaling allows OU processes defined on different tree sizes to be directly compared.</w:t>
      </w:r>
    </w:p>
    <w:p>
      <w:pPr>
        <w:pStyle w:val="Heading3"/>
        <w:spacing w:line="264" w:lineRule="auto"/>
        <w:rPr>
          <w:rFonts w:ascii="Calibri" w:hAnsi="Calibri" w:cs="Calibri"/>
          <w:sz w:val="22"/>
          <w:szCs w:val="22"/>
        </w:rPr>
      </w:pPr>
      <w:bookmarkStart w:id="12" w:name="_Toc232605844"/>
      <w:r>
        <w:rPr>
          <w:rFonts w:ascii="Calibri" w:hAnsi="Calibri" w:cs="Calibri"/>
          <w:sz w:val="22"/>
          <w:szCs w:val="22"/>
        </w:rPr>
        <w:t>S3.4 Early-burst (EB) model and time-dependent rate variation</w:t>
      </w:r>
      <w:bookmarkEnd w:id="12"/>
    </w:p>
    <w:p>
      <w:pPr>
        <w:pStyle w:val="BodyText"/>
        <w:spacing w:line="264" w:lineRule="auto"/>
        <w:rPr>
          <w:rFonts w:ascii="Calibri" w:hAnsi="Calibri" w:cs="Calibri"/>
          <w:sz w:val="22"/>
          <w:szCs w:val="22"/>
        </w:rPr>
      </w:pPr>
      <w:r>
        <w:rPr>
          <w:rFonts w:ascii="Calibri" w:hAnsi="Calibri" w:cs="Calibri"/>
          <w:sz w:val="22"/>
          <w:szCs w:val="22"/>
        </w:rPr>
        <w:t xml:space="preserve">The EB model captures scenarios in which evolutionary rates change systematically over time along the phylogeny. In this framework, evolutionary change is redistributed across branches through an exponential rate function controlled by a parameter </w:t>
      </w:r>
      <w:r>
        <w:rPr>
          <w:rFonts w:ascii="Calibri" w:hAnsi="Calibri" w:cs="Calibri"/>
          <w:i/>
          <w:iCs/>
          <w:sz w:val="22"/>
          <w:szCs w:val="22"/>
        </w:rPr>
        <w:t>r</w:t>
      </w:r>
      <w:r>
        <w:rPr>
          <w:rFonts w:ascii="Calibri" w:hAnsi="Calibri" w:cs="Calibri"/>
          <w:sz w:val="22"/>
          <w:szCs w:val="22"/>
        </w:rPr>
        <w:t xml:space="preserve"> (replacing the conventional </w:t>
      </w:r>
      <w:r>
        <w:rPr>
          <w:rFonts w:ascii="Calibri" w:hAnsi="Calibri" w:cs="Calibri"/>
          <w:i/>
          <w:iCs/>
          <w:sz w:val="22"/>
          <w:szCs w:val="22"/>
        </w:rPr>
        <w:t>α</w:t>
      </w:r>
      <w:r>
        <w:rPr>
          <w:rFonts w:ascii="Calibri" w:hAnsi="Calibri" w:cs="Calibri"/>
          <w:sz w:val="22"/>
          <w:szCs w:val="22"/>
        </w:rPr>
        <w:t xml:space="preserve"> notation for consistency across analyses).</w:t>
      </w:r>
    </w:p>
    <w:p>
      <w:pPr>
        <w:pStyle w:val="BodyText"/>
        <w:spacing w:line="264" w:lineRule="auto"/>
        <w:rPr>
          <w:rFonts w:ascii="Calibri" w:hAnsi="Calibri" w:cs="Calibri"/>
          <w:sz w:val="22"/>
          <w:szCs w:val="22"/>
        </w:rPr>
      </w:pPr>
      <w:r>
        <w:rPr>
          <w:rFonts w:ascii="Calibri" w:hAnsi="Calibri" w:cs="Calibri"/>
          <w:sz w:val="22"/>
          <w:szCs w:val="22"/>
        </w:rPr>
        <w:t xml:space="preserve">The parameter </w:t>
      </w:r>
      <w:r>
        <w:rPr>
          <w:rFonts w:ascii="Calibri" w:hAnsi="Calibri" w:cs="Calibri"/>
          <w:i/>
          <w:iCs/>
          <w:sz w:val="22"/>
          <w:szCs w:val="22"/>
        </w:rPr>
        <w:t>r</w:t>
      </w:r>
      <w:r>
        <w:rPr>
          <w:rFonts w:ascii="Calibri" w:hAnsi="Calibri" w:cs="Calibri"/>
          <w:sz w:val="22"/>
          <w:szCs w:val="22"/>
        </w:rPr>
        <w:t xml:space="preserve"> governs how evolutionary rates vary through time:</w:t>
      </w:r>
    </w:p>
    <w:p>
      <w:pPr>
        <w:pStyle w:val="BodyText"/>
        <w:numPr>
          <w:ilvl w:val="0"/>
          <w:numId w:val="8"/>
        </w:numPr>
        <w:spacing w:line="264" w:lineRule="auto"/>
        <w:rPr>
          <w:rFonts w:ascii="Calibri" w:hAnsi="Calibri" w:cs="Calibri"/>
          <w:sz w:val="22"/>
          <w:szCs w:val="22"/>
        </w:rPr>
      </w:pPr>
      <w:r>
        <w:rPr>
          <w:rFonts w:ascii="Calibri" w:hAnsi="Calibri" w:cs="Calibri"/>
          <w:i/>
          <w:iCs/>
          <w:sz w:val="22"/>
          <w:szCs w:val="22"/>
        </w:rPr>
        <w:t>r</w:t>
      </w:r>
      <w:r>
        <w:rPr>
          <w:rFonts w:ascii="Calibri" w:hAnsi="Calibri" w:cs="Calibri"/>
          <w:sz w:val="22"/>
          <w:szCs w:val="22"/>
        </w:rPr>
        <w:t xml:space="preserve"> = 0 corresponds to standard Brownian motion with constant evolutionary rate.</w:t>
      </w:r>
    </w:p>
    <w:p>
      <w:pPr>
        <w:pStyle w:val="BodyText"/>
        <w:numPr>
          <w:ilvl w:val="0"/>
          <w:numId w:val="8"/>
        </w:numPr>
        <w:spacing w:line="264" w:lineRule="auto"/>
        <w:rPr>
          <w:rFonts w:ascii="Calibri" w:hAnsi="Calibri" w:cs="Calibri"/>
          <w:sz w:val="22"/>
          <w:szCs w:val="22"/>
        </w:rPr>
      </w:pPr>
      <w:r>
        <w:rPr>
          <w:rFonts w:ascii="Calibri" w:hAnsi="Calibri" w:cs="Calibri"/>
          <w:i/>
          <w:iCs/>
          <w:sz w:val="22"/>
          <w:szCs w:val="22"/>
        </w:rPr>
        <w:t>r</w:t>
      </w:r>
      <w:r>
        <w:rPr>
          <w:rFonts w:ascii="Calibri" w:hAnsi="Calibri" w:cs="Calibri"/>
          <w:sz w:val="22"/>
          <w:szCs w:val="22"/>
        </w:rPr>
        <w:t xml:space="preserve"> &lt; 0 produces an early-burst pattern, in which evolutionary change is concentrated toward deeper (earlier) branches in the phylogeny.</w:t>
      </w:r>
    </w:p>
    <w:p>
      <w:pPr>
        <w:pStyle w:val="BodyText"/>
        <w:numPr>
          <w:ilvl w:val="0"/>
          <w:numId w:val="8"/>
        </w:numPr>
        <w:spacing w:line="264" w:lineRule="auto"/>
        <w:rPr>
          <w:rFonts w:ascii="Calibri" w:hAnsi="Calibri" w:cs="Calibri"/>
          <w:sz w:val="22"/>
          <w:szCs w:val="22"/>
        </w:rPr>
      </w:pPr>
      <w:r>
        <w:rPr>
          <w:rFonts w:ascii="Calibri" w:hAnsi="Calibri" w:cs="Calibri"/>
          <w:sz w:val="22"/>
          <w:szCs w:val="22"/>
        </w:rPr>
        <w:t>Increasing |</w:t>
      </w:r>
      <w:r>
        <w:rPr>
          <w:rFonts w:ascii="Calibri" w:hAnsi="Calibri" w:cs="Calibri"/>
          <w:i/>
          <w:iCs/>
          <w:sz w:val="22"/>
          <w:szCs w:val="22"/>
        </w:rPr>
        <w:t>r</w:t>
      </w:r>
      <w:r>
        <w:rPr>
          <w:rFonts w:ascii="Calibri" w:hAnsi="Calibri" w:cs="Calibri"/>
          <w:sz w:val="22"/>
          <w:szCs w:val="22"/>
        </w:rPr>
        <w:t>| increases temporal heterogeneity in evolutionary rates, leading to stronger deviations from BM and typically reducing effective phylogenetic covariance relative to the same independence benchmark.</w:t>
      </w:r>
    </w:p>
    <w:p>
      <w:pPr>
        <w:pStyle w:val="BodyText"/>
        <w:spacing w:line="264" w:lineRule="auto"/>
        <w:rPr>
          <w:rFonts w:ascii="Calibri" w:hAnsi="Calibri" w:cs="Calibri"/>
          <w:sz w:val="22"/>
          <w:szCs w:val="22"/>
        </w:rPr>
      </w:pPr>
      <w:r>
        <w:rPr>
          <w:rFonts w:ascii="Calibri" w:hAnsi="Calibri" w:cs="Calibri"/>
          <w:sz w:val="22"/>
          <w:szCs w:val="22"/>
        </w:rPr>
        <w:t xml:space="preserve">Although EB does not have an exact analogue to the </w:t>
      </w:r>
      <w:r>
        <w:rPr>
          <w:rFonts w:ascii="Calibri" w:hAnsi="Calibri" w:cs="Calibri"/>
          <w:i/>
          <w:iCs/>
          <w:sz w:val="22"/>
          <w:szCs w:val="22"/>
        </w:rPr>
        <w:t>λ</w:t>
      </w:r>
      <w:r>
        <w:rPr>
          <w:rFonts w:ascii="Calibri" w:hAnsi="Calibri" w:cs="Calibri"/>
          <w:sz w:val="22"/>
          <w:szCs w:val="22"/>
        </w:rPr>
        <w:t xml:space="preserve"> = 0 independence case, extreme values of </w:t>
      </w:r>
      <w:r>
        <w:rPr>
          <w:rFonts w:ascii="Calibri" w:hAnsi="Calibri" w:cs="Calibri"/>
          <w:i/>
          <w:iCs/>
          <w:sz w:val="22"/>
          <w:szCs w:val="22"/>
        </w:rPr>
        <w:t>r</w:t>
      </w:r>
      <w:r>
        <w:rPr>
          <w:rFonts w:ascii="Calibri" w:hAnsi="Calibri" w:cs="Calibri"/>
          <w:sz w:val="22"/>
          <w:szCs w:val="22"/>
        </w:rPr>
        <w:t xml:space="preserve"> can substantially weaken effective phylogenetic dependence by concentrating evolutionary change in narrow temporal windows.</w:t>
      </w:r>
    </w:p>
    <w:p>
      <w:pPr>
        <w:pStyle w:val="Heading3"/>
        <w:spacing w:line="264" w:lineRule="auto"/>
        <w:rPr>
          <w:rFonts w:ascii="Calibri" w:hAnsi="Calibri" w:cs="Calibri"/>
          <w:sz w:val="22"/>
          <w:szCs w:val="22"/>
        </w:rPr>
      </w:pPr>
      <w:bookmarkStart w:id="13" w:name="_Toc232605845"/>
      <w:r>
        <w:rPr>
          <w:rFonts w:ascii="Calibri" w:hAnsi="Calibri" w:cs="Calibri"/>
          <w:sz w:val="22"/>
          <w:szCs w:val="22"/>
        </w:rPr>
        <w:t>S3.5 Unified interpretation and dual-benchmark framework</w:t>
      </w:r>
      <w:bookmarkEnd w:id="13"/>
    </w:p>
    <w:p>
      <w:pPr>
        <w:pStyle w:val="BodyText"/>
        <w:spacing w:line="264" w:lineRule="auto"/>
        <w:rPr>
          <w:rFonts w:ascii="Calibri" w:hAnsi="Calibri" w:cs="Calibri"/>
          <w:sz w:val="22"/>
          <w:szCs w:val="22"/>
        </w:rPr>
      </w:pPr>
      <w:r>
        <w:rPr>
          <w:rFonts w:ascii="Calibri" w:hAnsi="Calibri" w:cs="Calibri"/>
          <w:sz w:val="22"/>
          <w:szCs w:val="22"/>
        </w:rPr>
        <w:t xml:space="preserve">Although </w:t>
      </w:r>
      <w:r>
        <w:rPr>
          <w:rFonts w:ascii="Calibri" w:hAnsi="Calibri" w:cs="Calibri"/>
          <w:i/>
          <w:iCs/>
          <w:sz w:val="22"/>
          <w:szCs w:val="22"/>
        </w:rPr>
        <w:t>λ</w:t>
      </w:r>
      <w:r>
        <w:rPr>
          <w:rFonts w:ascii="Calibri" w:hAnsi="Calibri" w:cs="Calibri"/>
          <w:sz w:val="22"/>
          <w:szCs w:val="22"/>
        </w:rPr>
        <w:t xml:space="preserve">-BM, OU, and EB models differ in biological interpretation, all three can be viewed as mechanisms that modulate the strength and structure of phylogenetic covariance relative to a common independence benchmark defined by the </w:t>
      </w:r>
      <w:r>
        <w:rPr>
          <w:rFonts w:ascii="Calibri" w:hAnsi="Calibri" w:cs="Calibri"/>
          <w:i/>
          <w:iCs/>
          <w:sz w:val="22"/>
          <w:szCs w:val="22"/>
        </w:rPr>
        <w:t>λ</w:t>
      </w:r>
      <w:r>
        <w:rPr>
          <w:rFonts w:ascii="Calibri" w:hAnsi="Calibri" w:cs="Calibri"/>
          <w:sz w:val="22"/>
          <w:szCs w:val="22"/>
        </w:rPr>
        <w:t xml:space="preserve"> = 0 BM model (diagonal covariance matrix).</w:t>
      </w:r>
    </w:p>
    <w:p>
      <w:pPr>
        <w:pStyle w:val="BodyText"/>
        <w:spacing w:line="264" w:lineRule="auto"/>
        <w:rPr>
          <w:rFonts w:ascii="Calibri" w:hAnsi="Calibri" w:cs="Calibri"/>
          <w:sz w:val="22"/>
          <w:szCs w:val="22"/>
        </w:rPr>
      </w:pPr>
      <w:r>
        <w:rPr>
          <w:rFonts w:ascii="Calibri" w:hAnsi="Calibri" w:cs="Calibri"/>
          <w:sz w:val="22"/>
          <w:szCs w:val="22"/>
        </w:rPr>
        <w:t xml:space="preserve">Importantly, the </w:t>
      </w:r>
      <w:r>
        <w:rPr>
          <w:rFonts w:ascii="Calibri" w:hAnsi="Calibri" w:cs="Calibri"/>
          <w:i/>
          <w:iCs/>
          <w:sz w:val="22"/>
          <w:szCs w:val="22"/>
        </w:rPr>
        <w:t>λ</w:t>
      </w:r>
      <w:r>
        <w:rPr>
          <w:rFonts w:ascii="Calibri" w:hAnsi="Calibri" w:cs="Calibri"/>
          <w:sz w:val="22"/>
          <w:szCs w:val="22"/>
        </w:rPr>
        <w:t xml:space="preserve"> = 0 benchmark is used exclusively to define the scale of effective-information metrics, PIESS. Specifically, PIESS values are constructed by mapping prediction-metric uncertainty to an independence-equivalent sample size using this theoretical reference, and this mapping is applied consistently to all observed subsets (dispersed and clustered) as well as to random subsets.</w:t>
      </w:r>
    </w:p>
    <w:p>
      <w:pPr>
        <w:pStyle w:val="BodyText"/>
        <w:spacing w:line="264" w:lineRule="auto"/>
        <w:rPr>
          <w:rFonts w:ascii="Calibri" w:hAnsi="Calibri" w:cs="Calibri"/>
          <w:sz w:val="22"/>
          <w:szCs w:val="22"/>
        </w:rPr>
      </w:pPr>
      <w:r>
        <w:rPr>
          <w:rFonts w:ascii="Calibri" w:hAnsi="Calibri" w:cs="Calibri"/>
          <w:sz w:val="22"/>
          <w:szCs w:val="22"/>
        </w:rPr>
        <w:t>In contrast, statistical inference for both correlation-based dependence diagnostics and PIESS relies on a second, empirical benchmark based on random subsets drawn from the same candidate pool and with the same target subset size. These random subsets provide the null distribution used for one-sided significance testing, allowing evaluation of whether observed dispersed or clustered subsets deviate from expectation under the same phylogenetic and sampling constraints.</w:t>
      </w:r>
    </w:p>
    <w:p>
      <w:pPr>
        <w:pStyle w:val="BodyText"/>
        <w:spacing w:line="264" w:lineRule="auto"/>
        <w:rPr>
          <w:rFonts w:ascii="Calibri" w:hAnsi="Calibri" w:cs="Calibri"/>
          <w:sz w:val="22"/>
          <w:szCs w:val="22"/>
        </w:rPr>
      </w:pPr>
      <w:r>
        <w:rPr>
          <w:rFonts w:ascii="Calibri" w:hAnsi="Calibri" w:cs="Calibri"/>
          <w:sz w:val="22"/>
          <w:szCs w:val="22"/>
        </w:rPr>
        <w:lastRenderedPageBreak/>
        <w:t>Thus, the λ = 0 benchmark defines the absolute scale of independence-equivalent information, whereas the random-subset distribution defines the relative statistical reference. These two benchmarks serve distinct but complementary roles and are not interchangeable.</w:t>
      </w:r>
      <w:r>
        <w:rPr>
          <w:rFonts w:ascii="Calibri" w:hAnsi="Calibri" w:cs="Calibri"/>
          <w:sz w:val="22"/>
          <w:szCs w:val="22"/>
        </w:rPr>
        <w:br w:type="page"/>
      </w:r>
    </w:p>
    <w:p>
      <w:pPr>
        <w:pStyle w:val="Heading1"/>
        <w:spacing w:line="264" w:lineRule="auto"/>
        <w:rPr>
          <w:rFonts w:ascii="Calibri" w:hAnsi="Calibri" w:cs="Calibri"/>
        </w:rPr>
      </w:pPr>
      <w:bookmarkStart w:id="14" w:name="_Toc232605846"/>
      <w:r>
        <w:rPr>
          <w:rFonts w:ascii="Calibri" w:hAnsi="Calibri" w:cs="Calibri"/>
        </w:rPr>
        <w:lastRenderedPageBreak/>
        <w:t>Appendix 1. Correlation-Based Dependence Diagnostics and MIESS</w:t>
      </w:r>
      <w:bookmarkEnd w:id="14"/>
    </w:p>
    <w:p>
      <w:pPr>
        <w:pStyle w:val="NormalWeb"/>
        <w:spacing w:line="264" w:lineRule="auto"/>
        <w:rPr>
          <w:rFonts w:ascii="Calibri" w:hAnsi="Calibri" w:cs="Calibri"/>
          <w:sz w:val="22"/>
          <w:szCs w:val="22"/>
        </w:rPr>
      </w:pPr>
      <w:bookmarkStart w:id="15" w:name="X0ed384dfa2fd00e64f5902eb592e19a9ff959ff"/>
      <w:r>
        <w:rPr>
          <w:rFonts w:ascii="Calibri" w:hAnsi="Calibri" w:cs="Calibri"/>
          <w:sz w:val="22"/>
          <w:szCs w:val="22"/>
        </w:rPr>
        <w:t>In the main text, we evaluated within-subset phylogenetic dependence using three diagnostics derived from the model-implied correlation matrix of each selected subset: the mean off-diagonal correlation, the maximum off-diagonal correlation, and the mean-based independence-equivalent sample size (MIESS). This appendix explains the logic behind these quantities, with particular emphasis on why</w:t>
      </w:r>
    </w:p>
    <w:p>
      <w:pPr>
        <w:pStyle w:val="NormalWeb"/>
        <w:spacing w:line="264" w:lineRule="auto"/>
        <w:rPr>
          <w:rFonts w:ascii="Calibri" w:hAnsi="Calibri" w:cs="Calibri"/>
          <w:sz w:val="22"/>
          <w:szCs w:val="22"/>
        </w:rPr>
      </w:pPr>
      <m:oMathPara>
        <m:oMath>
          <m:r>
            <w:rPr>
              <w:rFonts w:ascii="Cambria Math" w:hAnsi="Cambria Math" w:cs="Calibri"/>
              <w:sz w:val="22"/>
              <w:szCs w:val="22"/>
            </w:rPr>
            <m:t>MIESS=</m:t>
          </m:r>
          <m:sSup>
            <m:sSupPr>
              <m:ctrlPr>
                <w:rPr>
                  <w:rFonts w:ascii="Cambria Math" w:hAnsi="Cambria Math" w:cs="Calibri"/>
                  <w:i/>
                  <w:sz w:val="22"/>
                  <w:szCs w:val="22"/>
                </w:rPr>
              </m:ctrlPr>
            </m:sSupPr>
            <m:e>
              <m:r>
                <m:rPr>
                  <m:sty m:val="bi"/>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w:rPr>
                  <w:rFonts w:ascii="Cambria Math" w:hAnsi="Cambria Math" w:cs="Calibri"/>
                  <w:sz w:val="22"/>
                  <w:szCs w:val="22"/>
                </w:rPr>
                <m:t>-1</m:t>
              </m:r>
            </m:sup>
          </m:sSubSup>
          <m:r>
            <m:rPr>
              <m:sty m:val="bi"/>
            </m:rPr>
            <w:rPr>
              <w:rFonts w:ascii="Cambria Math" w:hAnsi="Cambria Math" w:cs="Calibri"/>
              <w:sz w:val="22"/>
              <w:szCs w:val="22"/>
            </w:rPr>
            <m:t>1</m:t>
          </m:r>
        </m:oMath>
      </m:oMathPara>
    </w:p>
    <w:p>
      <w:pPr>
        <w:pStyle w:val="NormalWeb"/>
        <w:spacing w:line="264" w:lineRule="auto"/>
        <w:rPr>
          <w:rFonts w:ascii="Calibri" w:hAnsi="Calibri" w:cs="Calibri"/>
          <w:sz w:val="22"/>
          <w:szCs w:val="22"/>
        </w:rPr>
      </w:pPr>
      <w:r>
        <w:rPr>
          <w:rFonts w:ascii="Calibri" w:hAnsi="Calibri" w:cs="Calibri"/>
          <w:sz w:val="22"/>
          <w:szCs w:val="22"/>
        </w:rPr>
        <w:t>can be interpreted as a mean-based effective sample size. The goal here is not to give the most compact mathematical derivation, but to make the logic transparent for readers who may not work with generalized least squares, phylogenetic covariance matrices, or effective sample size on a regular basis.</w:t>
      </w:r>
    </w:p>
    <w:p>
      <w:pPr>
        <w:pStyle w:val="Heading2"/>
        <w:spacing w:before="120" w:line="264" w:lineRule="auto"/>
        <w:rPr>
          <w:rFonts w:ascii="Calibri" w:hAnsi="Calibri" w:cs="Calibri"/>
        </w:rPr>
      </w:pPr>
      <w:bookmarkStart w:id="16" w:name="_Toc232605847"/>
      <w:r>
        <w:rPr>
          <w:rFonts w:ascii="Calibri" w:hAnsi="Calibri" w:cs="Calibri"/>
        </w:rPr>
        <w:t>A1.1. From a phylogenetic covariance to a phylogenetic correlation</w:t>
      </w:r>
      <w:bookmarkEnd w:id="16"/>
    </w:p>
    <w:p>
      <w:pPr>
        <w:pStyle w:val="FirstParagraph"/>
        <w:spacing w:line="264" w:lineRule="auto"/>
        <w:rPr>
          <w:rFonts w:ascii="Calibri" w:hAnsi="Calibri" w:cs="Calibri"/>
          <w:sz w:val="22"/>
          <w:szCs w:val="22"/>
        </w:rPr>
      </w:pPr>
      <w:r>
        <w:rPr>
          <w:rFonts w:ascii="Calibri" w:hAnsi="Calibri" w:cs="Calibri"/>
          <w:sz w:val="22"/>
          <w:szCs w:val="22"/>
        </w:rPr>
        <w:t xml:space="preserve">For a selected subset </w:t>
      </w:r>
      <w:r>
        <w:rPr>
          <w:rFonts w:ascii="Calibri" w:hAnsi="Calibri" w:cs="Calibri"/>
          <w:i/>
          <w:iCs/>
          <w:sz w:val="22"/>
          <w:szCs w:val="22"/>
        </w:rPr>
        <w:t>S</w:t>
      </w:r>
      <w:r>
        <w:rPr>
          <w:rFonts w:ascii="Calibri" w:hAnsi="Calibri" w:cs="Calibri"/>
          <w:sz w:val="22"/>
          <w:szCs w:val="22"/>
        </w:rPr>
        <w:t xml:space="preserve"> containing </w:t>
      </w:r>
      <w:r>
        <w:rPr>
          <w:rFonts w:ascii="Calibri" w:hAnsi="Calibri" w:cs="Calibri"/>
          <w:i/>
          <w:iCs/>
          <w:sz w:val="22"/>
          <w:szCs w:val="22"/>
        </w:rPr>
        <w:t>s</w:t>
      </w:r>
      <w:r>
        <w:rPr>
          <w:rFonts w:ascii="Calibri" w:hAnsi="Calibri" w:cs="Calibri"/>
          <w:sz w:val="22"/>
          <w:szCs w:val="22"/>
        </w:rPr>
        <w:t xml:space="preserve"> species, let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denote the phylogenetic covariance matrix among the species in </w:t>
      </w:r>
      <w:r>
        <w:rPr>
          <w:rFonts w:ascii="Calibri" w:hAnsi="Calibri" w:cs="Calibri"/>
          <w:i/>
          <w:iCs/>
          <w:sz w:val="22"/>
          <w:szCs w:val="22"/>
        </w:rPr>
        <w:t>S</w:t>
      </w:r>
      <w:r>
        <w:rPr>
          <w:rFonts w:ascii="Calibri" w:hAnsi="Calibri" w:cs="Calibri"/>
          <w:sz w:val="22"/>
          <w:szCs w:val="22"/>
        </w:rPr>
        <w:t xml:space="preserve"> under a specified evolutionary covariance model. The entries of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describe the covariance expected between species because of shared evolutionary history.</w:t>
      </w:r>
    </w:p>
    <w:p>
      <w:pPr>
        <w:pStyle w:val="FirstParagraph"/>
        <w:spacing w:line="264" w:lineRule="auto"/>
        <w:rPr>
          <w:rFonts w:ascii="Calibri" w:hAnsi="Calibri" w:cs="Calibri"/>
          <w:sz w:val="22"/>
          <w:szCs w:val="22"/>
        </w:rPr>
      </w:pPr>
      <w:r>
        <w:rPr>
          <w:rFonts w:ascii="Calibri" w:hAnsi="Calibri" w:cs="Calibri"/>
          <w:sz w:val="22"/>
          <w:szCs w:val="22"/>
        </w:rPr>
        <w:t xml:space="preserve">Under Brownian motion (BM), for example, the covariance between two species is determined by their shared ancestral branch length. Species that share more recent evolutionary history generally have larger covariance, whereas species that diverged earlier generally have smaller covariance. Other evolutionary models, such as </w:t>
      </w:r>
      <w:r>
        <w:rPr>
          <w:rFonts w:ascii="Calibri" w:eastAsiaTheme="minorEastAsia" w:hAnsi="Calibri" w:cs="Calibri"/>
          <w:i/>
          <w:iCs/>
          <w:sz w:val="22"/>
          <w:szCs w:val="22"/>
          <w:lang w:eastAsia="zh-CN"/>
        </w:rPr>
        <w:t>λ</w:t>
      </w:r>
      <w:r>
        <w:rPr>
          <w:rFonts w:ascii="Calibri" w:hAnsi="Calibri" w:cs="Calibri"/>
          <w:sz w:val="22"/>
          <w:szCs w:val="22"/>
        </w:rPr>
        <w:t xml:space="preserve">-transformed BM, Ornstein–Uhlenbeck (OU), and early-burst (EB) models, imply different covariance matrices, but the same diagnostic framework can be applied once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has been obtained.</w:t>
      </w:r>
    </w:p>
    <w:p>
      <w:pPr>
        <w:pStyle w:val="BodyText"/>
        <w:spacing w:line="264" w:lineRule="auto"/>
        <w:rPr>
          <w:rFonts w:ascii="Calibri" w:hAnsi="Calibri" w:cs="Calibri"/>
          <w:sz w:val="22"/>
          <w:szCs w:val="22"/>
        </w:rPr>
      </w:pPr>
      <w:r>
        <w:rPr>
          <w:rFonts w:ascii="Calibri" w:hAnsi="Calibri" w:cs="Calibri"/>
          <w:sz w:val="22"/>
          <w:szCs w:val="22"/>
        </w:rPr>
        <w:t xml:space="preserve">Because the absolute values in a covariance matrix depend on marginal variances as well as dependence, we standardized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xml:space="preserve"> to the corresponding correlation matrix. Let</w:t>
      </w:r>
    </w:p>
    <w:p>
      <w:pPr>
        <w:pStyle w:val="BodyText"/>
        <w:spacing w:line="264" w:lineRule="auto"/>
        <w:rPr>
          <w:rFonts w:ascii="Calibri" w:hAnsi="Calibri" w:cs="Calibri"/>
          <w:sz w:val="22"/>
          <w:szCs w:val="22"/>
        </w:rPr>
      </w:pPr>
      <m:oMathPara>
        <m:oMath>
          <m:r>
            <w:rPr>
              <w:rFonts w:ascii="Cambria Math" w:hAnsi="Cambria Math" w:cs="Calibri"/>
              <w:sz w:val="22"/>
              <w:szCs w:val="22"/>
            </w:rPr>
            <m:t>∆=</m:t>
          </m:r>
          <m:r>
            <m:rPr>
              <m:nor/>
            </m:rPr>
            <w:rPr>
              <w:rFonts w:ascii="Calibri" w:hAnsi="Calibri" w:cs="Calibri"/>
              <w:sz w:val="22"/>
              <w:szCs w:val="22"/>
            </w:rPr>
            <m:t>diag</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oMath>
      </m:oMathPara>
    </w:p>
    <w:p>
      <w:pPr>
        <w:pStyle w:val="BodyText"/>
        <w:spacing w:line="264" w:lineRule="auto"/>
        <w:rPr>
          <w:rFonts w:ascii="Calibri" w:hAnsi="Calibri" w:cs="Calibri"/>
          <w:sz w:val="22"/>
          <w:szCs w:val="22"/>
        </w:rPr>
      </w:pPr>
      <w:r>
        <w:rPr>
          <w:rFonts w:ascii="Calibri" w:hAnsi="Calibri" w:cs="Calibri"/>
          <w:sz w:val="22"/>
          <w:szCs w:val="22"/>
        </w:rPr>
        <w:t xml:space="preserve">be the diagonal matrix containing the marginal variances in </w:t>
      </w:r>
      <w:r>
        <w:rPr>
          <w:rFonts w:ascii="Calibri" w:hAnsi="Calibri" w:cs="Calibri"/>
          <w:i/>
          <w:iCs/>
          <w:sz w:val="22"/>
          <w:szCs w:val="22"/>
        </w:rPr>
        <w:t>V</w:t>
      </w:r>
      <w:r>
        <w:rPr>
          <w:rFonts w:ascii="Calibri" w:hAnsi="Calibri" w:cs="Calibri"/>
          <w:i/>
          <w:iCs/>
          <w:sz w:val="22"/>
          <w:szCs w:val="22"/>
          <w:vertAlign w:val="subscript"/>
        </w:rPr>
        <w:t>S</w:t>
      </w:r>
      <w:r>
        <w:rPr>
          <w:rFonts w:ascii="Calibri" w:hAnsi="Calibri" w:cs="Calibri"/>
          <w:sz w:val="22"/>
          <w:szCs w:val="22"/>
        </w:rPr>
        <w:t>. The corresponding phylogenetic correlation matrix is</w:t>
      </w:r>
    </w:p>
    <w:p>
      <w:pPr>
        <w:pStyle w:val="BodyText"/>
        <w:spacing w:line="264" w:lineRule="auto"/>
        <w:jc w:val="center"/>
        <w:rPr>
          <w:rFonts w:ascii="Calibri" w:hAnsi="Calibri" w:cs="Calibri"/>
          <w:sz w:val="22"/>
          <w:szCs w:val="22"/>
        </w:rPr>
      </w:pPr>
      <m:oMath>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m:t>
            </m:r>
          </m:e>
          <m:sup>
            <m:r>
              <w:rPr>
                <w:rFonts w:ascii="Cambria Math" w:hAnsi="Cambria Math" w:cs="Calibri"/>
                <w:sz w:val="22"/>
                <w:szCs w:val="22"/>
              </w:rPr>
              <m:t>-1</m:t>
            </m:r>
            <m:r>
              <m:rPr>
                <m:lit/>
                <m:sty m:val="p"/>
              </m:rPr>
              <w:rPr>
                <w:rFonts w:ascii="Cambria Math" w:hAnsi="Cambria Math" w:cs="Calibri"/>
                <w:sz w:val="22"/>
                <w:szCs w:val="22"/>
              </w:rPr>
              <m:t>/</m:t>
            </m:r>
            <m:r>
              <m:rPr>
                <m:sty m:val="p"/>
              </m:rP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sSup>
          <m:sSupPr>
            <m:ctrlPr>
              <w:rPr>
                <w:rFonts w:ascii="Cambria Math" w:hAnsi="Cambria Math" w:cs="Calibri"/>
                <w:i/>
                <w:sz w:val="22"/>
                <w:szCs w:val="22"/>
              </w:rPr>
            </m:ctrlPr>
          </m:sSupPr>
          <m:e>
            <m:r>
              <w:rPr>
                <w:rFonts w:ascii="Cambria Math" w:hAnsi="Cambria Math" w:cs="Calibri"/>
                <w:sz w:val="22"/>
                <w:szCs w:val="22"/>
              </w:rPr>
              <m:t>∆</m:t>
            </m:r>
          </m:e>
          <m:sup>
            <m:r>
              <w:rPr>
                <w:rFonts w:ascii="Cambria Math" w:hAnsi="Cambria Math" w:cs="Calibri"/>
                <w:sz w:val="22"/>
                <w:szCs w:val="22"/>
              </w:rPr>
              <m:t>-1</m:t>
            </m:r>
            <m:r>
              <m:rPr>
                <m:lit/>
                <m:sty m:val="p"/>
              </m:rPr>
              <w:rPr>
                <w:rFonts w:ascii="Cambria Math" w:hAnsi="Cambria Math" w:cs="Calibri"/>
                <w:sz w:val="22"/>
                <w:szCs w:val="22"/>
              </w:rPr>
              <m:t>/</m:t>
            </m:r>
            <m:r>
              <m:rPr>
                <m:sty m:val="p"/>
              </m:rPr>
              <w:rPr>
                <w:rFonts w:ascii="Cambria Math" w:hAnsi="Cambria Math" w:cs="Calibri"/>
                <w:sz w:val="22"/>
                <w:szCs w:val="22"/>
              </w:rPr>
              <m:t>2</m:t>
            </m:r>
          </m:sup>
        </m:sSup>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Equivalently, the </w:t>
      </w:r>
      <m:oMath>
        <m:r>
          <w:rPr>
            <w:rFonts w:ascii="Cambria Math" w:hAnsi="Cambria Math" w:cs="Calibri"/>
            <w:sz w:val="22"/>
            <w:szCs w:val="22"/>
          </w:rPr>
          <m:t>(i,j)</m:t>
        </m:r>
      </m:oMath>
      <w:r>
        <w:rPr>
          <w:rFonts w:ascii="Calibri" w:hAnsi="Calibri" w:cs="Calibri"/>
          <w:sz w:val="22"/>
          <w:szCs w:val="22"/>
        </w:rPr>
        <w:t xml:space="preserve">-th entry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w:t>
      </w:r>
    </w:p>
    <w:p>
      <w:pPr>
        <w:pStyle w:val="BodyText"/>
        <w:spacing w:line="264" w:lineRule="auto"/>
        <w:jc w:val="center"/>
        <w:rPr>
          <w:rFonts w:ascii="Calibri" w:hAnsi="Calibri" w:cs="Calibri"/>
          <w:sz w:val="22"/>
          <w:szCs w:val="22"/>
        </w:rPr>
      </w:pPr>
      <m:oMath>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e>
        </m:d>
        <m:r>
          <w:rPr>
            <w:rFonts w:ascii="Cambria Math" w:hAnsi="Cambria Math" w:cs="Calibri"/>
            <w:sz w:val="22"/>
            <w:szCs w:val="22"/>
          </w:rPr>
          <m:t>ij=</m:t>
        </m:r>
        <m:f>
          <m:fPr>
            <m:ctrlPr>
              <w:rPr>
                <w:rFonts w:ascii="Cambria Math" w:hAnsi="Cambria Math" w:cs="Calibri"/>
                <w:sz w:val="22"/>
                <w:szCs w:val="22"/>
              </w:rPr>
            </m:ctrlPr>
          </m:fPr>
          <m:num>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ij</m:t>
            </m:r>
            <m:ctrlPr>
              <w:rPr>
                <w:rFonts w:ascii="Cambria Math" w:hAnsi="Cambria Math" w:cs="Calibri"/>
                <w:i/>
                <w:sz w:val="22"/>
                <w:szCs w:val="22"/>
              </w:rPr>
            </m:ctrlPr>
          </m:num>
          <m:den>
            <m:rad>
              <m:radPr>
                <m:degHide m:val="1"/>
                <m:ctrlPr>
                  <w:rPr>
                    <w:rFonts w:ascii="Cambria Math" w:hAnsi="Cambria Math" w:cs="Calibri"/>
                    <w:sz w:val="22"/>
                    <w:szCs w:val="22"/>
                  </w:rPr>
                </m:ctrlPr>
              </m:radPr>
              <m:deg>
                <m:ctrlPr>
                  <w:rPr>
                    <w:rFonts w:ascii="Cambria Math" w:hAnsi="Cambria Math" w:cs="Calibri"/>
                    <w:i/>
                    <w:sz w:val="22"/>
                    <w:szCs w:val="22"/>
                  </w:rPr>
                </m:ctrlPr>
              </m:deg>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ii</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V</m:t>
                        </m:r>
                      </m:e>
                      <m:sub>
                        <m:r>
                          <w:rPr>
                            <w:rFonts w:ascii="Cambria Math" w:hAnsi="Cambria Math" w:cs="Calibri"/>
                            <w:sz w:val="22"/>
                            <w:szCs w:val="22"/>
                          </w:rPr>
                          <m:t>S</m:t>
                        </m:r>
                      </m:sub>
                    </m:sSub>
                  </m:e>
                </m:d>
                <m:r>
                  <w:rPr>
                    <w:rFonts w:ascii="Cambria Math" w:hAnsi="Cambria Math" w:cs="Calibri"/>
                    <w:sz w:val="22"/>
                    <w:szCs w:val="22"/>
                  </w:rPr>
                  <m:t>jj</m:t>
                </m:r>
              </m:e>
            </m:rad>
            <m:ctrlPr>
              <w:rPr>
                <w:rFonts w:ascii="Cambria Math" w:hAnsi="Cambria Math" w:cs="Calibri"/>
                <w:i/>
                <w:sz w:val="22"/>
                <w:szCs w:val="22"/>
              </w:rPr>
            </m:ctrlPr>
          </m:den>
        </m:f>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The diagonal entries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are therefore equal to 1, and the off-diagonal entries describe the pairwise correlations among species induced by the assumed phylogenetic covariance model. These off-diagonal entries are the direct basis of the correlation-based dependence diagnostics used in the main text.</w:t>
      </w:r>
    </w:p>
    <w:p>
      <w:pPr>
        <w:pStyle w:val="Heading2"/>
        <w:spacing w:before="120" w:line="264" w:lineRule="auto"/>
        <w:rPr>
          <w:rFonts w:ascii="Calibri" w:hAnsi="Calibri" w:cs="Calibri"/>
        </w:rPr>
      </w:pPr>
      <w:bookmarkStart w:id="17" w:name="_Toc232605848"/>
      <w:r>
        <w:rPr>
          <w:rFonts w:ascii="Calibri" w:hAnsi="Calibri" w:cs="Calibri"/>
        </w:rPr>
        <w:t>A1.2. Mean and maximum off-diagonal correlations</w:t>
      </w:r>
      <w:bookmarkEnd w:id="17"/>
    </w:p>
    <w:p>
      <w:pPr>
        <w:pStyle w:val="BodyText"/>
        <w:spacing w:line="264" w:lineRule="auto"/>
        <w:rPr>
          <w:rFonts w:ascii="Calibri" w:hAnsi="Calibri" w:cs="Calibri"/>
          <w:sz w:val="22"/>
          <w:szCs w:val="22"/>
        </w:rPr>
      </w:pPr>
      <w:r>
        <w:rPr>
          <w:rFonts w:ascii="Calibri" w:hAnsi="Calibri" w:cs="Calibri"/>
          <w:sz w:val="22"/>
          <w:szCs w:val="22"/>
        </w:rPr>
        <w:t>The first correlation-based diagnostic is the mean off-diagonal correlation,</w:t>
      </w:r>
    </w:p>
    <w:p>
      <w:pPr>
        <w:pStyle w:val="BodyText"/>
        <w:spacing w:line="264" w:lineRule="auto"/>
        <w:jc w:val="center"/>
        <w:rPr>
          <w:rFonts w:ascii="Calibri" w:hAnsi="Calibri" w:cs="Calibri"/>
          <w:sz w:val="22"/>
          <w:szCs w:val="22"/>
        </w:rPr>
      </w:pPr>
      <m:oMath>
        <m:r>
          <m:rPr>
            <m:nor/>
          </m:rPr>
          <w:rPr>
            <w:rFonts w:ascii="Calibri" w:hAnsi="Calibri" w:cs="Calibri"/>
            <w:sz w:val="22"/>
            <w:szCs w:val="22"/>
          </w:rPr>
          <m:t>MeanOffCor</m:t>
        </m:r>
        <m: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2</m:t>
            </m:r>
            <m:ctrlPr>
              <w:rPr>
                <w:rFonts w:ascii="Cambria Math" w:hAnsi="Cambria Math" w:cs="Calibri"/>
                <w:i/>
                <w:sz w:val="22"/>
                <w:szCs w:val="22"/>
              </w:rPr>
            </m:ctrlPr>
          </m:num>
          <m:den>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ctrlPr>
              <w:rPr>
                <w:rFonts w:ascii="Cambria Math" w:hAnsi="Cambria Math" w:cs="Calibri"/>
                <w:i/>
                <w:sz w:val="22"/>
                <w:szCs w:val="22"/>
              </w:rPr>
            </m:ctrlPr>
          </m:den>
        </m:f>
        <m:nary>
          <m:naryPr>
            <m:chr m:val="∑"/>
            <m:supHide m:val="1"/>
            <m:ctrlPr>
              <w:rPr>
                <w:rFonts w:ascii="Cambria Math" w:hAnsi="Cambria Math" w:cs="Calibri"/>
                <w:sz w:val="22"/>
                <w:szCs w:val="22"/>
              </w:rPr>
            </m:ctrlPr>
          </m:naryPr>
          <m:sub>
            <m:r>
              <w:rPr>
                <w:rFonts w:ascii="Cambria Math" w:hAnsi="Cambria Math" w:cs="Calibri"/>
                <w:sz w:val="22"/>
                <w:szCs w:val="22"/>
              </w:rPr>
              <m:t>i&lt;j</m:t>
            </m:r>
            <m:ctrlPr>
              <w:rPr>
                <w:rFonts w:ascii="Cambria Math" w:hAnsi="Cambria Math" w:cs="Calibri"/>
                <w:i/>
                <w:sz w:val="22"/>
                <w:szCs w:val="22"/>
              </w:rPr>
            </m:ctrlPr>
          </m:sub>
          <m:sup>
            <m:ctrlPr>
              <w:rPr>
                <w:rFonts w:ascii="Cambria Math" w:hAnsi="Cambria Math" w:cs="Calibri"/>
                <w:i/>
                <w:sz w:val="22"/>
                <w:szCs w:val="22"/>
              </w:rPr>
            </m:ctrlPr>
          </m:sup>
          <m:e>
            <m:sSub>
              <m:sSubPr>
                <m:ctrlPr>
                  <w:rPr>
                    <w:rFonts w:ascii="Cambria Math" w:hAnsi="Cambria Math" w:cs="Calibri"/>
                    <w:i/>
                    <w:sz w:val="22"/>
                    <w:szCs w:val="22"/>
                  </w:rPr>
                </m:ctrlPr>
              </m:sSubPr>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e>
                </m:d>
              </m:e>
              <m:sub>
                <m:r>
                  <w:rPr>
                    <w:rFonts w:ascii="Cambria Math" w:hAnsi="Cambria Math" w:cs="Calibri"/>
                    <w:sz w:val="22"/>
                    <w:szCs w:val="22"/>
                  </w:rPr>
                  <m:t>ij</m:t>
                </m:r>
              </m:sub>
            </m:sSub>
            <m:ctrlPr>
              <w:rPr>
                <w:rFonts w:ascii="Cambria Math" w:hAnsi="Cambria Math" w:cs="Calibri"/>
                <w:i/>
                <w:sz w:val="22"/>
                <w:szCs w:val="22"/>
              </w:rPr>
            </m:ctrlPr>
          </m:e>
        </m:nary>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There are </w:t>
      </w:r>
      <m:oMath>
        <m:r>
          <w:rPr>
            <w:rFonts w:ascii="Cambria Math" w:hAnsi="Cambria Math" w:cs="Calibri"/>
            <w:sz w:val="22"/>
            <w:szCs w:val="22"/>
          </w:rPr>
          <m:t>s</m:t>
        </m:r>
        <m:d>
          <m:dPr>
            <m:ctrlPr>
              <w:rPr>
                <w:rFonts w:ascii="Cambria Math" w:hAnsi="Cambria Math" w:cs="Calibri"/>
                <w:i/>
                <w:sz w:val="22"/>
                <w:szCs w:val="22"/>
              </w:rPr>
            </m:ctrlPr>
          </m:dPr>
          <m:e>
            <m:r>
              <w:rPr>
                <w:rFonts w:ascii="Cambria Math" w:hAnsi="Cambria Math" w:cs="Calibri"/>
                <w:sz w:val="22"/>
                <w:szCs w:val="22"/>
              </w:rPr>
              <m:t>s-1</m:t>
            </m:r>
          </m:e>
        </m:d>
        <m:r>
          <m:rPr>
            <m:lit/>
          </m:rPr>
          <w:rPr>
            <w:rFonts w:ascii="Cambria Math" w:hAnsi="Cambria Math" w:cs="Calibri"/>
            <w:sz w:val="22"/>
            <w:szCs w:val="22"/>
          </w:rPr>
          <m:t>/</m:t>
        </m:r>
        <m:r>
          <m:rPr>
            <m:sty m:val="p"/>
          </m:rPr>
          <w:rPr>
            <w:rFonts w:ascii="Cambria Math" w:hAnsi="Cambria Math" w:cs="Calibri"/>
            <w:sz w:val="22"/>
            <w:szCs w:val="22"/>
          </w:rPr>
          <m:t>2</m:t>
        </m:r>
      </m:oMath>
      <w:r>
        <w:rPr>
          <w:rFonts w:ascii="Calibri" w:hAnsi="Calibri" w:cs="Calibri"/>
          <w:sz w:val="22"/>
          <w:szCs w:val="22"/>
        </w:rPr>
        <w:t xml:space="preserve"> unique species pairs in a subset of size </w:t>
      </w:r>
      <w:r>
        <w:rPr>
          <w:rFonts w:ascii="Calibri" w:hAnsi="Calibri" w:cs="Calibri"/>
          <w:i/>
          <w:iCs/>
          <w:sz w:val="22"/>
          <w:szCs w:val="22"/>
        </w:rPr>
        <w:t>s</w:t>
      </w:r>
      <w:r>
        <w:rPr>
          <w:rFonts w:ascii="Calibri" w:hAnsi="Calibri" w:cs="Calibri"/>
          <w:sz w:val="22"/>
          <w:szCs w:val="22"/>
        </w:rPr>
        <w:t xml:space="preserve">. MeanOffCor is therefore the arithmetic mean of all unique pairwise correlations among species in the subset. It summarizes the average level of </w:t>
      </w:r>
      <w:r>
        <w:rPr>
          <w:rFonts w:ascii="Calibri" w:hAnsi="Calibri" w:cs="Calibri"/>
          <w:sz w:val="22"/>
          <w:szCs w:val="22"/>
        </w:rPr>
        <w:lastRenderedPageBreak/>
        <w:t>model-implied dependence within the subset. Lower MeanOffCor indicates weaker average tree-induced dependence.</w:t>
      </w:r>
    </w:p>
    <w:p>
      <w:pPr>
        <w:pStyle w:val="BodyText"/>
        <w:keepNext/>
        <w:spacing w:line="264" w:lineRule="auto"/>
        <w:rPr>
          <w:rFonts w:ascii="Calibri" w:hAnsi="Calibri" w:cs="Calibri"/>
          <w:sz w:val="22"/>
          <w:szCs w:val="22"/>
        </w:rPr>
      </w:pPr>
      <w:r>
        <w:rPr>
          <w:rFonts w:ascii="Calibri" w:hAnsi="Calibri" w:cs="Calibri"/>
          <w:sz w:val="22"/>
          <w:szCs w:val="22"/>
        </w:rPr>
        <w:t>The second diagnostic is the maximum off-diagonal correlation,</w:t>
      </w:r>
    </w:p>
    <w:p>
      <w:pPr>
        <w:jc w:val="center"/>
        <w:rPr>
          <w:rFonts w:ascii="Calibri" w:hAnsi="Calibri"/>
        </w:rPr>
      </w:pPr>
      <m:oMath>
        <m:r>
          <m:rPr>
            <m:nor/>
          </m:rPr>
          <w:rPr>
            <w:rFonts w:ascii="Calibri" w:hAnsi="Calibri"/>
          </w:rPr>
          <m:t>MaxOffCor</m:t>
        </m:r>
        <m:r>
          <m:rPr>
            <m:sty m:val="b"/>
          </m:rPr>
          <w:rPr>
            <w:rFonts w:ascii="Cambria Math" w:hAnsi="Cambria Math"/>
          </w:rPr>
          <m:t>=</m:t>
        </m:r>
        <m:sSub>
          <m:sSubPr>
            <m:ctrlPr>
              <w:rPr>
                <w:rFonts w:ascii="Cambria Math" w:hAnsi="Cambria Math"/>
              </w:rPr>
            </m:ctrlPr>
          </m:sSubPr>
          <m:e>
            <m:func>
              <m:funcPr>
                <m:ctrlPr>
                  <w:rPr>
                    <w:rFonts w:ascii="Cambria Math" w:hAnsi="Cambria Math"/>
                  </w:rPr>
                </m:ctrlPr>
              </m:funcPr>
              <m:fName>
                <m:limLow>
                  <m:limLowPr>
                    <m:ctrlPr>
                      <w:rPr>
                        <w:rFonts w:ascii="Cambria Math" w:hAnsi="Cambria Math"/>
                      </w:rPr>
                    </m:ctrlPr>
                  </m:limLowPr>
                  <m:e>
                    <m:r>
                      <m:rPr>
                        <m:sty m:val="b"/>
                      </m:rPr>
                      <w:rPr>
                        <w:rFonts w:ascii="Cambria Math" w:hAnsi="Cambria Math"/>
                      </w:rPr>
                      <m:t>max</m:t>
                    </m:r>
                  </m:e>
                  <m:lim>
                    <m:r>
                      <m:rPr>
                        <m:sty m:val="bi"/>
                      </m:rPr>
                      <w:rPr>
                        <w:rFonts w:ascii="Cambria Math" w:hAnsi="Cambria Math"/>
                      </w:rPr>
                      <m:t>i</m:t>
                    </m:r>
                    <m:r>
                      <m:rPr>
                        <m:sty m:val="b"/>
                      </m:rPr>
                      <w:rPr>
                        <w:rFonts w:ascii="Cambria Math" w:hAnsi="Cambria Math"/>
                      </w:rPr>
                      <m:t>&lt;</m:t>
                    </m:r>
                    <m:r>
                      <m:rPr>
                        <m:sty m:val="bi"/>
                      </m:rPr>
                      <w:rPr>
                        <w:rFonts w:ascii="Cambria Math" w:hAnsi="Cambria Math"/>
                      </w:rPr>
                      <m:t>j</m:t>
                    </m:r>
                  </m:lim>
                </m:limLow>
              </m:fName>
              <m:e>
                <m:d>
                  <m:dPr>
                    <m:ctrlPr>
                      <w:rPr>
                        <w:rFonts w:ascii="Cambria Math" w:hAnsi="Cambria Math"/>
                      </w:rPr>
                    </m:ctrlPr>
                  </m:d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S</m:t>
                        </m:r>
                      </m:sub>
                    </m:sSub>
                  </m:e>
                </m:d>
              </m:e>
            </m:func>
          </m:e>
          <m:sub>
            <m:r>
              <m:rPr>
                <m:sty m:val="bi"/>
              </m:rPr>
              <w:rPr>
                <w:rFonts w:ascii="Cambria Math" w:hAnsi="Cambria Math"/>
              </w:rPr>
              <m:t>ij</m:t>
            </m:r>
          </m:sub>
        </m:sSub>
      </m:oMath>
      <w:r>
        <w:rPr>
          <w:rFonts w:ascii="Calibri" w:hAnsi="Calibri"/>
        </w:rPr>
        <w:t>.</w:t>
      </w:r>
    </w:p>
    <w:p>
      <w:pPr>
        <w:pStyle w:val="BodyText"/>
        <w:spacing w:line="264" w:lineRule="auto"/>
        <w:rPr>
          <w:rFonts w:ascii="Calibri" w:hAnsi="Calibri" w:cs="Calibri"/>
          <w:sz w:val="22"/>
          <w:szCs w:val="22"/>
        </w:rPr>
      </w:pPr>
      <w:r>
        <w:rPr>
          <w:rFonts w:ascii="Calibri" w:hAnsi="Calibri" w:cs="Calibri"/>
          <w:sz w:val="22"/>
          <w:szCs w:val="22"/>
        </w:rPr>
        <w:t>MaxOffCor captures the strongest remaining pairwise dependence in the subset. This is useful because a subset may have low average dependence while still containing one pair of closely related species. MeanOffCor and MaxOffCor therefore describe complementary aspects of within-subset dependence: the first summarizes average pairwise dependence, whereas the second captures the strongest local redundancy.</w:t>
      </w:r>
    </w:p>
    <w:p>
      <w:pPr>
        <w:pStyle w:val="BodyText"/>
        <w:spacing w:line="264" w:lineRule="auto"/>
        <w:rPr>
          <w:rFonts w:ascii="Calibri" w:hAnsi="Calibri" w:cs="Calibri"/>
          <w:sz w:val="22"/>
          <w:szCs w:val="22"/>
        </w:rPr>
      </w:pPr>
      <w:r>
        <w:rPr>
          <w:rFonts w:ascii="Calibri" w:hAnsi="Calibri" w:cs="Calibri"/>
          <w:sz w:val="22"/>
          <w:szCs w:val="22"/>
        </w:rPr>
        <w:t>For phylogenetically dispersed subsets, lower MeanOffCor and lower MaxOffCor indicate that the selected species are less dependent under the assumed covariance model. For phylogenetically clustered subsets, higher MeanOffCor and higher MaxOffCor indicate stronger within-subset dependence.</w:t>
      </w:r>
    </w:p>
    <w:p>
      <w:pPr>
        <w:pStyle w:val="Heading2"/>
        <w:spacing w:before="120" w:line="264" w:lineRule="auto"/>
        <w:rPr>
          <w:rFonts w:ascii="Calibri" w:hAnsi="Calibri" w:cs="Calibri"/>
        </w:rPr>
      </w:pPr>
      <w:bookmarkStart w:id="18" w:name="_Toc232605849"/>
      <w:r>
        <w:rPr>
          <w:rFonts w:ascii="Calibri" w:hAnsi="Calibri" w:cs="Calibri"/>
        </w:rPr>
        <w:t>A1.3. What question is MIESS trying to answer?</w:t>
      </w:r>
      <w:bookmarkEnd w:id="18"/>
    </w:p>
    <w:p>
      <w:pPr>
        <w:pStyle w:val="BodyText"/>
        <w:spacing w:line="264" w:lineRule="auto"/>
        <w:rPr>
          <w:rFonts w:ascii="Calibri" w:hAnsi="Calibri" w:cs="Calibri"/>
          <w:sz w:val="22"/>
          <w:szCs w:val="22"/>
        </w:rPr>
      </w:pPr>
      <w:r>
        <w:rPr>
          <w:rFonts w:ascii="Calibri" w:hAnsi="Calibri" w:cs="Calibri"/>
          <w:sz w:val="22"/>
          <w:szCs w:val="22"/>
        </w:rPr>
        <w:t xml:space="preserve">At first glance, one might say that a selected subset containing </w:t>
      </w:r>
      <w:r>
        <w:rPr>
          <w:rFonts w:ascii="Calibri" w:hAnsi="Calibri" w:cs="Calibri"/>
          <w:i/>
          <w:iCs/>
          <w:sz w:val="22"/>
          <w:szCs w:val="22"/>
        </w:rPr>
        <w:t>s</w:t>
      </w:r>
      <w:r>
        <w:rPr>
          <w:rFonts w:ascii="Calibri" w:hAnsi="Calibri" w:cs="Calibri"/>
          <w:sz w:val="22"/>
          <w:szCs w:val="22"/>
        </w:rPr>
        <w:t xml:space="preserve"> species has sample size </w:t>
      </w:r>
      <w:r>
        <w:rPr>
          <w:rFonts w:ascii="Calibri" w:hAnsi="Calibri" w:cs="Calibri"/>
          <w:i/>
          <w:iCs/>
          <w:sz w:val="22"/>
          <w:szCs w:val="22"/>
        </w:rPr>
        <w:t>s</w:t>
      </w:r>
      <w:r>
        <w:rPr>
          <w:rFonts w:ascii="Calibri" w:hAnsi="Calibri" w:cs="Calibri"/>
          <w:sz w:val="22"/>
          <w:szCs w:val="22"/>
        </w:rPr>
        <w:t xml:space="preserve">, because there are </w:t>
      </w:r>
      <w:r>
        <w:rPr>
          <w:rFonts w:ascii="Calibri" w:hAnsi="Calibri" w:cs="Calibri"/>
          <w:i/>
          <w:iCs/>
          <w:sz w:val="22"/>
          <w:szCs w:val="22"/>
        </w:rPr>
        <w:t>s</w:t>
      </w:r>
      <w:r>
        <w:rPr>
          <w:rFonts w:ascii="Calibri" w:hAnsi="Calibri" w:cs="Calibri"/>
          <w:sz w:val="22"/>
          <w:szCs w:val="22"/>
        </w:rPr>
        <w:t xml:space="preserve"> observed species. That is true if we are only counting observation</w:t>
      </w:r>
      <w:r>
        <w:rPr>
          <w:rFonts w:ascii="Calibri" w:hAnsi="Calibri" w:cs="Calibri"/>
          <w:sz w:val="22"/>
          <w:szCs w:val="22"/>
          <w:lang w:eastAsia="zh-CN"/>
        </w:rPr>
        <w:t>s</w:t>
      </w:r>
      <w:r>
        <w:rPr>
          <w:rFonts w:ascii="Calibri" w:hAnsi="Calibri" w:cs="Calibri"/>
          <w:sz w:val="22"/>
          <w:szCs w:val="22"/>
        </w:rPr>
        <w:t>. However, it is not necessarily true if we are asking how much independent information those observations contain.</w:t>
      </w:r>
    </w:p>
    <w:p>
      <w:pPr>
        <w:pStyle w:val="BodyText"/>
        <w:spacing w:line="264" w:lineRule="auto"/>
        <w:rPr>
          <w:rFonts w:ascii="Calibri" w:hAnsi="Calibri" w:cs="Calibri"/>
          <w:sz w:val="22"/>
          <w:szCs w:val="22"/>
        </w:rPr>
      </w:pPr>
      <w:r>
        <w:rPr>
          <w:rFonts w:ascii="Calibri" w:hAnsi="Calibri" w:cs="Calibri"/>
          <w:sz w:val="22"/>
          <w:szCs w:val="22"/>
        </w:rPr>
        <w:t>The reason is that species within a phylogenetically structured subset are typically not independent. If two species are closely related, their values may contain partly overlapping information. In that case, counting both species as if they contributed two fully independent pieces of information can be misleading.</w:t>
      </w:r>
    </w:p>
    <w:p>
      <w:pPr>
        <w:pStyle w:val="BodyText"/>
        <w:spacing w:line="264" w:lineRule="auto"/>
        <w:rPr>
          <w:rFonts w:ascii="Calibri" w:hAnsi="Calibri" w:cs="Calibri"/>
          <w:sz w:val="22"/>
          <w:szCs w:val="22"/>
        </w:rPr>
      </w:pPr>
      <w:r>
        <w:rPr>
          <w:rFonts w:ascii="Calibri" w:hAnsi="Calibri" w:cs="Calibri"/>
          <w:sz w:val="22"/>
          <w:szCs w:val="22"/>
        </w:rPr>
        <w:t>The idea of an effective sample size is to answer a more refined question:</w:t>
      </w:r>
    </w:p>
    <w:p>
      <w:pPr>
        <w:pStyle w:val="BodyText"/>
        <w:spacing w:line="264" w:lineRule="auto"/>
        <w:rPr>
          <w:rFonts w:ascii="Calibri" w:hAnsi="Calibri" w:cs="Calibri"/>
          <w:sz w:val="22"/>
          <w:szCs w:val="22"/>
        </w:rPr>
      </w:pPr>
      <w:r>
        <w:rPr>
          <w:rFonts w:ascii="Calibri" w:hAnsi="Calibri" w:cs="Calibri"/>
          <w:sz w:val="22"/>
          <w:szCs w:val="22"/>
        </w:rPr>
        <w:t>If these correlated observations were replaced by independent observations, how many independent observations would provide the same amount of information for the inferential target we care about?</w:t>
      </w:r>
    </w:p>
    <w:p>
      <w:pPr>
        <w:pStyle w:val="BodyText"/>
        <w:spacing w:line="264" w:lineRule="auto"/>
        <w:rPr>
          <w:rFonts w:ascii="Calibri" w:hAnsi="Calibri" w:cs="Calibri"/>
          <w:sz w:val="22"/>
          <w:szCs w:val="22"/>
        </w:rPr>
      </w:pPr>
      <w:r>
        <w:rPr>
          <w:rFonts w:ascii="Calibri" w:hAnsi="Calibri" w:cs="Calibri"/>
          <w:sz w:val="22"/>
          <w:szCs w:val="22"/>
        </w:rPr>
        <w:t>In our case, the inferential target is an overall mean. Therefore, the quantity derived below should be interpreted as a mean-based independence-equivalent sample size (MIESS). It measures the amount of independent information available for estimating an aggregated mean under the assumed correlation structure, rather than serving as a universal effective sample size for every parameter or statistical task.</w:t>
      </w:r>
    </w:p>
    <w:p>
      <w:pPr>
        <w:pStyle w:val="BodyText"/>
        <w:spacing w:line="264" w:lineRule="auto"/>
        <w:rPr>
          <w:rFonts w:ascii="Calibri" w:hAnsi="Calibri" w:cs="Calibri"/>
          <w:sz w:val="22"/>
          <w:szCs w:val="22"/>
        </w:rPr>
      </w:pPr>
      <w:r>
        <w:rPr>
          <w:rFonts w:ascii="Calibri" w:hAnsi="Calibri" w:cs="Calibri"/>
          <w:sz w:val="22"/>
          <w:szCs w:val="22"/>
        </w:rPr>
        <w:t>We use the abbreviation MIESS for this quantity:</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MIESS=</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pPr>
        <w:pStyle w:val="BodyText"/>
        <w:spacing w:line="264" w:lineRule="auto"/>
        <w:rPr>
          <w:rFonts w:ascii="Calibri" w:hAnsi="Calibri" w:cs="Calibri"/>
          <w:sz w:val="22"/>
          <w:szCs w:val="22"/>
        </w:rPr>
      </w:pPr>
      <w:r>
        <w:rPr>
          <w:rFonts w:ascii="Calibri" w:hAnsi="Calibri" w:cs="Calibri"/>
          <w:sz w:val="22"/>
          <w:szCs w:val="22"/>
        </w:rPr>
        <w:t xml:space="preserve">Here,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 the correlation matrix of the selected subset, and </w:t>
      </w:r>
      <m:oMath>
        <m:r>
          <w:rPr>
            <w:rFonts w:ascii="Cambria Math" w:hAnsi="Cambria Math" w:cs="Calibri"/>
            <w:sz w:val="22"/>
            <w:szCs w:val="22"/>
          </w:rPr>
          <m:t>1</m:t>
        </m:r>
      </m:oMath>
      <w:r>
        <w:rPr>
          <w:rFonts w:ascii="Calibri" w:hAnsi="Calibri" w:cs="Calibri"/>
          <w:sz w:val="22"/>
          <w:szCs w:val="22"/>
        </w:rPr>
        <w:t xml:space="preserve"> is a column vector of ones of length </w:t>
      </w:r>
      <w:r>
        <w:rPr>
          <w:rFonts w:ascii="Calibri" w:hAnsi="Calibri" w:cs="Calibri"/>
          <w:i/>
          <w:iCs/>
          <w:sz w:val="22"/>
          <w:szCs w:val="22"/>
        </w:rPr>
        <w:t>s</w:t>
      </w:r>
      <w:r>
        <w:rPr>
          <w:rFonts w:ascii="Calibri" w:hAnsi="Calibri" w:cs="Calibri"/>
          <w:sz w:val="22"/>
          <w:szCs w:val="22"/>
        </w:rPr>
        <w:t>.</w:t>
      </w:r>
    </w:p>
    <w:p>
      <w:pPr>
        <w:pStyle w:val="Heading2"/>
        <w:spacing w:before="120" w:line="264" w:lineRule="auto"/>
        <w:rPr>
          <w:rFonts w:ascii="Calibri" w:hAnsi="Calibri" w:cs="Calibri"/>
        </w:rPr>
      </w:pPr>
      <w:bookmarkStart w:id="19" w:name="_Toc232605850"/>
      <w:r>
        <w:rPr>
          <w:rFonts w:ascii="Calibri" w:hAnsi="Calibri" w:cs="Calibri"/>
        </w:rPr>
        <w:t>A1.4. The reference model for interpreting MIESS</w:t>
      </w:r>
      <w:bookmarkEnd w:id="19"/>
    </w:p>
    <w:p>
      <w:pPr>
        <w:pStyle w:val="BodyText"/>
        <w:spacing w:line="264" w:lineRule="auto"/>
        <w:rPr>
          <w:rFonts w:ascii="Calibri" w:hAnsi="Calibri" w:cs="Calibri"/>
          <w:sz w:val="22"/>
          <w:szCs w:val="22"/>
        </w:rPr>
      </w:pPr>
      <w:r>
        <w:rPr>
          <w:rFonts w:ascii="Calibri" w:hAnsi="Calibri" w:cs="Calibri"/>
          <w:sz w:val="22"/>
          <w:szCs w:val="22"/>
        </w:rPr>
        <w:t>To make the interpretation concrete, suppose that a hypothetical trait is measured on the selected species and that the resulting values are collected in the vector</w:t>
      </w:r>
    </w:p>
    <w:p>
      <w:pPr>
        <w:pStyle w:val="BodyText"/>
        <w:spacing w:line="264" w:lineRule="auto"/>
        <w:jc w:val="center"/>
        <w:rPr>
          <w:rFonts w:ascii="Calibri" w:hAnsi="Calibri" w:cs="Calibri"/>
          <w:sz w:val="22"/>
          <w:szCs w:val="22"/>
        </w:rPr>
      </w:pPr>
      <m:oMath>
        <m:r>
          <w:rPr>
            <w:rFonts w:ascii="Cambria Math" w:hAnsi="Cambria Math" w:cs="Calibri"/>
            <w:sz w:val="22"/>
            <w:szCs w:val="22"/>
          </w:rPr>
          <m:t>y=</m:t>
        </m:r>
        <m:sSup>
          <m:sSupPr>
            <m:ctrlPr>
              <w:rPr>
                <w:rFonts w:ascii="Cambria Math" w:hAnsi="Cambria Math" w:cs="Calibri"/>
                <w:i/>
                <w:sz w:val="22"/>
                <w:szCs w:val="22"/>
              </w:rPr>
            </m:ctrlPr>
          </m:sSupPr>
          <m:e>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1</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2</m:t>
                    </m:r>
                  </m:sub>
                </m:sSub>
                <m:r>
                  <w:rPr>
                    <w:rFonts w:ascii="Cambria Math" w:hAnsi="Cambria Math" w:cs="Calibri"/>
                    <w:sz w:val="22"/>
                    <w:szCs w:val="22"/>
                  </w:rPr>
                  <m:t>,</m:t>
                </m:r>
                <m:r>
                  <m:rPr>
                    <m:sty m:val="p"/>
                  </m:rPr>
                  <w:rPr>
                    <w:rFonts w:ascii="Cambria Math" w:hAnsi="Cambria Math" w:cs="Calibri"/>
                    <w:sz w:val="22"/>
                    <w:szCs w:val="22"/>
                  </w:rPr>
                  <m:t>…</m:t>
                </m:r>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y</m:t>
                    </m:r>
                  </m:e>
                  <m:sub>
                    <m:r>
                      <w:rPr>
                        <w:rFonts w:ascii="Cambria Math" w:hAnsi="Cambria Math" w:cs="Calibri"/>
                        <w:sz w:val="22"/>
                        <w:szCs w:val="22"/>
                      </w:rPr>
                      <m:t>s</m:t>
                    </m:r>
                  </m:sub>
                </m:sSub>
              </m:e>
            </m:d>
          </m:e>
          <m:sup>
            <m:r>
              <w:rPr>
                <w:rFonts w:ascii="Cambria Math" w:hAnsi="Cambria Math" w:cs="Calibri"/>
                <w:sz w:val="22"/>
                <w:szCs w:val="22"/>
              </w:rPr>
              <m:t>T</m:t>
            </m:r>
          </m:sup>
        </m:sSup>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This trait vector is introduced only to define an inferential target through which the information content of the subset can be interpreted. The calculation of MIESS itself does not require observed trait values at the terminal nodes; it depends only on the assumed within-subset correlation matrix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w:t>
      </w:r>
    </w:p>
    <w:p>
      <w:pPr>
        <w:pStyle w:val="BodyText"/>
        <w:keepNext/>
        <w:spacing w:line="264" w:lineRule="auto"/>
        <w:rPr>
          <w:rFonts w:ascii="Calibri" w:hAnsi="Calibri" w:cs="Calibri"/>
          <w:sz w:val="22"/>
          <w:szCs w:val="22"/>
        </w:rPr>
      </w:pPr>
      <w:r>
        <w:rPr>
          <w:rFonts w:ascii="Calibri" w:hAnsi="Calibri" w:cs="Calibri"/>
          <w:sz w:val="22"/>
          <w:szCs w:val="22"/>
        </w:rPr>
        <w:lastRenderedPageBreak/>
        <w:t>We consider the simplest possible model for an overall mean:</w:t>
      </w:r>
    </w:p>
    <w:p>
      <w:pPr>
        <w:pStyle w:val="BodyText"/>
        <w:spacing w:line="264" w:lineRule="auto"/>
        <w:jc w:val="center"/>
        <w:rPr>
          <w:rFonts w:ascii="Calibri" w:hAnsi="Calibri" w:cs="Calibri"/>
          <w:sz w:val="22"/>
          <w:szCs w:val="22"/>
        </w:rPr>
      </w:pPr>
      <m:oMath>
        <m:r>
          <w:rPr>
            <w:rFonts w:ascii="Cambria Math" w:hAnsi="Cambria Math" w:cs="Calibri"/>
            <w:sz w:val="22"/>
            <w:szCs w:val="22"/>
          </w:rPr>
          <m:t>y=</m:t>
        </m:r>
        <m:r>
          <m:rPr>
            <m:sty m:val="p"/>
          </m:rPr>
          <w:rPr>
            <w:rFonts w:ascii="Cambria Math" w:hAnsi="Cambria Math" w:cs="Calibri"/>
            <w:sz w:val="22"/>
            <w:szCs w:val="22"/>
          </w:rPr>
          <m:t>μ</m:t>
        </m:r>
        <m:r>
          <w:rPr>
            <w:rFonts w:ascii="Cambria Math" w:hAnsi="Cambria Math" w:cs="Calibri"/>
            <w:sz w:val="22"/>
            <w:szCs w:val="22"/>
          </w:rPr>
          <m:t>1+</m:t>
        </m:r>
        <m:r>
          <m:rPr>
            <m:sty m:val="p"/>
          </m:rPr>
          <w:rPr>
            <w:rFonts w:ascii="Cambria Math" w:hAnsi="Cambria Math" w:cs="Calibri"/>
            <w:sz w:val="22"/>
            <w:szCs w:val="22"/>
          </w:rPr>
          <m:t>ε</m:t>
        </m:r>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where</w:t>
      </w:r>
    </w:p>
    <w:p>
      <w:pPr>
        <w:pStyle w:val="BodyText"/>
        <w:spacing w:line="264" w:lineRule="auto"/>
        <w:rPr>
          <w:rFonts w:ascii="Calibri" w:hAnsi="Calibri" w:cs="Calibri"/>
          <w:sz w:val="22"/>
          <w:szCs w:val="22"/>
        </w:rPr>
      </w:pPr>
      <m:oMathPara>
        <m:oMath>
          <m:r>
            <w:rPr>
              <w:rFonts w:ascii="Cambria Math" w:hAnsi="Cambria Math" w:cs="Calibri"/>
              <w:sz w:val="22"/>
              <w:szCs w:val="22"/>
            </w:rPr>
            <m:t>1=</m:t>
          </m:r>
          <m:sSup>
            <m:sSupPr>
              <m:ctrlPr>
                <w:rPr>
                  <w:rFonts w:ascii="Cambria Math" w:hAnsi="Cambria Math" w:cs="Calibri"/>
                  <w:i/>
                  <w:sz w:val="22"/>
                  <w:szCs w:val="22"/>
                </w:rPr>
              </m:ctrlPr>
            </m:sSupPr>
            <m:e>
              <m:d>
                <m:dPr>
                  <m:ctrlPr>
                    <w:rPr>
                      <w:rFonts w:ascii="Cambria Math" w:hAnsi="Cambria Math" w:cs="Calibri"/>
                      <w:i/>
                      <w:sz w:val="22"/>
                      <w:szCs w:val="22"/>
                    </w:rPr>
                  </m:ctrlPr>
                </m:dPr>
                <m:e>
                  <m:r>
                    <w:rPr>
                      <w:rFonts w:ascii="Cambria Math" w:hAnsi="Cambria Math" w:cs="Calibri"/>
                      <w:sz w:val="22"/>
                      <w:szCs w:val="22"/>
                    </w:rPr>
                    <m:t>1,1,</m:t>
                  </m:r>
                  <m:r>
                    <m:rPr>
                      <m:sty m:val="p"/>
                    </m:rPr>
                    <w:rPr>
                      <w:rFonts w:ascii="Cambria Math" w:hAnsi="Cambria Math" w:cs="Calibri"/>
                      <w:sz w:val="22"/>
                      <w:szCs w:val="22"/>
                    </w:rPr>
                    <m:t>…</m:t>
                  </m:r>
                  <m:r>
                    <w:rPr>
                      <w:rFonts w:ascii="Cambria Math" w:hAnsi="Cambria Math" w:cs="Calibri"/>
                      <w:sz w:val="22"/>
                      <w:szCs w:val="22"/>
                    </w:rPr>
                    <m:t>,1</m:t>
                  </m:r>
                </m:e>
              </m:d>
            </m:e>
            <m:sup>
              <m:r>
                <w:rPr>
                  <w:rFonts w:ascii="Cambria Math" w:hAnsi="Cambria Math" w:cs="Calibri"/>
                  <w:sz w:val="22"/>
                  <w:szCs w:val="22"/>
                </w:rPr>
                <m:t>T</m:t>
              </m:r>
            </m:sup>
          </m:sSup>
        </m:oMath>
      </m:oMathPara>
    </w:p>
    <w:p>
      <w:pPr>
        <w:pStyle w:val="BodyText"/>
        <w:spacing w:line="264" w:lineRule="auto"/>
        <w:rPr>
          <w:rFonts w:ascii="Calibri" w:hAnsi="Calibri" w:cs="Calibri"/>
          <w:sz w:val="22"/>
          <w:szCs w:val="22"/>
        </w:rPr>
      </w:pPr>
      <w:r>
        <w:rPr>
          <w:rFonts w:ascii="Calibri" w:hAnsi="Calibri" w:cs="Calibri"/>
          <w:sz w:val="22"/>
          <w:szCs w:val="22"/>
        </w:rPr>
        <w:t xml:space="preserve">is a column vector of ones of length </w:t>
      </w:r>
      <w:r>
        <w:rPr>
          <w:rFonts w:ascii="Calibri" w:hAnsi="Calibri" w:cs="Calibri"/>
          <w:i/>
          <w:iCs/>
          <w:sz w:val="22"/>
          <w:szCs w:val="22"/>
        </w:rPr>
        <w:t>s</w:t>
      </w:r>
      <w:r>
        <w:rPr>
          <w:rFonts w:ascii="Calibri" w:hAnsi="Calibri" w:cs="Calibri"/>
          <w:sz w:val="22"/>
          <w:szCs w:val="22"/>
        </w:rPr>
        <w:t xml:space="preserve">, </w:t>
      </w:r>
      <m:oMath>
        <m:r>
          <m:rPr>
            <m:sty m:val="p"/>
          </m:rPr>
          <w:rPr>
            <w:rFonts w:ascii="Cambria Math" w:hAnsi="Cambria Math" w:cs="Calibri"/>
            <w:sz w:val="22"/>
            <w:szCs w:val="22"/>
          </w:rPr>
          <m:t>μ</m:t>
        </m:r>
      </m:oMath>
      <w:r>
        <w:rPr>
          <w:rFonts w:ascii="Calibri" w:hAnsi="Calibri" w:cs="Calibri"/>
          <w:sz w:val="22"/>
          <w:szCs w:val="22"/>
        </w:rPr>
        <w:t xml:space="preserve"> is the overall mean, and </w:t>
      </w:r>
      <m:oMath>
        <m:r>
          <m:rPr>
            <m:sty m:val="p"/>
          </m:rPr>
          <w:rPr>
            <w:rFonts w:ascii="Cambria Math" w:hAnsi="Cambria Math" w:cs="Calibri"/>
            <w:sz w:val="22"/>
            <w:szCs w:val="22"/>
          </w:rPr>
          <m:t>ε</m:t>
        </m:r>
      </m:oMath>
      <w:r>
        <w:rPr>
          <w:rFonts w:ascii="Calibri" w:hAnsi="Calibri" w:cs="Calibri"/>
          <w:sz w:val="22"/>
          <w:szCs w:val="22"/>
        </w:rPr>
        <w:t xml:space="preserve"> is the error vector.</w:t>
      </w:r>
    </w:p>
    <w:p>
      <w:pPr>
        <w:pStyle w:val="BodyText"/>
        <w:spacing w:line="264" w:lineRule="auto"/>
        <w:rPr>
          <w:rFonts w:ascii="Calibri" w:hAnsi="Calibri" w:cs="Calibri"/>
          <w:sz w:val="22"/>
          <w:szCs w:val="22"/>
        </w:rPr>
      </w:pPr>
      <w:r>
        <w:rPr>
          <w:rFonts w:ascii="Calibri" w:hAnsi="Calibri" w:cs="Calibri"/>
          <w:sz w:val="22"/>
          <w:szCs w:val="22"/>
        </w:rPr>
        <w:t>We assume that the error vector has covariance structure</w:t>
      </w:r>
    </w:p>
    <w:p>
      <w:pPr>
        <w:pStyle w:val="BodyText"/>
        <w:spacing w:line="264" w:lineRule="auto"/>
        <w:jc w:val="center"/>
        <w:rPr>
          <w:rFonts w:ascii="Calibri" w:hAnsi="Calibri" w:cs="Calibri"/>
          <w:sz w:val="22"/>
          <w:szCs w:val="22"/>
        </w:rPr>
      </w:pPr>
      <m:oMath>
        <m:r>
          <m:rPr>
            <m:nor/>
          </m:rPr>
          <w:rPr>
            <w:rFonts w:ascii="Calibri" w:hAnsi="Calibri" w:cs="Calibri"/>
            <w:sz w:val="22"/>
            <w:szCs w:val="22"/>
          </w:rPr>
          <m:t>Var</m:t>
        </m:r>
        <m:d>
          <m:dPr>
            <m:ctrlPr>
              <w:rPr>
                <w:rFonts w:ascii="Cambria Math" w:hAnsi="Cambria Math" w:cs="Calibri"/>
                <w:i/>
                <w:sz w:val="22"/>
                <w:szCs w:val="22"/>
              </w:rPr>
            </m:ctrlPr>
          </m:dPr>
          <m:e>
            <m:r>
              <m:rPr>
                <m:sty m:val="p"/>
              </m:rPr>
              <w:rPr>
                <w:rFonts w:ascii="Cambria Math" w:hAnsi="Cambria Math" w:cs="Calibri"/>
                <w:sz w:val="22"/>
                <w:szCs w:val="22"/>
              </w:rPr>
              <m:t>ε</m:t>
            </m:r>
          </m:e>
        </m:d>
        <m:r>
          <w:rPr>
            <w:rFonts w:ascii="Cambria Math" w:hAnsi="Cambria Math" w:cs="Calibri"/>
            <w:sz w:val="22"/>
            <w:szCs w:val="22"/>
          </w:rPr>
          <m:t>=</m:t>
        </m:r>
        <m:sSup>
          <m:sSupPr>
            <m:ctrlPr>
              <w:rPr>
                <w:rFonts w:ascii="Cambria Math" w:hAnsi="Cambria Math" w:cs="Calibri"/>
                <w:i/>
                <w:sz w:val="22"/>
                <w:szCs w:val="22"/>
              </w:rPr>
            </m:ctrlPr>
          </m:sSupPr>
          <m:e>
            <m:r>
              <m:rPr>
                <m:sty m:val="p"/>
              </m:rP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This expression is worth unpacking carefully. First, </w:t>
      </w:r>
      <m:oMath>
        <m:r>
          <m:rPr>
            <m:sty m:val="p"/>
          </m:rPr>
          <w:rPr>
            <w:rFonts w:ascii="Cambria Math" w:hAnsi="Cambria Math" w:cs="Calibri"/>
            <w:sz w:val="22"/>
            <w:szCs w:val="22"/>
          </w:rPr>
          <m:t>ε</m:t>
        </m:r>
      </m:oMath>
      <w:r>
        <w:rPr>
          <w:rFonts w:ascii="Calibri" w:hAnsi="Calibri" w:cs="Calibri"/>
          <w:sz w:val="22"/>
          <w:szCs w:val="22"/>
        </w:rPr>
        <w:t xml:space="preserve"> is a vector, not a single random variable. Therefore, </w:t>
      </w:r>
      <m:oMath>
        <m:r>
          <m:rPr>
            <m:nor/>
          </m:rPr>
          <w:rPr>
            <w:rFonts w:ascii="Calibri" w:hAnsi="Calibri" w:cs="Calibri"/>
            <w:sz w:val="22"/>
            <w:szCs w:val="22"/>
          </w:rPr>
          <m:t>Var</m:t>
        </m:r>
        <m:d>
          <m:dPr>
            <m:ctrlPr>
              <w:rPr>
                <w:rFonts w:ascii="Cambria Math" w:hAnsi="Cambria Math" w:cs="Calibri"/>
                <w:i/>
                <w:sz w:val="22"/>
                <w:szCs w:val="22"/>
              </w:rPr>
            </m:ctrlPr>
          </m:dPr>
          <m:e>
            <m:r>
              <m:rPr>
                <m:sty m:val="p"/>
              </m:rPr>
              <w:rPr>
                <w:rFonts w:ascii="Cambria Math" w:hAnsi="Cambria Math" w:cs="Calibri"/>
                <w:sz w:val="22"/>
                <w:szCs w:val="22"/>
              </w:rPr>
              <m:t>ε</m:t>
            </m:r>
          </m:e>
        </m:d>
      </m:oMath>
      <w:r>
        <w:rPr>
          <w:rFonts w:ascii="Calibri" w:hAnsi="Calibri" w:cs="Calibri"/>
          <w:sz w:val="22"/>
          <w:szCs w:val="22"/>
        </w:rPr>
        <w:t xml:space="preserve"> is a covariance matrix rather than a single number. Second,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oMath>
      <w:r>
        <w:rPr>
          <w:rFonts w:ascii="Calibri" w:hAnsi="Calibri" w:cs="Calibri"/>
          <w:sz w:val="22"/>
          <w:szCs w:val="22"/>
        </w:rPr>
        <w:t xml:space="preserve"> is a variance scale parameter that controls the overall magnitude of variation. Third,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is the correlation matrix for the selected subset. Because it is a correlation matrix, its diagonal entries are 1, and its off-diagonal entries describe the correlation between different observations in the subset.</w:t>
      </w:r>
    </w:p>
    <w:p>
      <w:pPr>
        <w:pStyle w:val="BodyText"/>
        <w:spacing w:line="264" w:lineRule="auto"/>
        <w:rPr>
          <w:rFonts w:ascii="Calibri" w:hAnsi="Calibri" w:cs="Calibri"/>
          <w:sz w:val="22"/>
          <w:szCs w:val="22"/>
        </w:rPr>
      </w:pPr>
      <w:r>
        <w:rPr>
          <w:rFonts w:ascii="Calibri" w:hAnsi="Calibri" w:cs="Calibri"/>
          <w:sz w:val="22"/>
          <w:szCs w:val="22"/>
        </w:rPr>
        <w:t xml:space="preserve">Thus,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 xml:space="preserve"> means that all observations share the same marginal variance scale </w:t>
      </w:r>
      <m:oMath>
        <m:sSup>
          <m:sSupPr>
            <m:ctrlPr>
              <w:rPr>
                <w:rFonts w:ascii="Cambria Math" w:hAnsi="Cambria Math" w:cs="Calibri"/>
                <w:i/>
                <w:sz w:val="22"/>
                <w:szCs w:val="22"/>
              </w:rPr>
            </m:ctrlPr>
          </m:sSupPr>
          <m:e>
            <m:r>
              <m:rPr>
                <m:sty m:val="p"/>
              </m:rPr>
              <w:rPr>
                <w:rFonts w:ascii="Cambria Math" w:hAnsi="Cambria Math" w:cs="Calibri"/>
                <w:sz w:val="22"/>
                <w:szCs w:val="22"/>
              </w:rPr>
              <m:t>σ</m:t>
            </m:r>
            <m:ctrlPr>
              <w:rPr>
                <w:rFonts w:ascii="Cambria Math" w:hAnsi="Cambria Math" w:cs="Calibri"/>
                <w:sz w:val="22"/>
                <w:szCs w:val="22"/>
              </w:rPr>
            </m:ctrlPr>
          </m:e>
          <m:sup>
            <m:r>
              <w:rPr>
                <w:rFonts w:ascii="Cambria Math" w:hAnsi="Cambria Math" w:cs="Calibri"/>
                <w:sz w:val="22"/>
                <w:szCs w:val="22"/>
              </w:rPr>
              <m:t>2</m:t>
            </m:r>
          </m:sup>
        </m:sSup>
      </m:oMath>
      <w:r>
        <w:rPr>
          <w:rFonts w:ascii="Calibri" w:hAnsi="Calibri" w:cs="Calibri"/>
          <w:sz w:val="22"/>
          <w:szCs w:val="22"/>
        </w:rPr>
        <w:t xml:space="preserve">, while their dependence structure is described by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w:t>
      </w:r>
    </w:p>
    <w:p>
      <w:pPr>
        <w:pStyle w:val="Heading2"/>
        <w:spacing w:before="120" w:line="264" w:lineRule="auto"/>
        <w:rPr>
          <w:rFonts w:ascii="Calibri" w:hAnsi="Calibri" w:cs="Calibri"/>
        </w:rPr>
      </w:pPr>
      <w:bookmarkStart w:id="20" w:name="Xdd82110fb2c7b637894976fc68fab934398a6c5"/>
      <w:bookmarkStart w:id="21" w:name="_Toc232605851"/>
      <w:bookmarkEnd w:id="15"/>
      <w:r>
        <w:rPr>
          <w:rFonts w:ascii="Calibri" w:hAnsi="Calibri" w:cs="Calibri"/>
        </w:rPr>
        <w:t>A1.5. Why ordinary sample-size logic is insufficient</w:t>
      </w:r>
      <w:bookmarkEnd w:id="21"/>
    </w:p>
    <w:p>
      <w:pPr>
        <w:pStyle w:val="FirstParagraph"/>
        <w:spacing w:line="264" w:lineRule="auto"/>
        <w:rPr>
          <w:rFonts w:ascii="Calibri" w:hAnsi="Calibri" w:cs="Calibri"/>
          <w:sz w:val="22"/>
          <w:szCs w:val="22"/>
        </w:rPr>
      </w:pPr>
      <w:r>
        <w:rPr>
          <w:rFonts w:ascii="Calibri" w:hAnsi="Calibri" w:cs="Calibri"/>
          <w:sz w:val="22"/>
          <w:szCs w:val="22"/>
        </w:rPr>
        <w:t xml:space="preserve">If observations are independent and each has variance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Pr>
          <w:rFonts w:ascii="Calibri" w:hAnsi="Calibri" w:cs="Calibri"/>
          <w:sz w:val="22"/>
          <w:szCs w:val="22"/>
        </w:rPr>
        <w:t xml:space="preserve">, then the variance of the sample mean from </w:t>
      </w:r>
      <m:oMath>
        <m:r>
          <w:rPr>
            <w:rFonts w:ascii="Cambria Math" w:hAnsi="Cambria Math" w:cs="Calibri"/>
            <w:sz w:val="22"/>
            <w:szCs w:val="22"/>
          </w:rPr>
          <m:t>n</m:t>
        </m:r>
      </m:oMath>
      <w:r>
        <w:rPr>
          <w:rFonts w:ascii="Calibri" w:hAnsi="Calibri" w:cs="Calibri"/>
          <w:sz w:val="22"/>
          <w:szCs w:val="22"/>
        </w:rPr>
        <w:t xml:space="preserve"> observations is</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acc>
                <m:accPr>
                  <m:chr m:val="‾"/>
                  <m:ctrlPr>
                    <w:rPr>
                      <w:rFonts w:ascii="Cambria Math" w:hAnsi="Cambria Math" w:cs="Calibri"/>
                      <w:sz w:val="22"/>
                      <w:szCs w:val="22"/>
                    </w:rPr>
                  </m:ctrlPr>
                </m:accPr>
                <m:e>
                  <m:r>
                    <w:rPr>
                      <w:rFonts w:ascii="Cambria Math" w:hAnsi="Cambria Math" w:cs="Calibri"/>
                      <w:sz w:val="22"/>
                      <w:szCs w:val="22"/>
                    </w:rPr>
                    <m:t>y</m:t>
                  </m:r>
                </m:e>
              </m:acc>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This is the standard formula many readers already know. It says that as the number of independent observations increases, the variance of the mean decreases at rate </w:t>
      </w:r>
      <m:oMath>
        <m:r>
          <w:rPr>
            <w:rFonts w:ascii="Cambria Math" w:hAnsi="Cambria Math" w:cs="Calibri"/>
            <w:sz w:val="22"/>
            <w:szCs w:val="22"/>
          </w:rPr>
          <m:t>1</m:t>
        </m:r>
        <m:r>
          <m:rPr>
            <m:lit/>
            <m:sty m:val="p"/>
          </m:rPr>
          <w:rPr>
            <w:rFonts w:ascii="Cambria Math" w:hAnsi="Cambria Math" w:cs="Calibri"/>
            <w:sz w:val="22"/>
            <w:szCs w:val="22"/>
          </w:rPr>
          <m:t>/</m:t>
        </m:r>
        <m:r>
          <w:rPr>
            <w:rFonts w:ascii="Cambria Math" w:hAnsi="Cambria Math" w:cs="Calibri"/>
            <w:sz w:val="22"/>
            <w:szCs w:val="22"/>
          </w:rPr>
          <m:t>n</m:t>
        </m:r>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However, this formula relies on independence. If the observations are correlated, then the information in the sample is partly redundant, and the variance of the mean is no longer determined by </w:t>
      </w:r>
      <m:oMath>
        <m:r>
          <w:rPr>
            <w:rFonts w:ascii="Cambria Math" w:hAnsi="Cambria Math" w:cs="Calibri"/>
            <w:sz w:val="22"/>
            <w:szCs w:val="22"/>
          </w:rPr>
          <m:t>1</m:t>
        </m:r>
        <m:r>
          <m:rPr>
            <m:lit/>
            <m:sty m:val="p"/>
          </m:rPr>
          <w:rPr>
            <w:rFonts w:ascii="Cambria Math" w:hAnsi="Cambria Math" w:cs="Calibri"/>
            <w:sz w:val="22"/>
            <w:szCs w:val="22"/>
          </w:rPr>
          <m:t>/</m:t>
        </m:r>
        <m:r>
          <w:rPr>
            <w:rFonts w:ascii="Cambria Math" w:hAnsi="Cambria Math" w:cs="Calibri"/>
            <w:sz w:val="22"/>
            <w:szCs w:val="22"/>
          </w:rPr>
          <m:t>s</m:t>
        </m:r>
      </m:oMath>
      <w:r>
        <w:rPr>
          <w:rFonts w:ascii="Calibri" w:hAnsi="Calibri" w:cs="Calibri"/>
          <w:sz w:val="22"/>
          <w:szCs w:val="22"/>
        </w:rPr>
        <w:t xml:space="preserve"> in the same way. In other words, the literal number of species and the amount of independent information are no longer the same thing. This is why an effective sample size is useful.</w:t>
      </w:r>
    </w:p>
    <w:p>
      <w:pPr>
        <w:pStyle w:val="Heading2"/>
        <w:spacing w:before="120" w:line="264" w:lineRule="auto"/>
        <w:rPr>
          <w:rFonts w:ascii="Calibri" w:hAnsi="Calibri" w:cs="Calibri"/>
        </w:rPr>
      </w:pPr>
      <w:bookmarkStart w:id="22" w:name="Xb25704aec2659d692c1ca0c3c9fcbbeed2a95a1"/>
      <w:bookmarkStart w:id="23" w:name="_Toc232605852"/>
      <w:bookmarkEnd w:id="20"/>
      <w:r>
        <w:rPr>
          <w:rFonts w:ascii="Calibri" w:hAnsi="Calibri" w:cs="Calibri"/>
        </w:rPr>
        <w:t xml:space="preserve">A1.6. Why the mean of </w:t>
      </w:r>
      <w:r>
        <w:rPr>
          <w:rFonts w:ascii="Calibri" w:hAnsi="Calibri" w:cs="Calibri"/>
          <w:i/>
          <w:iCs/>
        </w:rPr>
        <w:t>n</w:t>
      </w:r>
      <w:r>
        <w:rPr>
          <w:rFonts w:ascii="Calibri" w:hAnsi="Calibri" w:cs="Calibri"/>
        </w:rPr>
        <w:t xml:space="preserve"> independent observations has variance </w:t>
      </w:r>
      <w:r>
        <w:rPr>
          <w:rFonts w:ascii="Calibri" w:hAnsi="Calibri" w:cs="Calibri"/>
          <w:i/>
          <w:iCs/>
        </w:rPr>
        <w:t>σ</w:t>
      </w:r>
      <w:r>
        <w:rPr>
          <w:rFonts w:ascii="Calibri" w:hAnsi="Calibri" w:cs="Calibri"/>
        </w:rPr>
        <w:t>²/n</w:t>
      </w:r>
      <w:bookmarkEnd w:id="23"/>
    </w:p>
    <w:p>
      <w:pPr>
        <w:pStyle w:val="FirstParagraph"/>
        <w:spacing w:line="264" w:lineRule="auto"/>
        <w:rPr>
          <w:rFonts w:ascii="Calibri" w:hAnsi="Calibri" w:cs="Calibri"/>
          <w:sz w:val="22"/>
          <w:szCs w:val="22"/>
        </w:rPr>
      </w:pPr>
      <w:r>
        <w:rPr>
          <w:rFonts w:ascii="Calibri" w:hAnsi="Calibri" w:cs="Calibri"/>
          <w:sz w:val="22"/>
          <w:szCs w:val="22"/>
        </w:rPr>
        <w:t>Because this fact is used later, we spell it out explicitly.</w:t>
      </w:r>
    </w:p>
    <w:p>
      <w:pPr>
        <w:pStyle w:val="BodyText"/>
        <w:spacing w:line="264" w:lineRule="auto"/>
        <w:rPr>
          <w:rFonts w:ascii="Calibri" w:hAnsi="Calibri" w:cs="Calibri"/>
          <w:sz w:val="22"/>
          <w:szCs w:val="22"/>
        </w:rPr>
      </w:pPr>
      <w:r>
        <w:rPr>
          <w:rFonts w:ascii="Calibri" w:hAnsi="Calibri" w:cs="Calibri"/>
          <w:sz w:val="22"/>
          <w:szCs w:val="22"/>
        </w:rPr>
        <w:t>Suppose</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n</m:t>
              </m:r>
            </m:sub>
          </m:sSub>
        </m:oMath>
      </m:oMathPara>
    </w:p>
    <w:p>
      <w:pPr>
        <w:pStyle w:val="FirstParagraph"/>
        <w:spacing w:line="264" w:lineRule="auto"/>
        <w:rPr>
          <w:rFonts w:ascii="Calibri" w:hAnsi="Calibri" w:cs="Calibri"/>
          <w:sz w:val="22"/>
          <w:szCs w:val="22"/>
        </w:rPr>
      </w:pPr>
      <w:r>
        <w:rPr>
          <w:rFonts w:ascii="Calibri" w:hAnsi="Calibri" w:cs="Calibri"/>
          <w:sz w:val="22"/>
          <w:szCs w:val="22"/>
        </w:rPr>
        <w:t>are independent observations, each with variance</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Their sample mean is</w:t>
      </w:r>
    </w:p>
    <w:p>
      <w:pPr>
        <w:pStyle w:val="BodyText"/>
        <w:spacing w:line="264" w:lineRule="auto"/>
        <w:rPr>
          <w:rFonts w:ascii="Calibri" w:hAnsi="Calibri" w:cs="Calibri"/>
          <w:sz w:val="22"/>
          <w:szCs w:val="22"/>
        </w:rPr>
      </w:pPr>
      <m:oMathPara>
        <m:oMathParaPr>
          <m:jc m:val="center"/>
        </m:oMathParaPr>
        <m:oMath>
          <m:acc>
            <m:accPr>
              <m:chr m:val="‾"/>
              <m:ctrlPr>
                <w:rPr>
                  <w:rFonts w:ascii="Cambria Math" w:hAnsi="Cambria Math" w:cs="Calibri"/>
                  <w:sz w:val="22"/>
                  <w:szCs w:val="22"/>
                </w:rPr>
              </m:ctrlPr>
            </m:accPr>
            <m:e>
              <m:r>
                <w:rPr>
                  <w:rFonts w:ascii="Cambria Math" w:hAnsi="Cambria Math" w:cs="Calibri"/>
                  <w:sz w:val="22"/>
                  <w:szCs w:val="22"/>
                </w:rPr>
                <m:t>z</m:t>
              </m:r>
            </m:e>
          </m:acc>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n</m:t>
              </m:r>
            </m:den>
          </m:f>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r>
            <m:rPr>
              <m:sty m:val="p"/>
            </m:rPr>
            <w:rPr>
              <w:rFonts w:ascii="Cambria Math" w:hAnsi="Cambria Math" w:cs="Calibri"/>
              <w:sz w:val="22"/>
              <w:szCs w:val="22"/>
            </w:rPr>
            <m:t>.</m:t>
          </m:r>
        </m:oMath>
      </m:oMathPara>
    </w:p>
    <w:p>
      <w:pPr>
        <w:pStyle w:val="FirstParagraph"/>
        <w:keepNext/>
        <w:spacing w:line="264" w:lineRule="auto"/>
        <w:rPr>
          <w:rFonts w:ascii="Calibri" w:hAnsi="Calibri" w:cs="Calibri"/>
          <w:sz w:val="22"/>
          <w:szCs w:val="22"/>
        </w:rPr>
      </w:pPr>
      <w:r>
        <w:rPr>
          <w:rFonts w:ascii="Calibri" w:hAnsi="Calibri" w:cs="Calibri"/>
          <w:sz w:val="22"/>
          <w:szCs w:val="22"/>
        </w:rPr>
        <w:lastRenderedPageBreak/>
        <w:t xml:space="preserve">We now compute the variance of </w:t>
      </w:r>
      <m:oMath>
        <m:acc>
          <m:accPr>
            <m:chr m:val="‾"/>
            <m:ctrlPr>
              <w:rPr>
                <w:rFonts w:ascii="Cambria Math" w:hAnsi="Cambria Math" w:cs="Calibri"/>
                <w:sz w:val="22"/>
                <w:szCs w:val="22"/>
              </w:rPr>
            </m:ctrlPr>
          </m:accPr>
          <m:e>
            <m:r>
              <w:rPr>
                <w:rFonts w:ascii="Cambria Math" w:hAnsi="Cambria Math" w:cs="Calibri"/>
                <w:sz w:val="22"/>
                <w:szCs w:val="22"/>
              </w:rPr>
              <m:t>z</m:t>
            </m:r>
          </m:e>
        </m:acc>
      </m:oMath>
      <w:r>
        <w:rPr>
          <w:rFonts w:ascii="Calibri" w:hAnsi="Calibri" w:cs="Calibri"/>
          <w:sz w:val="22"/>
          <w:szCs w:val="22"/>
        </w:rPr>
        <w:t>, the sample mean, step by step:</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acc>
                <m:accPr>
                  <m:chr m:val="‾"/>
                  <m:ctrlPr>
                    <w:rPr>
                      <w:rFonts w:ascii="Cambria Math" w:hAnsi="Cambria Math" w:cs="Calibri"/>
                      <w:sz w:val="22"/>
                      <w:szCs w:val="22"/>
                    </w:rPr>
                  </m:ctrlPr>
                </m:accPr>
                <m:e>
                  <m:r>
                    <w:rPr>
                      <w:rFonts w:ascii="Cambria Math" w:hAnsi="Cambria Math" w:cs="Calibri"/>
                      <w:sz w:val="22"/>
                      <w:szCs w:val="22"/>
                    </w:rPr>
                    <m:t>z</m:t>
                  </m:r>
                </m:e>
              </m:acc>
            </m:e>
          </m:d>
          <m:r>
            <m:rPr>
              <m:sty m:val="p"/>
            </m:rPr>
            <w:rPr>
              <w:rFonts w:ascii="Cambria Math" w:hAnsi="Cambria Math" w:cs="Calibri"/>
              <w:sz w:val="22"/>
              <w:szCs w:val="22"/>
            </w:rPr>
            <m:t>=Var</m:t>
          </m:r>
          <m:d>
            <m:dPr>
              <m:ctrlPr>
                <w:rPr>
                  <w:rFonts w:ascii="Cambria Math" w:hAnsi="Cambria Math" w:cs="Calibri"/>
                  <w:sz w:val="22"/>
                  <w:szCs w:val="22"/>
                </w:rPr>
              </m:ctrlPr>
            </m:dPr>
            <m:e>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n</m:t>
                  </m:r>
                </m:den>
              </m:f>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sSup>
                <m:sSupPr>
                  <m:ctrlPr>
                    <w:rPr>
                      <w:rFonts w:ascii="Cambria Math" w:hAnsi="Cambria Math" w:cs="Calibri"/>
                      <w:sz w:val="22"/>
                      <w:szCs w:val="22"/>
                    </w:rPr>
                  </m:ctrlPr>
                </m:sSupPr>
                <m:e>
                  <m:r>
                    <w:rPr>
                      <w:rFonts w:ascii="Cambria Math" w:hAnsi="Cambria Math" w:cs="Calibri"/>
                      <w:sz w:val="22"/>
                      <w:szCs w:val="22"/>
                    </w:rPr>
                    <m:t>n</m:t>
                  </m:r>
                </m:e>
                <m:sup>
                  <m:r>
                    <w:rPr>
                      <w:rFonts w:ascii="Cambria Math" w:hAnsi="Cambria Math" w:cs="Calibri"/>
                      <w:sz w:val="22"/>
                      <w:szCs w:val="22"/>
                    </w:rPr>
                    <m:t>2</m:t>
                  </m:r>
                </m:sup>
              </m:sSup>
            </m:den>
          </m:f>
          <m:r>
            <m:rPr>
              <m:sty m:val="p"/>
            </m:rPr>
            <w:rPr>
              <w:rFonts w:ascii="Cambria Math" w:hAnsi="Cambria Math" w:cs="Calibri"/>
              <w:sz w:val="22"/>
              <w:szCs w:val="22"/>
            </w:rPr>
            <m:t>Var</m:t>
          </m:r>
          <m:d>
            <m:dPr>
              <m:ctrlPr>
                <w:rPr>
                  <w:rFonts w:ascii="Cambria Math" w:hAnsi="Cambria Math" w:cs="Calibri"/>
                  <w:sz w:val="22"/>
                  <w:szCs w:val="22"/>
                </w:rPr>
              </m:ctrlPr>
            </m:dPr>
            <m:e>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Because the </w:t>
      </w:r>
      <m:oMath>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oMath>
      <w:r>
        <w:rPr>
          <w:rFonts w:ascii="Calibri" w:hAnsi="Calibri" w:cs="Calibri"/>
          <w:sz w:val="22"/>
          <w:szCs w:val="22"/>
        </w:rPr>
        <w:t xml:space="preserve"> are independent, the variance of their sum is the sum of their variances:</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nary>
            </m:e>
          </m:d>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r>
                <m:rPr>
                  <m:sty m:val="p"/>
                </m:rPr>
                <w:rPr>
                  <w:rFonts w:ascii="Cambria Math" w:hAnsi="Cambria Math" w:cs="Calibri"/>
                  <w:sz w:val="22"/>
                  <w:szCs w:val="22"/>
                </w:rPr>
                <m:t>Var</m:t>
              </m:r>
            </m:e>
          </m:nary>
          <m:d>
            <m:dPr>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i</m:t>
                  </m:r>
                </m:sub>
              </m:sSub>
            </m:e>
          </m:d>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e>
          </m:nary>
          <m:r>
            <m:rPr>
              <m:sty m:val="p"/>
            </m:rPr>
            <w:rPr>
              <w:rFonts w:ascii="Cambria Math" w:hAnsi="Cambria Math" w:cs="Calibri"/>
              <w:sz w:val="22"/>
              <w:szCs w:val="22"/>
            </w:rPr>
            <m:t>=</m:t>
          </m:r>
          <m:r>
            <w:rPr>
              <w:rFonts w:ascii="Cambria Math" w:hAnsi="Cambria Math" w:cs="Calibri"/>
              <w:sz w:val="22"/>
              <w:szCs w:val="22"/>
            </w:rPr>
            <m:t>n</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Substituting this back gives</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acc>
                <m:accPr>
                  <m:chr m:val="‾"/>
                  <m:ctrlPr>
                    <w:rPr>
                      <w:rFonts w:ascii="Cambria Math" w:hAnsi="Cambria Math" w:cs="Calibri"/>
                      <w:sz w:val="22"/>
                      <w:szCs w:val="22"/>
                    </w:rPr>
                  </m:ctrlPr>
                </m:accPr>
                <m:e>
                  <m:r>
                    <w:rPr>
                      <w:rFonts w:ascii="Cambria Math" w:hAnsi="Cambria Math" w:cs="Calibri"/>
                      <w:sz w:val="22"/>
                      <w:szCs w:val="22"/>
                    </w:rPr>
                    <m:t>z</m:t>
                  </m:r>
                </m:e>
              </m:acc>
            </m:e>
          </m:d>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sSup>
                <m:sSupPr>
                  <m:ctrlPr>
                    <w:rPr>
                      <w:rFonts w:ascii="Cambria Math" w:hAnsi="Cambria Math" w:cs="Calibri"/>
                      <w:sz w:val="22"/>
                      <w:szCs w:val="22"/>
                    </w:rPr>
                  </m:ctrlPr>
                </m:sSupPr>
                <m:e>
                  <m:r>
                    <w:rPr>
                      <w:rFonts w:ascii="Cambria Math" w:hAnsi="Cambria Math" w:cs="Calibri"/>
                      <w:sz w:val="22"/>
                      <w:szCs w:val="22"/>
                    </w:rPr>
                    <m:t>n</m:t>
                  </m:r>
                </m:e>
                <m:sup>
                  <m:r>
                    <w:rPr>
                      <w:rFonts w:ascii="Cambria Math" w:hAnsi="Cambria Math" w:cs="Calibri"/>
                      <w:sz w:val="22"/>
                      <w:szCs w:val="22"/>
                    </w:rPr>
                    <m:t>2</m:t>
                  </m:r>
                </m:sup>
              </m:sSup>
            </m:den>
          </m:f>
          <m:r>
            <w:rPr>
              <w:rFonts w:ascii="Cambria Math" w:hAnsi="Cambria Math" w:cs="Calibri"/>
              <w:sz w:val="22"/>
              <w:szCs w:val="22"/>
            </w:rPr>
            <m:t>n</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So the variance of the mean from </w:t>
      </w:r>
      <m:oMath>
        <m:r>
          <w:rPr>
            <w:rFonts w:ascii="Cambria Math" w:hAnsi="Cambria Math" w:cs="Calibri"/>
            <w:sz w:val="22"/>
            <w:szCs w:val="22"/>
          </w:rPr>
          <m:t>n</m:t>
        </m:r>
      </m:oMath>
      <w:r>
        <w:rPr>
          <w:rFonts w:ascii="Calibri" w:hAnsi="Calibri" w:cs="Calibri"/>
          <w:sz w:val="22"/>
          <w:szCs w:val="22"/>
        </w:rPr>
        <w:t xml:space="preserve"> independent observations is indeed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m:rPr>
            <m:lit/>
            <m:sty m:val="p"/>
          </m:rPr>
          <w:rPr>
            <w:rFonts w:ascii="Cambria Math" w:hAnsi="Cambria Math" w:cs="Calibri"/>
            <w:sz w:val="22"/>
            <w:szCs w:val="22"/>
          </w:rPr>
          <m:t>/</m:t>
        </m:r>
        <m:r>
          <w:rPr>
            <w:rFonts w:ascii="Cambria Math" w:hAnsi="Cambria Math" w:cs="Calibri"/>
            <w:sz w:val="22"/>
            <w:szCs w:val="22"/>
          </w:rPr>
          <m:t>n</m:t>
        </m:r>
      </m:oMath>
      <w:r>
        <w:rPr>
          <w:rFonts w:ascii="Calibri" w:hAnsi="Calibri" w:cs="Calibri"/>
          <w:sz w:val="22"/>
          <w:szCs w:val="22"/>
        </w:rPr>
        <w:t>.</w:t>
      </w:r>
    </w:p>
    <w:p>
      <w:pPr>
        <w:pStyle w:val="BodyText"/>
        <w:spacing w:line="264" w:lineRule="auto"/>
        <w:rPr>
          <w:rFonts w:ascii="Calibri" w:hAnsi="Calibri" w:cs="Calibri"/>
          <w:sz w:val="22"/>
          <w:szCs w:val="22"/>
        </w:rPr>
      </w:pPr>
      <w:r>
        <w:rPr>
          <w:rFonts w:ascii="Calibri" w:hAnsi="Calibri" w:cs="Calibri"/>
          <w:sz w:val="22"/>
          <w:szCs w:val="22"/>
        </w:rPr>
        <w:t xml:space="preserve">Later, we will simply replace </w:t>
      </w:r>
      <m:oMath>
        <m:r>
          <w:rPr>
            <w:rFonts w:ascii="Cambria Math" w:hAnsi="Cambria Math" w:cs="Calibri"/>
            <w:sz w:val="22"/>
            <w:szCs w:val="22"/>
          </w:rPr>
          <m:t>n</m:t>
        </m:r>
      </m:oMath>
      <w:r>
        <w:rPr>
          <w:rFonts w:ascii="Calibri" w:hAnsi="Calibri" w:cs="Calibri"/>
          <w:sz w:val="22"/>
          <w:szCs w:val="22"/>
        </w:rPr>
        <w:t xml:space="preserve"> by an effective sample size because we will be asking how many independent observations would be needed to match the precision of the correlated case.</w:t>
      </w:r>
    </w:p>
    <w:p>
      <w:pPr>
        <w:pStyle w:val="Heading2"/>
        <w:spacing w:before="120" w:line="264" w:lineRule="auto"/>
        <w:rPr>
          <w:rFonts w:ascii="Calibri" w:hAnsi="Calibri" w:cs="Calibri"/>
        </w:rPr>
      </w:pPr>
      <w:bookmarkStart w:id="24" w:name="Xec12380b58531af64dbe6359d896ebda311297c"/>
      <w:bookmarkStart w:id="25" w:name="_Toc232605853"/>
      <w:bookmarkEnd w:id="22"/>
      <w:r>
        <w:rPr>
          <w:rFonts w:ascii="Calibri" w:hAnsi="Calibri" w:cs="Calibri"/>
        </w:rPr>
        <w:t>A1.7. What estimator should be used when observations are correlated?</w:t>
      </w:r>
      <w:bookmarkEnd w:id="25"/>
    </w:p>
    <w:p>
      <w:pPr>
        <w:pStyle w:val="FirstParagraph"/>
        <w:spacing w:line="264" w:lineRule="auto"/>
        <w:rPr>
          <w:rFonts w:ascii="Calibri" w:hAnsi="Calibri" w:cs="Calibri"/>
          <w:sz w:val="22"/>
          <w:szCs w:val="22"/>
        </w:rPr>
      </w:pPr>
      <w:r>
        <w:rPr>
          <w:rFonts w:ascii="Calibri" w:hAnsi="Calibri" w:cs="Calibri"/>
          <w:sz w:val="22"/>
          <w:szCs w:val="22"/>
        </w:rPr>
        <w:t>Now return to our model</w:t>
      </w:r>
    </w:p>
    <w:p>
      <w:pPr>
        <w:pStyle w:val="BodyText"/>
        <w:spacing w:line="264" w:lineRule="auto"/>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μ</m:t>
          </m:r>
          <m:r>
            <m:rPr>
              <m:sty m:val="b"/>
            </m:rPr>
            <w:rPr>
              <w:rFonts w:ascii="Cambria Math" w:hAnsi="Cambria Math" w:cs="Calibri"/>
              <w:sz w:val="22"/>
              <w:szCs w:val="22"/>
            </w:rPr>
            <m:t>1</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When observations are correlated, the ordinary independent-errors formula is no longer the natural one to use. The standard result in this setting is the generalized least-squares (GLS) result classically associated with Aitken (1936). In modern notation, for the general linear model</w:t>
      </w:r>
    </w:p>
    <w:p>
      <w:pPr>
        <w:pStyle w:val="BodyText"/>
        <w:spacing w:line="264" w:lineRule="auto"/>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X</m:t>
          </m:r>
          <m:r>
            <m:rPr>
              <m:sty m:val="b"/>
            </m:rPr>
            <w:rPr>
              <w:rFonts w:ascii="Cambria Math" w:hAnsi="Cambria Math" w:cs="Calibri"/>
              <w:sz w:val="22"/>
              <w:szCs w:val="22"/>
            </w:rPr>
            <m:t>β</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r>
            <w:rPr>
              <w:rFonts w:ascii="Cambria Math" w:hAnsi="Cambria Math" w:cs="Calibri"/>
              <w:sz w:val="22"/>
              <w:szCs w:val="22"/>
            </w:rPr>
            <m:t>V</m:t>
          </m:r>
          <m:r>
            <m:rPr>
              <m:sty m:val="p"/>
            </m:rPr>
            <w:rPr>
              <w:rFonts w:ascii="Cambria Math" w:hAnsi="Cambria Math" w:cs="Calibri"/>
              <w:sz w:val="22"/>
              <w:szCs w:val="22"/>
            </w:rPr>
            <m:t>,</m:t>
          </m:r>
        </m:oMath>
      </m:oMathPara>
    </w:p>
    <w:p>
      <w:pPr>
        <w:pStyle w:val="BodyText"/>
        <w:spacing w:line="264" w:lineRule="auto"/>
        <w:rPr>
          <w:rFonts w:ascii="Calibri" w:hAnsi="Calibri" w:cs="Calibri"/>
          <w:sz w:val="22"/>
          <w:szCs w:val="22"/>
        </w:rPr>
      </w:pPr>
      <w:r>
        <w:rPr>
          <w:rFonts w:ascii="Calibri" w:hAnsi="Calibri" w:cs="Calibri"/>
          <w:sz w:val="22"/>
          <w:szCs w:val="22"/>
        </w:rPr>
        <w:t>the coefficient-estimator form of the Aitken generalized least-squares estimator is</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acc>
                <m:accPr>
                  <m:ctrlPr>
                    <w:rPr>
                      <w:rFonts w:ascii="Cambria Math" w:hAnsi="Cambria Math" w:cs="Calibri"/>
                      <w:sz w:val="22"/>
                      <w:szCs w:val="22"/>
                    </w:rPr>
                  </m:ctrlPr>
                </m:accPr>
                <m:e>
                  <m:r>
                    <m:rPr>
                      <m:sty m:val="b"/>
                    </m:rPr>
                    <w:rPr>
                      <w:rFonts w:ascii="Cambria Math" w:hAnsi="Cambria Math" w:cs="Calibri"/>
                      <w:sz w:val="22"/>
                      <w:szCs w:val="22"/>
                    </w:rPr>
                    <m:t>β</m:t>
                  </m:r>
                </m:e>
              </m:acc>
            </m:e>
            <m:sub>
              <m:r>
                <m:rPr>
                  <m:sty m:val="p"/>
                </m:rPr>
                <w:rPr>
                  <w:rFonts w:ascii="Cambria Math" w:hAnsi="Cambria Math" w:cs="Calibri"/>
                  <w:sz w:val="22"/>
                  <w:szCs w:val="22"/>
                </w:rPr>
                <m:t>GLS</m:t>
              </m:r>
            </m:sub>
          </m:sSub>
          <m:r>
            <m:rPr>
              <m:sty m:val="p"/>
            </m:rPr>
            <w:rPr>
              <w:rFonts w:ascii="Cambria Math" w:hAnsi="Cambria Math" w:cs="Calibri"/>
              <w:sz w:val="22"/>
              <w:szCs w:val="22"/>
            </w:rPr>
            <m:t>=</m:t>
          </m:r>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w:rPr>
                      <w:rFonts w:ascii="Cambria Math" w:hAnsi="Cambria Math" w:cs="Calibri"/>
                      <w:sz w:val="22"/>
                      <w:szCs w:val="22"/>
                    </w:rPr>
                    <m:t>X</m:t>
                  </m:r>
                </m:e>
              </m:d>
            </m:e>
            <m:sup>
              <m:r>
                <m:rPr>
                  <m:sty m:val="p"/>
                </m:rPr>
                <w:rPr>
                  <w:rFonts w:ascii="Cambria Math" w:hAnsi="Cambria Math" w:cs="Calibri"/>
                  <w:sz w:val="22"/>
                  <w:szCs w:val="22"/>
                </w:rPr>
                <m:t>-</m:t>
              </m:r>
              <m:r>
                <w:rPr>
                  <w:rFonts w:ascii="Cambria Math" w:hAnsi="Cambria Math" w:cs="Calibri"/>
                  <w:sz w:val="22"/>
                  <w:szCs w:val="22"/>
                </w:rPr>
                <m:t>1</m:t>
              </m:r>
            </m:sup>
          </m:sSup>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m:rPr>
              <m:sty m:val="b"/>
            </m:rPr>
            <w:rPr>
              <w:rFonts w:ascii="Cambria Math" w:hAnsi="Cambria Math" w:cs="Calibri"/>
              <w:sz w:val="22"/>
              <w:szCs w:val="22"/>
            </w:rPr>
            <m:t>y</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Because Aitken’s original notation differs from modern linear-model notation, and because his displayed transformation corresponds to the fitted values and therefore includes an additional left multiplication by the design matrix, we use here the standard modern coefficient-estimator form. Its variance-covariance matrix is</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m:rPr>
                          <m:sty m:val="b"/>
                        </m:rPr>
                        <w:rPr>
                          <w:rFonts w:ascii="Cambria Math" w:hAnsi="Cambria Math" w:cs="Calibri"/>
                          <w:sz w:val="22"/>
                          <w:szCs w:val="22"/>
                        </w:rPr>
                        <m:t>β</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w:rPr>
                          <w:rFonts w:ascii="Cambria Math" w:hAnsi="Cambria Math" w:cs="Calibri"/>
                          <w:sz w:val="22"/>
                          <w:szCs w:val="22"/>
                        </w:rPr>
                        <m:t>X</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V</m:t>
                      </m:r>
                    </m:e>
                    <m:sup>
                      <m:r>
                        <m:rPr>
                          <m:sty m:val="p"/>
                        </m:rPr>
                        <w:rPr>
                          <w:rFonts w:ascii="Cambria Math" w:hAnsi="Cambria Math" w:cs="Calibri"/>
                          <w:sz w:val="22"/>
                          <w:szCs w:val="22"/>
                        </w:rPr>
                        <m:t>-</m:t>
                      </m:r>
                      <m:r>
                        <w:rPr>
                          <w:rFonts w:ascii="Cambria Math" w:hAnsi="Cambria Math" w:cs="Calibri"/>
                          <w:sz w:val="22"/>
                          <w:szCs w:val="22"/>
                        </w:rPr>
                        <m:t>1</m:t>
                      </m:r>
                    </m:sup>
                  </m:sSup>
                  <m:r>
                    <w:rPr>
                      <w:rFonts w:ascii="Cambria Math" w:hAnsi="Cambria Math" w:cs="Calibri"/>
                      <w:sz w:val="22"/>
                      <w:szCs w:val="22"/>
                    </w:rPr>
                    <m:t>X</m:t>
                  </m:r>
                </m:e>
              </m:d>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Using this standard GLS result, we now consider our intercept-only case, in which there is only one parameter, namely the overall mean </w:t>
      </w:r>
      <w:r>
        <w:rPr>
          <w:rFonts w:ascii="Calibri" w:hAnsi="Calibri" w:cs="Calibri"/>
          <w:i/>
          <w:iCs/>
          <w:sz w:val="22"/>
          <w:szCs w:val="22"/>
        </w:rPr>
        <w:t>μ</w:t>
      </w:r>
      <w:r>
        <w:rPr>
          <w:rFonts w:ascii="Calibri" w:hAnsi="Calibri" w:cs="Calibri"/>
          <w:sz w:val="22"/>
          <w:szCs w:val="22"/>
        </w:rPr>
        <w:t>. Therefore,</w:t>
      </w:r>
    </w:p>
    <w:p>
      <w:pPr>
        <w:pStyle w:val="BodyText"/>
        <w:spacing w:line="264" w:lineRule="auto"/>
        <w:rPr>
          <w:rFonts w:ascii="Calibri" w:hAnsi="Calibri" w:cs="Calibri"/>
          <w:sz w:val="22"/>
          <w:szCs w:val="22"/>
        </w:rPr>
      </w:pPr>
      <m:oMathPara>
        <m:oMathParaPr>
          <m:jc m:val="center"/>
        </m:oMathParaPr>
        <m:oMath>
          <m:r>
            <w:rPr>
              <w:rFonts w:ascii="Cambria Math" w:hAnsi="Cambria Math" w:cs="Calibri"/>
              <w:sz w:val="22"/>
              <w:szCs w:val="22"/>
            </w:rPr>
            <m:t>X</m:t>
          </m:r>
          <m:r>
            <m:rPr>
              <m:sty m:val="p"/>
            </m:rPr>
            <w:rPr>
              <w:rFonts w:ascii="Cambria Math" w:hAnsi="Cambria Math" w:cs="Calibri"/>
              <w:sz w:val="22"/>
              <w:szCs w:val="22"/>
            </w:rPr>
            <m:t>=</m:t>
          </m:r>
          <m:r>
            <m:rPr>
              <m:sty m:val="b"/>
            </m:rP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  V</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Substituting these into the general GLS formula gives</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r>
            <m:rPr>
              <m:sty m:val="p"/>
            </m:rPr>
            <w:rPr>
              <w:rFonts w:ascii="Cambria Math" w:hAnsi="Cambria Math" w:cs="Calibri"/>
              <w:sz w:val="22"/>
              <w:szCs w:val="22"/>
            </w:rPr>
            <m:t>=</m:t>
          </m:r>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e>
              </m:d>
            </m:e>
            <m:sup>
              <m:r>
                <m:rPr>
                  <m:sty m:val="p"/>
                </m:rPr>
                <w:rPr>
                  <w:rFonts w:ascii="Cambria Math" w:hAnsi="Cambria Math" w:cs="Calibri"/>
                  <w:sz w:val="22"/>
                  <w:szCs w:val="22"/>
                </w:rPr>
                <m:t>-</m:t>
              </m:r>
              <m:r>
                <w:rPr>
                  <w:rFonts w:ascii="Cambria Math" w:hAnsi="Cambria Math" w:cs="Calibri"/>
                  <w:sz w:val="22"/>
                  <w:szCs w:val="22"/>
                </w:rPr>
                <m:t>1</m:t>
              </m:r>
            </m:sup>
          </m:sSup>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y</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with variance</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p>
            <m:sSupPr>
              <m:ctrlPr>
                <w:rPr>
                  <w:rFonts w:ascii="Cambria Math" w:hAnsi="Cambria Math" w:cs="Calibri"/>
                  <w:sz w:val="22"/>
                  <w:szCs w:val="22"/>
                </w:rPr>
              </m:ctrlPr>
            </m:sSupPr>
            <m:e>
              <m:d>
                <m:dPr>
                  <m:ctrlPr>
                    <w:rPr>
                      <w:rFonts w:ascii="Cambria Math" w:hAnsi="Cambria Math" w:cs="Calibri"/>
                      <w:sz w:val="22"/>
                      <w:szCs w:val="22"/>
                    </w:rPr>
                  </m:ctrlPr>
                </m:dPr>
                <m:e>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e>
              </m:d>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oMath>
      </m:oMathPara>
    </w:p>
    <w:p>
      <w:pPr>
        <w:pStyle w:val="FirstParagraph"/>
        <w:keepNext/>
        <w:spacing w:line="264" w:lineRule="auto"/>
        <w:rPr>
          <w:rFonts w:ascii="Calibri" w:hAnsi="Calibri" w:cs="Calibri"/>
          <w:sz w:val="22"/>
          <w:szCs w:val="22"/>
        </w:rPr>
      </w:pPr>
      <w:r>
        <w:rPr>
          <w:rFonts w:ascii="Calibri" w:hAnsi="Calibri" w:cs="Calibri"/>
          <w:sz w:val="22"/>
          <w:szCs w:val="22"/>
        </w:rPr>
        <w:lastRenderedPageBreak/>
        <w:t>Because this is a scalar, we can rewrite it as</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This is the key variance in our derivation.</w:t>
      </w:r>
    </w:p>
    <w:p>
      <w:pPr>
        <w:pStyle w:val="Heading2"/>
        <w:spacing w:before="120" w:line="264" w:lineRule="auto"/>
        <w:rPr>
          <w:rFonts w:ascii="Calibri" w:hAnsi="Calibri" w:cs="Calibri"/>
        </w:rPr>
      </w:pPr>
      <w:bookmarkStart w:id="26" w:name="X19aab8ae04db89858e94877382f036601505877"/>
      <w:bookmarkStart w:id="27" w:name="_Toc232605854"/>
      <w:bookmarkEnd w:id="24"/>
      <w:r>
        <w:rPr>
          <w:rFonts w:ascii="Calibri" w:hAnsi="Calibri" w:cs="Calibri"/>
        </w:rPr>
        <w:t>A1.8. What does this GLS variance mean?</w:t>
      </w:r>
      <w:bookmarkEnd w:id="27"/>
    </w:p>
    <w:p>
      <w:pPr>
        <w:pStyle w:val="FirstParagraph"/>
        <w:spacing w:line="264" w:lineRule="auto"/>
        <w:rPr>
          <w:rFonts w:ascii="Calibri" w:hAnsi="Calibri" w:cs="Calibri"/>
          <w:sz w:val="22"/>
          <w:szCs w:val="22"/>
        </w:rPr>
      </w:pPr>
      <w:r>
        <w:rPr>
          <w:rFonts w:ascii="Calibri" w:hAnsi="Calibri" w:cs="Calibri"/>
          <w:sz w:val="22"/>
          <w:szCs w:val="22"/>
        </w:rPr>
        <w:t xml:space="preserve">The estimator </w:t>
      </w:r>
      <m:oMath>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oMath>
      <w:r>
        <w:rPr>
          <w:rFonts w:ascii="Calibri" w:hAnsi="Calibri" w:cs="Calibri"/>
          <w:sz w:val="22"/>
          <w:szCs w:val="22"/>
        </w:rPr>
        <w:t xml:space="preserve"> is the generalized least-squares estimator of the overall mean under the assumed correlation structure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Its variance tells us how precisely the overall mean can be estimated from this correlated subset.</w:t>
      </w:r>
    </w:p>
    <w:p>
      <w:pPr>
        <w:pStyle w:val="FirstParagraph"/>
        <w:spacing w:line="264" w:lineRule="auto"/>
        <w:rPr>
          <w:rFonts w:ascii="Calibri" w:hAnsi="Calibri" w:cs="Calibri"/>
          <w:sz w:val="22"/>
          <w:szCs w:val="22"/>
        </w:rPr>
      </w:pPr>
      <w:r>
        <w:rPr>
          <w:rFonts w:ascii="Calibri" w:hAnsi="Calibri" w:cs="Calibri"/>
          <w:sz w:val="22"/>
          <w:szCs w:val="22"/>
        </w:rPr>
        <w:t>A smaller variance means that the mean is estimated more precisely. A larger variance means that the estimate is less precise. Therefore, in this setting, the quantity</w:t>
      </w:r>
    </w:p>
    <w:p>
      <w:pPr>
        <w:pStyle w:val="FirstParagraph"/>
        <w:spacing w:line="264" w:lineRule="auto"/>
        <w:rPr>
          <w:rFonts w:ascii="Calibri" w:hAnsi="Calibri" w:cs="Calibri"/>
          <w:sz w:val="22"/>
          <w:szCs w:val="22"/>
        </w:rPr>
      </w:pPr>
      <m:oMathPara>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m:oMathPara>
    </w:p>
    <w:p>
      <w:pPr>
        <w:pStyle w:val="BodyText"/>
        <w:spacing w:line="264" w:lineRule="auto"/>
        <w:rPr>
          <w:rFonts w:ascii="Calibri" w:hAnsi="Calibri" w:cs="Calibri"/>
          <w:sz w:val="22"/>
          <w:szCs w:val="22"/>
        </w:rPr>
      </w:pPr>
      <w:r>
        <w:rPr>
          <w:rFonts w:ascii="Calibri" w:hAnsi="Calibri" w:cs="Calibri"/>
          <w:sz w:val="22"/>
          <w:szCs w:val="22"/>
        </w:rPr>
        <w:t xml:space="preserve">This does not mean that </w:t>
      </w: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w:r>
        <w:rPr>
          <w:rFonts w:ascii="Calibri" w:hAnsi="Calibri" w:cs="Calibri"/>
          <w:sz w:val="22"/>
          <w:szCs w:val="22"/>
        </w:rPr>
        <w:t xml:space="preserve"> is a universal measure of information for every possible inferential task. It is tied specifically to the overall-mean problem considered here. That is why we call the resulting quantity a mean-based independence-equivalent sample size.</w:t>
      </w:r>
    </w:p>
    <w:p>
      <w:pPr>
        <w:pStyle w:val="Heading2"/>
        <w:spacing w:before="120" w:line="264" w:lineRule="auto"/>
        <w:rPr>
          <w:rFonts w:ascii="Calibri" w:hAnsi="Calibri" w:cs="Calibri"/>
        </w:rPr>
      </w:pPr>
      <w:bookmarkStart w:id="28" w:name="X9b974d9ed34f45b7aff5291b252e4d0fde62656"/>
      <w:bookmarkStart w:id="29" w:name="_Toc232605855"/>
      <w:bookmarkEnd w:id="26"/>
      <w:r>
        <w:rPr>
          <w:rFonts w:ascii="Calibri" w:hAnsi="Calibri" w:cs="Calibri"/>
        </w:rPr>
        <w:t>A1.9. Matching the correlated-sample variance to the independent-sample variance</w:t>
      </w:r>
      <w:bookmarkEnd w:id="29"/>
    </w:p>
    <w:p>
      <w:pPr>
        <w:pStyle w:val="FirstParagraph"/>
        <w:keepNext/>
        <w:spacing w:line="264" w:lineRule="auto"/>
        <w:rPr>
          <w:rFonts w:ascii="Calibri" w:hAnsi="Calibri" w:cs="Calibri"/>
          <w:sz w:val="22"/>
          <w:szCs w:val="22"/>
        </w:rPr>
      </w:pPr>
      <w:r>
        <w:rPr>
          <w:rFonts w:ascii="Calibri" w:hAnsi="Calibri" w:cs="Calibri"/>
          <w:sz w:val="22"/>
          <w:szCs w:val="22"/>
        </w:rPr>
        <w:t>We now come to the sentence that motivates the definition. From the correlated sample, we have the GLS variance</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From an independent sample of size </w:t>
      </w:r>
      <m:oMath>
        <m:r>
          <w:rPr>
            <w:rFonts w:ascii="Cambria Math" w:hAnsi="Cambria Math" w:cs="Calibri"/>
            <w:sz w:val="22"/>
            <w:szCs w:val="22"/>
          </w:rPr>
          <m:t>n</m:t>
        </m:r>
      </m:oMath>
      <w:r>
        <w:rPr>
          <w:rFonts w:ascii="Calibri" w:hAnsi="Calibri" w:cs="Calibri"/>
          <w:sz w:val="22"/>
          <w:szCs w:val="22"/>
        </w:rPr>
        <w:t>, we know that the variance of the sample mean is</w:t>
      </w:r>
    </w:p>
    <w:p>
      <w:pPr>
        <w:pStyle w:val="BodyText"/>
        <w:spacing w:line="264" w:lineRule="auto"/>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pPr>
        <w:pStyle w:val="FirstParagraph"/>
        <w:keepNext/>
        <w:spacing w:line="264" w:lineRule="auto"/>
        <w:rPr>
          <w:rFonts w:ascii="Calibri" w:hAnsi="Calibri" w:cs="Calibri"/>
          <w:sz w:val="22"/>
          <w:szCs w:val="22"/>
        </w:rPr>
      </w:pPr>
      <w:r>
        <w:rPr>
          <w:rFonts w:ascii="Calibri" w:hAnsi="Calibri" w:cs="Calibri"/>
          <w:sz w:val="22"/>
          <w:szCs w:val="22"/>
        </w:rPr>
        <w:t xml:space="preserve">Now imagine a hypothetical independent sample of size </w:t>
      </w: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oMath>
      <w:r>
        <w:rPr>
          <w:rFonts w:ascii="Calibri" w:hAnsi="Calibri" w:cs="Calibri"/>
          <w:sz w:val="22"/>
          <w:szCs w:val="22"/>
        </w:rPr>
        <w:t>. If we want that hypothetical independent sample to estimate a mean with exactly the same precision as the actual correlated sample, then the two variances should be equal. That is,</w:t>
      </w:r>
    </w:p>
    <w:p>
      <w:pPr>
        <w:pStyle w:val="BodyText"/>
        <w:keepNext/>
        <w:spacing w:line="264" w:lineRule="auto"/>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This is what is meant by “matching the two variances.” It expresses the correlated sample in units of an equivalent independent sample.</w:t>
      </w:r>
    </w:p>
    <w:p>
      <w:pPr>
        <w:pStyle w:val="BodyText"/>
        <w:spacing w:line="264" w:lineRule="auto"/>
        <w:rPr>
          <w:rFonts w:ascii="Calibri" w:hAnsi="Calibri" w:cs="Calibri"/>
          <w:sz w:val="22"/>
          <w:szCs w:val="22"/>
        </w:rPr>
      </w:pPr>
      <w:r>
        <w:rPr>
          <w:rFonts w:ascii="Calibri" w:hAnsi="Calibri" w:cs="Calibri"/>
          <w:sz w:val="22"/>
          <w:szCs w:val="22"/>
        </w:rPr>
        <w:t xml:space="preserve">We now solve this equation step by step. First,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Pr>
          <w:rFonts w:ascii="Calibri" w:hAnsi="Calibri" w:cs="Calibri"/>
          <w:sz w:val="22"/>
          <w:szCs w:val="22"/>
        </w:rPr>
        <w:t xml:space="preserve"> appears on both sides, so it cancels:</w:t>
      </w:r>
    </w:p>
    <w:p>
      <w:pPr>
        <w:pStyle w:val="BodyText"/>
        <w:spacing w:line="264" w:lineRule="auto"/>
        <w:rPr>
          <w:rFonts w:ascii="Calibri" w:hAnsi="Calibri" w:cs="Calibri"/>
          <w:sz w:val="22"/>
          <w:szCs w:val="22"/>
        </w:rPr>
      </w:pPr>
      <m:oMathPara>
        <m:oMathParaPr>
          <m:jc m:val="center"/>
        </m:oMathParaPr>
        <m:oMath>
          <m:f>
            <m:fPr>
              <m:ctrlPr>
                <w:rPr>
                  <w:rFonts w:ascii="Cambria Math" w:hAnsi="Cambria Math" w:cs="Calibri"/>
                  <w:sz w:val="22"/>
                  <w:szCs w:val="22"/>
                </w:rPr>
              </m:ctrlPr>
            </m:fPr>
            <m:num>
              <m:r>
                <w:rPr>
                  <w:rFonts w:ascii="Cambria Math" w:hAnsi="Cambria Math" w:cs="Calibri"/>
                  <w:sz w:val="22"/>
                  <w:szCs w:val="22"/>
                </w:rPr>
                <m:t>1</m:t>
              </m:r>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f>
            <m:fPr>
              <m:ctrlPr>
                <w:rPr>
                  <w:rFonts w:ascii="Cambria Math" w:hAnsi="Cambria Math" w:cs="Calibri"/>
                  <w:sz w:val="22"/>
                  <w:szCs w:val="22"/>
                </w:rPr>
              </m:ctrlPr>
            </m:fPr>
            <m:num>
              <m:r>
                <w:rPr>
                  <w:rFonts w:ascii="Cambria Math" w:hAnsi="Cambria Math" w:cs="Calibri"/>
                  <w:sz w:val="22"/>
                  <w:szCs w:val="22"/>
                </w:rPr>
                <m:t>1</m:t>
              </m:r>
            </m:num>
            <m:den>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If two positive quantities have equal reciprocals, then the quantities themselves are equal. Therefore,</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pPr>
        <w:pStyle w:val="FirstParagraph"/>
        <w:keepNext/>
        <w:spacing w:line="264" w:lineRule="auto"/>
        <w:rPr>
          <w:rFonts w:ascii="Calibri" w:hAnsi="Calibri" w:cs="Calibri"/>
          <w:sz w:val="22"/>
          <w:szCs w:val="22"/>
        </w:rPr>
      </w:pPr>
      <w:r>
        <w:rPr>
          <w:rFonts w:ascii="Calibri" w:hAnsi="Calibri" w:cs="Calibri"/>
          <w:sz w:val="22"/>
          <w:szCs w:val="22"/>
        </w:rPr>
        <w:lastRenderedPageBreak/>
        <w:t>This leads to the definition</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eff,mean</m:t>
              </m:r>
            </m:sub>
          </m:sSub>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pPr>
        <w:pStyle w:val="Heading2"/>
        <w:spacing w:before="120" w:line="264" w:lineRule="auto"/>
        <w:rPr>
          <w:rFonts w:ascii="Calibri" w:hAnsi="Calibri" w:cs="Calibri"/>
        </w:rPr>
      </w:pPr>
      <w:bookmarkStart w:id="30" w:name="Xc44f71e97b265883f5024b7177a893fabc5e33f"/>
      <w:bookmarkStart w:id="31" w:name="_Toc232605856"/>
      <w:bookmarkEnd w:id="28"/>
      <w:r>
        <w:rPr>
          <w:rFonts w:ascii="Calibri" w:hAnsi="Calibri" w:cs="Calibri"/>
        </w:rPr>
        <w:t>A1.10. Why this can be called an independence-equivalent sample size</w:t>
      </w:r>
      <w:bookmarkEnd w:id="31"/>
    </w:p>
    <w:p>
      <w:pPr>
        <w:pStyle w:val="FirstParagraph"/>
        <w:spacing w:line="264" w:lineRule="auto"/>
        <w:rPr>
          <w:rFonts w:ascii="Calibri" w:hAnsi="Calibri" w:cs="Calibri"/>
          <w:sz w:val="22"/>
          <w:szCs w:val="22"/>
        </w:rPr>
      </w:pPr>
      <w:r>
        <w:rPr>
          <w:rFonts w:ascii="Calibri" w:hAnsi="Calibri" w:cs="Calibri"/>
          <w:sz w:val="22"/>
          <w:szCs w:val="22"/>
        </w:rPr>
        <w:t>The logic is now straightforward. An independent sample of size MIESS would have sample-mean variance</w:t>
      </w:r>
    </w:p>
    <w:p>
      <w:pPr>
        <w:pStyle w:val="BodyText"/>
        <w:spacing w:line="264" w:lineRule="auto"/>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MIESS</m:t>
              </m:r>
            </m:den>
          </m:f>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which is exactly equal to the GLS variance of the mean under the correlated structure </w:t>
      </w: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 Therefore, for the purpose of estimating an overall mean, the actual correlated subset behaves as if it were an independent sample of size MIESS.</w:t>
      </w:r>
    </w:p>
    <w:p>
      <w:pPr>
        <w:pStyle w:val="FirstParagraph"/>
        <w:spacing w:line="264" w:lineRule="auto"/>
        <w:rPr>
          <w:rFonts w:ascii="Calibri" w:hAnsi="Calibri" w:cs="Calibri"/>
          <w:sz w:val="22"/>
          <w:szCs w:val="22"/>
        </w:rPr>
      </w:pPr>
      <w:r>
        <w:rPr>
          <w:rFonts w:ascii="Calibri" w:hAnsi="Calibri" w:cs="Calibri"/>
          <w:sz w:val="22"/>
          <w:szCs w:val="22"/>
        </w:rPr>
        <w:t>This is why the quantity can be interpreted as an independence-equivalent sample size. It is important to be precise here. MIESS is not the literal number of observations left after somehow “removing” dependence. No observations are removed. Instead, MIESS tells us how much independent information the correlated sample contains for the specific task of estimating an overall mean.</w:t>
      </w:r>
    </w:p>
    <w:p>
      <w:pPr>
        <w:pStyle w:val="FirstParagraph"/>
        <w:spacing w:line="264" w:lineRule="auto"/>
        <w:rPr>
          <w:rFonts w:ascii="Calibri" w:hAnsi="Calibri" w:cs="Calibri"/>
          <w:sz w:val="22"/>
          <w:szCs w:val="22"/>
        </w:rPr>
      </w:pPr>
      <w:r>
        <w:rPr>
          <w:rFonts w:ascii="Calibri" w:hAnsi="Calibri" w:cs="Calibri"/>
          <w:sz w:val="22"/>
          <w:szCs w:val="22"/>
        </w:rPr>
        <w:t>This interpretation follows the general logic of effective sample size (Faes et al. 2009) as the size of an equivalent independent sample for a given inferential objective.</w:t>
      </w:r>
    </w:p>
    <w:p>
      <w:pPr>
        <w:pStyle w:val="Heading2"/>
        <w:spacing w:before="120" w:line="264" w:lineRule="auto"/>
        <w:rPr>
          <w:rFonts w:ascii="Calibri" w:hAnsi="Calibri" w:cs="Calibri"/>
        </w:rPr>
      </w:pPr>
      <w:bookmarkStart w:id="32" w:name="why-we-call-it-mean-based"/>
      <w:bookmarkStart w:id="33" w:name="_Toc232605857"/>
      <w:bookmarkEnd w:id="30"/>
      <w:r>
        <w:rPr>
          <w:rFonts w:ascii="Calibri" w:hAnsi="Calibri" w:cs="Calibri"/>
        </w:rPr>
        <w:t>A1.11. Why we call it “mean-based”</w:t>
      </w:r>
      <w:bookmarkEnd w:id="33"/>
    </w:p>
    <w:p>
      <w:pPr>
        <w:pStyle w:val="FirstParagraph"/>
        <w:spacing w:line="264" w:lineRule="auto"/>
        <w:rPr>
          <w:rFonts w:ascii="Calibri" w:hAnsi="Calibri" w:cs="Calibri"/>
          <w:sz w:val="22"/>
          <w:szCs w:val="22"/>
        </w:rPr>
      </w:pPr>
      <w:r>
        <w:rPr>
          <w:rFonts w:ascii="Calibri" w:hAnsi="Calibri" w:cs="Calibri"/>
          <w:sz w:val="22"/>
          <w:szCs w:val="22"/>
        </w:rPr>
        <w:t xml:space="preserve">The phrase “mean-based” is important and should not be omitted. Everything above is built around one particular inferential target: the overall mean </w:t>
      </w:r>
      <w:r>
        <w:rPr>
          <w:rFonts w:ascii="Calibri" w:hAnsi="Calibri" w:cs="Calibri"/>
          <w:i/>
          <w:iCs/>
          <w:sz w:val="22"/>
          <w:szCs w:val="22"/>
        </w:rPr>
        <w:t>μ</w:t>
      </w:r>
      <w:r>
        <w:rPr>
          <w:rFonts w:ascii="Calibri" w:hAnsi="Calibri" w:cs="Calibri"/>
          <w:sz w:val="22"/>
          <w:szCs w:val="22"/>
        </w:rPr>
        <w:t xml:space="preserve">. We used the GLS variance for estimating </w:t>
      </w:r>
      <w:r>
        <w:rPr>
          <w:rFonts w:ascii="Calibri" w:hAnsi="Calibri" w:cs="Calibri"/>
          <w:i/>
          <w:iCs/>
          <w:sz w:val="22"/>
          <w:szCs w:val="22"/>
        </w:rPr>
        <w:t>μ</w:t>
      </w:r>
      <w:r>
        <w:rPr>
          <w:rFonts w:ascii="Calibri" w:hAnsi="Calibri" w:cs="Calibri"/>
          <w:sz w:val="22"/>
          <w:szCs w:val="22"/>
        </w:rPr>
        <w:t xml:space="preserve"> and matched it to the independent-sample variance of a sample mean. Therefore, the resulting effective sample size is specific to this mean-estimation problem.</w:t>
      </w:r>
    </w:p>
    <w:p>
      <w:pPr>
        <w:pStyle w:val="FirstParagraph"/>
        <w:spacing w:line="264" w:lineRule="auto"/>
        <w:rPr>
          <w:rFonts w:ascii="Calibri" w:hAnsi="Calibri" w:cs="Calibri"/>
          <w:sz w:val="22"/>
          <w:szCs w:val="22"/>
        </w:rPr>
      </w:pPr>
      <w:r>
        <w:rPr>
          <w:rFonts w:ascii="Calibri" w:hAnsi="Calibri" w:cs="Calibri"/>
          <w:sz w:val="22"/>
          <w:szCs w:val="22"/>
        </w:rPr>
        <w:t xml:space="preserve">This does not mean that our analysis is focused on empirical trait means. In our framework, MIESS is calculated from the assumed within-subset correlation matrix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not from observed terminal-node trait values. The mean-estimation problem should instead be understood as a simple reference task: if a hypothetical trait measured on the selected species followed the assumed correlation structure, how many independent observations would provide the same precision for estimating its overall mean?</w:t>
      </w:r>
    </w:p>
    <w:p>
      <w:pPr>
        <w:pStyle w:val="FirstParagraph"/>
        <w:spacing w:line="264" w:lineRule="auto"/>
        <w:rPr>
          <w:rFonts w:ascii="Calibri" w:hAnsi="Calibri" w:cs="Calibri"/>
          <w:sz w:val="22"/>
          <w:szCs w:val="22"/>
        </w:rPr>
      </w:pPr>
      <w:r>
        <w:rPr>
          <w:rFonts w:ascii="Calibri" w:hAnsi="Calibri" w:cs="Calibri"/>
          <w:sz w:val="22"/>
          <w:szCs w:val="22"/>
        </w:rPr>
        <w:t>We use the mean as this reference target because it is simple, interpretable, and relatively model-agnostic. Estimating an overall mean requires no predictor variable, no target regression coefficient, no classification threshold, and no loss function. As a result, MIESS mainly summarizes the information loss caused by within-subset correlation, rather than the details of a particular downstream analysis.</w:t>
      </w:r>
    </w:p>
    <w:p>
      <w:pPr>
        <w:pStyle w:val="FirstParagraph"/>
        <w:spacing w:line="264" w:lineRule="auto"/>
        <w:rPr>
          <w:rFonts w:ascii="Calibri" w:hAnsi="Calibri" w:cs="Calibri"/>
          <w:sz w:val="22"/>
          <w:szCs w:val="22"/>
        </w:rPr>
      </w:pPr>
      <w:r>
        <w:rPr>
          <w:rFonts w:ascii="Calibri" w:hAnsi="Calibri" w:cs="Calibri"/>
          <w:sz w:val="22"/>
          <w:szCs w:val="22"/>
        </w:rPr>
        <w:t>If the inferential target were different, such as a regression slope, a contrast, predictive performance, or a classification metric, the relevant variance or uncertainty expression could be different, and the corresponding effective sample size could also be different. For that reason, it would be misleading to present</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MIESS</m:t>
          </m:r>
          <m: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oMath>
      </m:oMathPara>
    </w:p>
    <w:p>
      <w:pPr>
        <w:pStyle w:val="FirstParagraph"/>
        <w:spacing w:line="264" w:lineRule="auto"/>
        <w:rPr>
          <w:rFonts w:ascii="Calibri" w:hAnsi="Calibri" w:cs="Calibri"/>
          <w:sz w:val="22"/>
          <w:szCs w:val="22"/>
        </w:rPr>
      </w:pPr>
      <w:r>
        <w:rPr>
          <w:rFonts w:ascii="Calibri" w:hAnsi="Calibri" w:cs="Calibri"/>
          <w:sz w:val="22"/>
          <w:szCs w:val="22"/>
        </w:rPr>
        <w:t>as if it were the one and only effective sample size for the subset in every possible sense. This definition is tied to the precision of estimating an overall mean, MIESS should be interpreted as a mean-based independence-equivalent sample size rather than as a universal effective sample size for all possible inferential targets.</w:t>
      </w:r>
    </w:p>
    <w:p>
      <w:pPr>
        <w:pStyle w:val="Heading2"/>
        <w:spacing w:before="120" w:line="264" w:lineRule="auto"/>
        <w:rPr>
          <w:rFonts w:ascii="Calibri" w:hAnsi="Calibri" w:cs="Calibri"/>
        </w:rPr>
      </w:pPr>
      <w:bookmarkStart w:id="34" w:name="Xb66d276d36519c06d2cf9071e7798a004620641"/>
      <w:bookmarkStart w:id="35" w:name="_Toc232605858"/>
      <w:bookmarkEnd w:id="32"/>
      <w:r>
        <w:rPr>
          <w:rFonts w:ascii="Calibri" w:hAnsi="Calibri" w:cs="Calibri"/>
        </w:rPr>
        <w:lastRenderedPageBreak/>
        <w:t>A1.12. A simple sanity check: the case of independence</w:t>
      </w:r>
      <w:bookmarkEnd w:id="35"/>
    </w:p>
    <w:p>
      <w:pPr>
        <w:pStyle w:val="FirstParagraph"/>
        <w:keepNext/>
        <w:spacing w:line="264" w:lineRule="auto"/>
        <w:rPr>
          <w:rFonts w:ascii="Calibri" w:hAnsi="Calibri" w:cs="Calibri"/>
          <w:sz w:val="22"/>
          <w:szCs w:val="22"/>
        </w:rPr>
      </w:pPr>
      <w:r>
        <w:rPr>
          <w:rFonts w:ascii="Calibri" w:hAnsi="Calibri" w:cs="Calibri"/>
          <w:sz w:val="22"/>
          <w:szCs w:val="22"/>
        </w:rPr>
        <w:t>A useful check is the special case in which the observations are independent. Then</w:t>
      </w:r>
    </w:p>
    <w:p>
      <w:pPr>
        <w:pStyle w:val="BodyText"/>
        <w:spacing w:line="264" w:lineRule="auto"/>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r>
            <w:rPr>
              <w:rFonts w:ascii="Cambria Math" w:hAnsi="Cambria Math" w:cs="Calibri"/>
              <w:sz w:val="22"/>
              <w:szCs w:val="22"/>
            </w:rPr>
            <m:t>I</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where </w:t>
      </w:r>
      <m:oMath>
        <m:r>
          <w:rPr>
            <w:rFonts w:ascii="Cambria Math" w:hAnsi="Cambria Math" w:cs="Calibri"/>
            <w:sz w:val="22"/>
            <w:szCs w:val="22"/>
          </w:rPr>
          <m:t>I</m:t>
        </m:r>
      </m:oMath>
      <w:r>
        <w:rPr>
          <w:rFonts w:ascii="Calibri" w:hAnsi="Calibri" w:cs="Calibri"/>
          <w:sz w:val="22"/>
          <w:szCs w:val="22"/>
        </w:rPr>
        <w:t xml:space="preserve"> is the identity matrix. Since</w:t>
      </w:r>
    </w:p>
    <w:p>
      <w:pPr>
        <w:pStyle w:val="BodyText"/>
        <w:spacing w:line="264" w:lineRule="auto"/>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I</m:t>
              </m:r>
            </m:e>
            <m:sup>
              <m:r>
                <m:rPr>
                  <m:sty m:val="p"/>
                </m:rPr>
                <w:rPr>
                  <w:rFonts w:ascii="Cambria Math" w:hAnsi="Cambria Math" w:cs="Calibri"/>
                  <w:sz w:val="22"/>
                  <w:szCs w:val="22"/>
                </w:rPr>
                <m:t>-</m:t>
              </m:r>
              <m:r>
                <w:rPr>
                  <w:rFonts w:ascii="Cambria Math" w:hAnsi="Cambria Math" w:cs="Calibri"/>
                  <w:sz w:val="22"/>
                  <w:szCs w:val="22"/>
                </w:rPr>
                <m:t>1</m:t>
              </m:r>
            </m:sup>
          </m:sSup>
          <m:r>
            <m:rPr>
              <m:sty m:val="p"/>
            </m:rPr>
            <w:rPr>
              <w:rFonts w:ascii="Cambria Math" w:hAnsi="Cambria Math" w:cs="Calibri"/>
              <w:sz w:val="22"/>
              <w:szCs w:val="22"/>
            </w:rPr>
            <m:t>=</m:t>
          </m:r>
          <m:r>
            <w:rPr>
              <w:rFonts w:ascii="Cambria Math" w:hAnsi="Cambria Math" w:cs="Calibri"/>
              <w:sz w:val="22"/>
              <w:szCs w:val="22"/>
            </w:rPr>
            <m:t>I</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we obtain</w:t>
      </w:r>
    </w:p>
    <w:p>
      <w:pPr>
        <w:pStyle w:val="BodyText"/>
        <w:spacing w:line="264" w:lineRule="auto"/>
        <w:rPr>
          <w:rFonts w:ascii="Calibri" w:hAnsi="Calibri" w:cs="Calibri"/>
          <w:sz w:val="22"/>
          <w:szCs w:val="22"/>
        </w:rPr>
      </w:pPr>
      <m:oMathPara>
        <m:oMathParaPr>
          <m:jc m:val="center"/>
        </m:oMathParaPr>
        <m:oMath>
          <m:r>
            <w:rPr>
              <w:rFonts w:ascii="Cambria Math" w:hAnsi="Cambria Math" w:cs="Calibri"/>
              <w:sz w:val="22"/>
              <w:szCs w:val="22"/>
            </w:rPr>
            <m:t>MIESS</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p>
            <m:sSupPr>
              <m:ctrlPr>
                <w:rPr>
                  <w:rFonts w:ascii="Cambria Math" w:hAnsi="Cambria Math" w:cs="Calibri"/>
                  <w:sz w:val="22"/>
                  <w:szCs w:val="22"/>
                </w:rPr>
              </m:ctrlPr>
            </m:sSupPr>
            <m:e>
              <m:r>
                <w:rPr>
                  <w:rFonts w:ascii="Cambria Math" w:hAnsi="Cambria Math" w:cs="Calibri"/>
                  <w:sz w:val="22"/>
                  <w:szCs w:val="22"/>
                </w:rPr>
                <m:t>I</m:t>
              </m:r>
            </m:e>
            <m:sup>
              <m:r>
                <m:rPr>
                  <m:sty m:val="p"/>
                </m:rPr>
                <w:rPr>
                  <w:rFonts w:ascii="Cambria Math" w:hAnsi="Cambria Math" w:cs="Calibri"/>
                  <w:sz w:val="22"/>
                  <w:szCs w:val="22"/>
                </w:rPr>
                <m:t>-</m:t>
              </m:r>
              <m:r>
                <w:rPr>
                  <w:rFonts w:ascii="Cambria Math" w:hAnsi="Cambria Math" w:cs="Calibri"/>
                  <w:sz w:val="22"/>
                  <w:szCs w:val="22"/>
                </w:rPr>
                <m:t>1</m:t>
              </m:r>
            </m:sup>
          </m:sSup>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w:rPr>
              <w:rFonts w:ascii="Cambria Math" w:hAnsi="Cambria Math" w:cs="Calibri"/>
              <w:sz w:val="22"/>
              <w:szCs w:val="22"/>
            </w:rPr>
            <m:t>I</m:t>
          </m:r>
          <m:r>
            <m:rPr>
              <m:sty m:val="b"/>
            </m:rPr>
            <w:rPr>
              <w:rFonts w:ascii="Cambria Math" w:hAnsi="Cambria Math" w:cs="Calibri"/>
              <w:sz w:val="22"/>
              <w:szCs w:val="22"/>
            </w:rPr>
            <m:t>1</m:t>
          </m:r>
          <m:r>
            <m:rPr>
              <m:sty m:val="p"/>
            </m:rPr>
            <w:rPr>
              <w:rFonts w:ascii="Cambria Math" w:hAnsi="Cambria Math" w:cs="Calibri"/>
              <w:sz w:val="22"/>
              <w:szCs w:val="22"/>
            </w:rPr>
            <m:t>=</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 xml:space="preserve">Because </w:t>
      </w:r>
      <m:oMath>
        <m:r>
          <m:rPr>
            <m:sty m:val="b"/>
          </m:rPr>
          <w:rPr>
            <w:rFonts w:ascii="Cambria Math" w:hAnsi="Cambria Math" w:cs="Calibri"/>
            <w:sz w:val="22"/>
            <w:szCs w:val="22"/>
          </w:rPr>
          <m:t>1</m:t>
        </m:r>
      </m:oMath>
      <w:r>
        <w:rPr>
          <w:rFonts w:ascii="Calibri" w:hAnsi="Calibri" w:cs="Calibri"/>
          <w:sz w:val="22"/>
          <w:szCs w:val="22"/>
        </w:rPr>
        <w:t xml:space="preserve"> has length </w:t>
      </w:r>
      <m:oMath>
        <m:r>
          <w:rPr>
            <w:rFonts w:ascii="Cambria Math" w:hAnsi="Cambria Math" w:cs="Calibri"/>
            <w:sz w:val="22"/>
            <w:szCs w:val="22"/>
          </w:rPr>
          <m:t>s</m:t>
        </m:r>
      </m:oMath>
      <w:r>
        <w:rPr>
          <w:rFonts w:ascii="Calibri" w:hAnsi="Calibri" w:cs="Calibri"/>
          <w:sz w:val="22"/>
          <w:szCs w:val="22"/>
        </w:rPr>
        <w:t xml:space="preserve">, the quantity </w:t>
      </w: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oMath>
      <w:r>
        <w:rPr>
          <w:rFonts w:ascii="Calibri" w:hAnsi="Calibri" w:cs="Calibri"/>
          <w:sz w:val="22"/>
          <w:szCs w:val="22"/>
        </w:rPr>
        <w:t xml:space="preserve"> is simply the sum of </w:t>
      </w:r>
      <m:oMath>
        <m:r>
          <w:rPr>
            <w:rFonts w:ascii="Cambria Math" w:hAnsi="Cambria Math" w:cs="Calibri"/>
            <w:sz w:val="22"/>
            <w:szCs w:val="22"/>
          </w:rPr>
          <m:t>s</m:t>
        </m:r>
      </m:oMath>
      <w:r>
        <w:rPr>
          <w:rFonts w:ascii="Calibri" w:hAnsi="Calibri" w:cs="Calibri"/>
          <w:sz w:val="22"/>
          <w:szCs w:val="22"/>
        </w:rPr>
        <w:t xml:space="preserve"> ones:</w:t>
      </w:r>
    </w:p>
    <w:p>
      <w:pPr>
        <w:pStyle w:val="BodyText"/>
        <w:spacing w:line="264" w:lineRule="auto"/>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r>
            <m:rPr>
              <m:sty m:val="b"/>
            </m:rP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s</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So under independence,</w:t>
      </w:r>
    </w:p>
    <w:p>
      <w:pPr>
        <w:pStyle w:val="BodyT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MIESS=</m:t>
          </m:r>
          <m:r>
            <w:rPr>
              <w:rFonts w:ascii="Cambria Math" w:hAnsi="Cambria Math" w:cs="Calibri"/>
              <w:sz w:val="22"/>
              <w:szCs w:val="22"/>
            </w:rPr>
            <m:t>s</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This is exactly what we would want. If the observations are already independent, then the independence-equivalent sample size should equal the nominal subset size.</w:t>
      </w:r>
    </w:p>
    <w:p>
      <w:pPr>
        <w:pStyle w:val="Heading2"/>
        <w:spacing w:before="120" w:line="264" w:lineRule="auto"/>
        <w:rPr>
          <w:rFonts w:ascii="Calibri" w:hAnsi="Calibri" w:cs="Calibri"/>
        </w:rPr>
      </w:pPr>
      <w:bookmarkStart w:id="36" w:name="X49ca45f6e80de6470468f44677b6f52784971cd"/>
      <w:bookmarkStart w:id="37" w:name="_Toc232605859"/>
      <w:bookmarkEnd w:id="34"/>
      <w:r>
        <w:rPr>
          <w:rFonts w:ascii="Calibri" w:hAnsi="Calibri" w:cs="Calibri"/>
        </w:rPr>
        <w:t>A1.13. Why positive correlation usually reduces MIESS</w:t>
      </w:r>
      <w:bookmarkEnd w:id="37"/>
    </w:p>
    <w:p>
      <w:pPr>
        <w:pStyle w:val="FirstParagraph"/>
        <w:spacing w:line="264" w:lineRule="auto"/>
        <w:rPr>
          <w:rFonts w:ascii="Calibri" w:hAnsi="Calibri" w:cs="Calibri"/>
          <w:sz w:val="22"/>
          <w:szCs w:val="22"/>
        </w:rPr>
      </w:pPr>
      <w:r>
        <w:rPr>
          <w:rFonts w:ascii="Calibri" w:hAnsi="Calibri" w:cs="Calibri"/>
          <w:sz w:val="22"/>
          <w:szCs w:val="22"/>
        </w:rPr>
        <w:t xml:space="preserve">Although the exact numerical effect depends on the full structure of </w:t>
      </w:r>
      <m:oMath>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oMath>
      <w:r>
        <w:rPr>
          <w:rFonts w:ascii="Calibri" w:hAnsi="Calibri" w:cs="Calibri"/>
          <w:sz w:val="22"/>
          <w:szCs w:val="22"/>
        </w:rPr>
        <w:t>, the intuition is simple. If observations are positively correlated, they tend to move together. That means part of the information in one observation overlaps with information in another observation. In that situation, adding more observations does not increase independent information as efficiently as it would under independence.</w:t>
      </w:r>
    </w:p>
    <w:p>
      <w:pPr>
        <w:pStyle w:val="BodyText"/>
        <w:spacing w:line="264" w:lineRule="auto"/>
        <w:rPr>
          <w:rFonts w:ascii="Calibri" w:hAnsi="Calibri" w:cs="Calibri"/>
          <w:sz w:val="22"/>
          <w:szCs w:val="22"/>
        </w:rPr>
      </w:pPr>
      <w:r>
        <w:rPr>
          <w:rFonts w:ascii="Calibri" w:hAnsi="Calibri" w:cs="Calibri"/>
          <w:sz w:val="22"/>
          <w:szCs w:val="22"/>
        </w:rPr>
        <w:t>As a result, MIESS is often smaller than the literal number of species in the subset. This is not because observations disappear. It is because correlated observations are partly redundant for estimating the mean.</w:t>
      </w:r>
    </w:p>
    <w:p>
      <w:pPr>
        <w:pStyle w:val="BodyText"/>
        <w:spacing w:line="264" w:lineRule="auto"/>
        <w:rPr>
          <w:rFonts w:ascii="Calibri" w:hAnsi="Calibri" w:cs="Calibri"/>
          <w:sz w:val="22"/>
          <w:szCs w:val="22"/>
        </w:rPr>
      </w:pPr>
      <w:r>
        <w:rPr>
          <w:rFonts w:ascii="Calibri" w:hAnsi="Calibri" w:cs="Calibri"/>
          <w:sz w:val="22"/>
          <w:szCs w:val="22"/>
        </w:rPr>
        <w:t>In the extreme case where all species are nearly perfectly correlated, a subset containing many species may behave much more like a single independent observation than like (s) independent observations. Conversely, when species are weakly correlated, MIESS approaches the nominal subset size (s).</w:t>
      </w:r>
    </w:p>
    <w:p>
      <w:pPr>
        <w:pStyle w:val="Heading2"/>
        <w:spacing w:before="120" w:line="264" w:lineRule="auto"/>
        <w:rPr>
          <w:rFonts w:ascii="Calibri" w:hAnsi="Calibri" w:cs="Calibri"/>
        </w:rPr>
      </w:pPr>
      <w:bookmarkStart w:id="38" w:name="_Toc232605860"/>
      <w:r>
        <w:rPr>
          <w:rFonts w:ascii="Calibri" w:hAnsi="Calibri" w:cs="Calibri"/>
        </w:rPr>
        <w:t>A1.14. Relationship among MeanOffCor, MaxOffCor, and MIESS</w:t>
      </w:r>
      <w:bookmarkEnd w:id="38"/>
    </w:p>
    <w:p>
      <w:pPr>
        <w:pStyle w:val="BodyText"/>
        <w:spacing w:line="264" w:lineRule="auto"/>
        <w:rPr>
          <w:rFonts w:ascii="Calibri" w:hAnsi="Calibri" w:cs="Calibri"/>
          <w:sz w:val="22"/>
          <w:szCs w:val="22"/>
        </w:rPr>
      </w:pPr>
      <w:r>
        <w:rPr>
          <w:rFonts w:ascii="Calibri" w:hAnsi="Calibri" w:cs="Calibri"/>
          <w:sz w:val="22"/>
          <w:szCs w:val="22"/>
        </w:rPr>
        <w:t>MeanOffCor, MaxOffCor, and MIESS describe related but non-identical aspects of within-subset dependence.</w:t>
      </w:r>
    </w:p>
    <w:p>
      <w:pPr>
        <w:pStyle w:val="BodyText"/>
        <w:spacing w:line="264" w:lineRule="auto"/>
        <w:rPr>
          <w:rFonts w:ascii="Calibri" w:hAnsi="Calibri" w:cs="Calibri"/>
          <w:sz w:val="22"/>
          <w:szCs w:val="22"/>
        </w:rPr>
      </w:pPr>
      <w:r>
        <w:rPr>
          <w:rFonts w:ascii="Calibri" w:hAnsi="Calibri" w:cs="Calibri"/>
          <w:sz w:val="22"/>
          <w:szCs w:val="22"/>
        </w:rPr>
        <w:t>MeanOffCor asks: how correlated are species pairs on average?</w:t>
      </w:r>
    </w:p>
    <w:p>
      <w:pPr>
        <w:pStyle w:val="BodyText"/>
        <w:spacing w:line="264" w:lineRule="auto"/>
        <w:rPr>
          <w:rFonts w:ascii="Calibri" w:hAnsi="Calibri" w:cs="Calibri"/>
          <w:sz w:val="22"/>
          <w:szCs w:val="22"/>
        </w:rPr>
      </w:pPr>
      <w:r>
        <w:rPr>
          <w:rFonts w:ascii="Calibri" w:hAnsi="Calibri" w:cs="Calibri"/>
          <w:sz w:val="22"/>
          <w:szCs w:val="22"/>
        </w:rPr>
        <w:t>MaxOffCor asks: does the subset contain at least one strongly correlated species pair?</w:t>
      </w:r>
    </w:p>
    <w:p>
      <w:pPr>
        <w:pStyle w:val="BodyText"/>
        <w:spacing w:line="264" w:lineRule="auto"/>
        <w:rPr>
          <w:rFonts w:ascii="Calibri" w:hAnsi="Calibri" w:cs="Calibri"/>
          <w:sz w:val="22"/>
          <w:szCs w:val="22"/>
        </w:rPr>
      </w:pPr>
      <w:r>
        <w:rPr>
          <w:rFonts w:ascii="Calibri" w:hAnsi="Calibri" w:cs="Calibri"/>
          <w:sz w:val="22"/>
          <w:szCs w:val="22"/>
        </w:rPr>
        <w:t>MIESS asks: how many independent observations would provide the same precision for estimating an overall mean under the full correlation structure?</w:t>
      </w:r>
    </w:p>
    <w:p>
      <w:pPr>
        <w:pStyle w:val="BodyText"/>
        <w:spacing w:line="264" w:lineRule="auto"/>
        <w:rPr>
          <w:rFonts w:ascii="Calibri" w:hAnsi="Calibri" w:cs="Calibri"/>
          <w:sz w:val="22"/>
          <w:szCs w:val="22"/>
        </w:rPr>
      </w:pPr>
      <w:r>
        <w:rPr>
          <w:rFonts w:ascii="Calibri" w:hAnsi="Calibri" w:cs="Calibri"/>
          <w:sz w:val="22"/>
          <w:szCs w:val="22"/>
        </w:rPr>
        <w:t xml:space="preserve">The first two diagnostics are pairwise summaries of the off-diagonal entries of </w:t>
      </w:r>
      <w:r>
        <w:rPr>
          <w:rFonts w:ascii="Calibri" w:hAnsi="Calibri" w:cs="Calibri"/>
          <w:i/>
          <w:iCs/>
          <w:sz w:val="22"/>
          <w:szCs w:val="22"/>
        </w:rPr>
        <w:t>R</w:t>
      </w:r>
      <w:r>
        <w:rPr>
          <w:rFonts w:ascii="Calibri" w:hAnsi="Calibri" w:cs="Calibri"/>
          <w:i/>
          <w:iCs/>
          <w:sz w:val="22"/>
          <w:szCs w:val="22"/>
          <w:vertAlign w:val="subscript"/>
        </w:rPr>
        <w:t>S</w:t>
      </w:r>
      <w:r>
        <w:rPr>
          <w:rFonts w:ascii="Calibri" w:hAnsi="Calibri" w:cs="Calibri"/>
          <w:sz w:val="22"/>
          <w:szCs w:val="22"/>
        </w:rPr>
        <w:t xml:space="preserve">. MIESS, by contrast, uses the inverse of the full correlation matrix </w:t>
      </w:r>
      <m:oMath>
        <m:sSubSup>
          <m:sSubSupPr>
            <m:ctrlPr>
              <w:rPr>
                <w:rFonts w:ascii="Cambria Math" w:hAnsi="Cambria Math" w:cs="Calibri"/>
                <w: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w:rPr>
                <w:rFonts w:ascii="Cambria Math" w:hAnsi="Cambria Math" w:cs="Calibri"/>
                <w:sz w:val="22"/>
                <w:szCs w:val="22"/>
              </w:rPr>
              <m:t>-1</m:t>
            </m:r>
          </m:sup>
        </m:sSubSup>
      </m:oMath>
      <w:r>
        <w:rPr>
          <w:rFonts w:ascii="Calibri" w:hAnsi="Calibri" w:cs="Calibri"/>
          <w:sz w:val="22"/>
          <w:szCs w:val="22"/>
        </w:rPr>
        <w:t>. It therefore reflects the joint dependence structure of the subset rather than only the average or maximum pairwise correlation.</w:t>
      </w:r>
    </w:p>
    <w:p>
      <w:pPr>
        <w:pStyle w:val="BodyText"/>
        <w:spacing w:line="264" w:lineRule="auto"/>
        <w:rPr>
          <w:rFonts w:ascii="Calibri" w:hAnsi="Calibri" w:cs="Calibri"/>
          <w:sz w:val="22"/>
          <w:szCs w:val="22"/>
        </w:rPr>
      </w:pPr>
      <w:r>
        <w:rPr>
          <w:rFonts w:ascii="Calibri" w:hAnsi="Calibri" w:cs="Calibri"/>
          <w:sz w:val="22"/>
          <w:szCs w:val="22"/>
        </w:rPr>
        <w:t xml:space="preserve">These diagnostics are expected to move in consistent directions, but they are not mathematically identical. A subset with low MeanOffCor may still have a high MaxOffCor if it contains one closely related pair. Two </w:t>
      </w:r>
      <w:r>
        <w:rPr>
          <w:rFonts w:ascii="Calibri" w:hAnsi="Calibri" w:cs="Calibri"/>
          <w:sz w:val="22"/>
          <w:szCs w:val="22"/>
        </w:rPr>
        <w:lastRenderedPageBreak/>
        <w:t>subsets with similar MeanOffCor may have different MIESS values if their correlations are distributed differently across the matrix. For this reason, the three diagnostics were used together rather than treating any single number as a complete description of within-subset dependence.</w:t>
      </w:r>
    </w:p>
    <w:p>
      <w:pPr>
        <w:pStyle w:val="BodyText"/>
        <w:spacing w:line="264" w:lineRule="auto"/>
        <w:rPr>
          <w:rFonts w:ascii="Calibri" w:hAnsi="Calibri" w:cs="Calibri"/>
          <w:sz w:val="22"/>
          <w:szCs w:val="22"/>
        </w:rPr>
      </w:pPr>
      <w:r>
        <w:rPr>
          <w:rFonts w:ascii="Calibri" w:hAnsi="Calibri" w:cs="Calibri"/>
          <w:sz w:val="22"/>
          <w:szCs w:val="22"/>
        </w:rPr>
        <w:t>In the main text, lower MeanOffCor, lower MaxOffCor, and higher MIESS are interpreted as evidence of weaker within-subset phylogenetic dependence. For clustered contrast subsets, higher MeanOffCor, higher MaxOffCor, and lower MIESS are interpreted as evidence of stronger within-subset phylogenetic dependence.</w:t>
      </w:r>
    </w:p>
    <w:p>
      <w:pPr>
        <w:pStyle w:val="Heading2"/>
        <w:spacing w:before="120" w:line="264" w:lineRule="auto"/>
        <w:rPr>
          <w:rFonts w:ascii="Calibri" w:hAnsi="Calibri" w:cs="Calibri"/>
        </w:rPr>
      </w:pPr>
      <w:bookmarkStart w:id="39" w:name="Xa25f67fa957f5cc59084ba0872f0f370102da56"/>
      <w:bookmarkStart w:id="40" w:name="_Toc232605861"/>
      <w:bookmarkEnd w:id="36"/>
      <w:r>
        <w:rPr>
          <w:rFonts w:ascii="Calibri" w:hAnsi="Calibri" w:cs="Calibri"/>
        </w:rPr>
        <w:t>A1.15. What MIESS is useful for in our setting</w:t>
      </w:r>
      <w:bookmarkEnd w:id="40"/>
    </w:p>
    <w:p>
      <w:pPr>
        <w:pStyle w:val="FirstParagraph"/>
        <w:spacing w:line="264" w:lineRule="auto"/>
        <w:rPr>
          <w:rFonts w:ascii="Calibri" w:hAnsi="Calibri" w:cs="Calibri"/>
          <w:sz w:val="22"/>
          <w:szCs w:val="22"/>
        </w:rPr>
      </w:pPr>
      <w:r>
        <w:rPr>
          <w:rFonts w:ascii="Calibri" w:hAnsi="Calibri" w:cs="Calibri"/>
          <w:sz w:val="22"/>
          <w:szCs w:val="22"/>
        </w:rPr>
        <w:t>In our framework, MIESS is not intended to replace the distance-based subset criteria or the direct correlation-based summaries. Rather, it provides an additional and very interpretable, structure-based summary of the within-subset dependence structure.</w:t>
      </w:r>
    </w:p>
    <w:p>
      <w:pPr>
        <w:pStyle w:val="BodyText"/>
        <w:spacing w:line="264" w:lineRule="auto"/>
        <w:rPr>
          <w:rFonts w:ascii="Calibri" w:hAnsi="Calibri" w:cs="Calibri"/>
          <w:sz w:val="22"/>
          <w:szCs w:val="22"/>
        </w:rPr>
      </w:pPr>
      <w:r>
        <w:rPr>
          <w:rFonts w:ascii="Calibri" w:hAnsi="Calibri" w:cs="Calibri"/>
          <w:sz w:val="22"/>
          <w:szCs w:val="22"/>
        </w:rPr>
        <w:t>Specifically, it answers the following question:</w:t>
      </w:r>
    </w:p>
    <w:p>
      <w:pPr>
        <w:pStyle w:val="BodyText"/>
        <w:spacing w:line="264" w:lineRule="auto"/>
        <w:rPr>
          <w:rFonts w:ascii="Calibri" w:hAnsi="Calibri" w:cs="Calibri"/>
          <w:sz w:val="22"/>
          <w:szCs w:val="22"/>
        </w:rPr>
      </w:pPr>
      <w:r>
        <w:rPr>
          <w:rFonts w:ascii="Calibri" w:hAnsi="Calibri" w:cs="Calibri"/>
          <w:sz w:val="22"/>
          <w:szCs w:val="22"/>
        </w:rPr>
        <w:t>If a hypothetical trait followed the assumed within-subset correlation structure, and if the goal were to estimate its overall mean from this subset, how many independent observations would provide the same precision as the actual correlated subset?</w:t>
      </w:r>
    </w:p>
    <w:p>
      <w:pPr>
        <w:pStyle w:val="BodyText"/>
        <w:spacing w:line="264" w:lineRule="auto"/>
        <w:rPr>
          <w:rFonts w:ascii="Calibri" w:hAnsi="Calibri" w:cs="Calibri"/>
          <w:sz w:val="22"/>
          <w:szCs w:val="22"/>
        </w:rPr>
      </w:pPr>
      <w:r>
        <w:rPr>
          <w:rFonts w:ascii="Calibri" w:hAnsi="Calibri" w:cs="Calibri"/>
          <w:sz w:val="22"/>
          <w:szCs w:val="22"/>
        </w:rPr>
        <w:t>That is a limited question, but it is also a meaningful and intuitive one. For readers who want a single number with a familiar sample-size interpretation, MIESS can be more accessible than a full matrix summary.</w:t>
      </w:r>
    </w:p>
    <w:p>
      <w:pPr>
        <w:pStyle w:val="BodyText"/>
        <w:spacing w:line="264" w:lineRule="auto"/>
        <w:rPr>
          <w:rFonts w:ascii="Calibri" w:hAnsi="Calibri" w:cs="Calibri"/>
          <w:sz w:val="22"/>
          <w:szCs w:val="22"/>
        </w:rPr>
      </w:pPr>
      <w:r>
        <w:rPr>
          <w:rFonts w:ascii="Calibri" w:hAnsi="Calibri" w:cs="Calibri"/>
          <w:sz w:val="22"/>
          <w:szCs w:val="22"/>
        </w:rPr>
        <w:t>At the same time, MIESS should be interpreted with care. A subset could have the same MIESS as another subset while differing in other aspects of its dependence structure. Therefore, this quantity should be viewed as one interpretable summary, not as a complete replacement for all other summaries.</w:t>
      </w:r>
    </w:p>
    <w:p>
      <w:pPr>
        <w:pStyle w:val="Heading2"/>
        <w:spacing w:before="120" w:line="264" w:lineRule="auto"/>
        <w:rPr>
          <w:rFonts w:ascii="Calibri" w:hAnsi="Calibri" w:cs="Calibri"/>
        </w:rPr>
      </w:pPr>
      <w:bookmarkStart w:id="41" w:name="_Toc232605862"/>
      <w:r>
        <w:rPr>
          <w:rFonts w:ascii="Calibri" w:hAnsi="Calibri" w:cs="Calibri"/>
        </w:rPr>
        <w:t>A1.16. Why trait-level phylogenetic signal metrics were not used as subset-dependence diagnostics</w:t>
      </w:r>
      <w:bookmarkEnd w:id="41"/>
    </w:p>
    <w:p>
      <w:pPr>
        <w:pStyle w:val="BodyText"/>
        <w:spacing w:line="264" w:lineRule="auto"/>
        <w:rPr>
          <w:rFonts w:ascii="Calibri" w:hAnsi="Calibri" w:cs="Calibri"/>
          <w:sz w:val="22"/>
          <w:szCs w:val="22"/>
        </w:rPr>
      </w:pPr>
      <w:r>
        <w:rPr>
          <w:rFonts w:ascii="Calibri" w:hAnsi="Calibri" w:cs="Calibri"/>
          <w:sz w:val="22"/>
          <w:szCs w:val="22"/>
        </w:rPr>
        <w:t xml:space="preserve">Trait-level phylogenetic signal metrics, including Pagel’s </w:t>
      </w:r>
      <w:r>
        <w:rPr>
          <w:rFonts w:ascii="Calibri" w:hAnsi="Calibri" w:cs="Calibri"/>
          <w:i/>
          <w:iCs/>
          <w:sz w:val="22"/>
          <w:szCs w:val="22"/>
          <w:lang w:eastAsia="zh-CN"/>
        </w:rPr>
        <w:t>λ</w:t>
      </w:r>
      <w:r>
        <w:rPr>
          <w:rFonts w:ascii="Calibri" w:hAnsi="Calibri" w:cs="Calibri"/>
          <w:sz w:val="22"/>
          <w:szCs w:val="22"/>
        </w:rPr>
        <w:t xml:space="preserve"> and Blomberg’s </w:t>
      </w:r>
      <w:r>
        <w:rPr>
          <w:rFonts w:ascii="Calibri" w:hAnsi="Calibri" w:cs="Calibri"/>
          <w:i/>
          <w:iCs/>
          <w:sz w:val="22"/>
          <w:szCs w:val="22"/>
        </w:rPr>
        <w:t xml:space="preserve">K </w:t>
      </w:r>
      <w:r>
        <w:rPr>
          <w:rFonts w:ascii="Calibri" w:hAnsi="Calibri" w:cs="Calibri"/>
          <w:sz w:val="22"/>
          <w:szCs w:val="22"/>
        </w:rPr>
        <w:t>(Pagel 1999, Blomberg et al. 2003), were not used as criteria for comparing within-subset dependence because they address a different question. These metrics evaluate how strongly a particular observed trait conforms to phylogenetic expectations under a specified model, whereas the diagnostics used here quantify the dependence structure among the species in a selected subset.</w:t>
      </w:r>
    </w:p>
    <w:p>
      <w:pPr>
        <w:pStyle w:val="BodyText"/>
        <w:spacing w:line="264" w:lineRule="auto"/>
        <w:rPr>
          <w:rFonts w:ascii="Calibri" w:hAnsi="Calibri" w:cs="Calibri"/>
          <w:sz w:val="22"/>
          <w:szCs w:val="22"/>
        </w:rPr>
      </w:pPr>
      <w:r>
        <w:rPr>
          <w:rFonts w:ascii="Calibri" w:hAnsi="Calibri" w:cs="Calibri"/>
          <w:sz w:val="22"/>
          <w:szCs w:val="22"/>
        </w:rPr>
        <w:t xml:space="preserve">This distinction can be illustrated using Pagel’s </w:t>
      </w:r>
      <w:r>
        <w:rPr>
          <w:rFonts w:ascii="Calibri" w:hAnsi="Calibri" w:cs="Calibri"/>
          <w:i/>
          <w:iCs/>
          <w:sz w:val="22"/>
          <w:szCs w:val="22"/>
          <w:lang w:eastAsia="zh-CN"/>
        </w:rPr>
        <w:t>λ</w:t>
      </w:r>
      <w:r>
        <w:rPr>
          <w:rFonts w:ascii="Calibri" w:hAnsi="Calibri" w:cs="Calibri"/>
          <w:sz w:val="22"/>
          <w:szCs w:val="22"/>
        </w:rPr>
        <w:t xml:space="preserve">. Suppose a trait is generated exactly under a BM model, corresponding to the </w:t>
      </w:r>
      <w:r>
        <w:rPr>
          <w:rFonts w:ascii="Calibri" w:hAnsi="Calibri" w:cs="Calibri"/>
          <w:i/>
          <w:iCs/>
          <w:sz w:val="22"/>
          <w:szCs w:val="22"/>
          <w:lang w:eastAsia="zh-CN"/>
        </w:rPr>
        <w:t>λ</w:t>
      </w:r>
      <w:r>
        <w:rPr>
          <w:rFonts w:ascii="Calibri" w:hAnsi="Calibri" w:cs="Calibri"/>
          <w:sz w:val="22"/>
          <w:szCs w:val="22"/>
        </w:rPr>
        <w:t xml:space="preserve"> covariance structure on the full tree. If we then examine two different subsets of the same tree, one phylogenetically dispersed and the other phylogenetically clustered, restricting the data to either subset does not change the generating process itself. The expected covariance structure within each subset is still the BM covariance matrix for that subset, corresponding to </w:t>
      </w:r>
      <w:r>
        <w:rPr>
          <w:rFonts w:ascii="Calibri" w:hAnsi="Calibri" w:cs="Calibri"/>
          <w:i/>
          <w:iCs/>
          <w:sz w:val="22"/>
          <w:szCs w:val="22"/>
          <w:lang w:eastAsia="zh-CN"/>
        </w:rPr>
        <w:t>λ</w:t>
      </w:r>
      <w:r>
        <w:rPr>
          <w:rFonts w:ascii="Calibri" w:hAnsi="Calibri" w:cs="Calibri"/>
          <w:sz w:val="22"/>
          <w:szCs w:val="22"/>
        </w:rPr>
        <w:t xml:space="preserve"> = 1. However, their absolute within-subset dependence can be very different. The clustered subset may contain species with high pairwise correlations because they share recent ancestry, whereas the dispersed subset may contain species with much lower pairwise correlations because they are drawn from more distant parts of the tree.</w:t>
      </w:r>
    </w:p>
    <w:p>
      <w:pPr>
        <w:pStyle w:val="BodyText"/>
        <w:spacing w:line="264" w:lineRule="auto"/>
        <w:rPr>
          <w:rFonts w:ascii="Calibri" w:hAnsi="Calibri" w:cs="Calibri"/>
          <w:sz w:val="22"/>
          <w:szCs w:val="22"/>
        </w:rPr>
      </w:pPr>
      <w:r>
        <w:rPr>
          <w:rFonts w:ascii="Calibri" w:hAnsi="Calibri" w:cs="Calibri"/>
          <w:sz w:val="22"/>
          <w:szCs w:val="22"/>
        </w:rPr>
        <w:t xml:space="preserve">Thus, two subsets can have the same theoretical value of </w:t>
      </w:r>
      <w:r>
        <w:rPr>
          <w:rFonts w:ascii="Calibri" w:hAnsi="Calibri" w:cs="Calibri"/>
          <w:i/>
          <w:iCs/>
          <w:sz w:val="22"/>
          <w:szCs w:val="22"/>
          <w:lang w:eastAsia="zh-CN"/>
        </w:rPr>
        <w:t>λ</w:t>
      </w:r>
      <w:r>
        <w:rPr>
          <w:rFonts w:ascii="Calibri" w:hAnsi="Calibri" w:cs="Calibri"/>
          <w:sz w:val="22"/>
          <w:szCs w:val="22"/>
        </w:rPr>
        <w:t xml:space="preserve"> under the generating model while differing greatly in MeanOffCor, MaxOffCor, and MIESS. Pagel’s </w:t>
      </w:r>
      <w:r>
        <w:rPr>
          <w:rFonts w:ascii="Calibri" w:hAnsi="Calibri" w:cs="Calibri"/>
          <w:i/>
          <w:iCs/>
          <w:sz w:val="22"/>
          <w:szCs w:val="22"/>
          <w:lang w:eastAsia="zh-CN"/>
        </w:rPr>
        <w:t>λ</w:t>
      </w:r>
      <w:r>
        <w:rPr>
          <w:rFonts w:ascii="Calibri" w:hAnsi="Calibri" w:cs="Calibri"/>
          <w:sz w:val="22"/>
          <w:szCs w:val="22"/>
        </w:rPr>
        <w:t xml:space="preserve"> describes how the off-diagonal covariance structure of an observed trait compares with a BM expectation on a given tree; it does not directly measure the absolute magnitude of correlation among the species in a subset. Similarly, Blomberg’s (K) evaluates </w:t>
      </w:r>
      <w:r>
        <w:rPr>
          <w:rFonts w:ascii="Calibri" w:hAnsi="Calibri" w:cs="Calibri"/>
          <w:sz w:val="22"/>
          <w:szCs w:val="22"/>
        </w:rPr>
        <w:lastRenderedPageBreak/>
        <w:t>observed trait variation relative to BM expectations, rather than directly summarizing the subset’s internal covariance or correlation structure.</w:t>
      </w:r>
    </w:p>
    <w:p>
      <w:pPr>
        <w:pStyle w:val="BodyText"/>
        <w:spacing w:line="264" w:lineRule="auto"/>
        <w:rPr>
          <w:rFonts w:ascii="Calibri" w:hAnsi="Calibri" w:cs="Calibri"/>
          <w:sz w:val="22"/>
          <w:szCs w:val="22"/>
        </w:rPr>
      </w:pPr>
      <w:r>
        <w:rPr>
          <w:rFonts w:ascii="Calibri" w:hAnsi="Calibri" w:cs="Calibri"/>
          <w:sz w:val="22"/>
          <w:szCs w:val="22"/>
        </w:rPr>
        <w:t>This distinction is especially important in the present study because our goal is not to evaluate the phylogenetic signal of a particular trait. Instead, we ask how much internal phylogenetic dependence remains within dispersed, random, and clustered species subsets, and how much effective information those subsets contain under a specified model-implied correlation structure. A subset can therefore have strong tree-induced dependence even when no particular measured trait is being analyzed, and different subsets can differ substantially in their internal dependence even when the same trait-generating model applies to all of them.</w:t>
      </w:r>
    </w:p>
    <w:p>
      <w:pPr>
        <w:pStyle w:val="BodyText"/>
        <w:spacing w:line="264" w:lineRule="auto"/>
        <w:rPr>
          <w:rFonts w:ascii="Calibri" w:hAnsi="Calibri" w:cs="Calibri"/>
          <w:sz w:val="22"/>
          <w:szCs w:val="22"/>
        </w:rPr>
      </w:pPr>
      <w:r>
        <w:rPr>
          <w:rFonts w:ascii="Calibri" w:hAnsi="Calibri" w:cs="Calibri"/>
          <w:sz w:val="22"/>
          <w:szCs w:val="22"/>
        </w:rPr>
        <w:t>For this reason, trait-level phylogenetic signal metrics are not appropriate as direct criteria for comparing the internal dependence of dispersed, random, and clustered subsets. The present study instead uses distance-based criteria for subset construction and model-implied correlation diagnostics, including MeanOffCor, MaxOffCor, and MIESS, to quantify the resulting within-subset dependence.</w:t>
      </w:r>
    </w:p>
    <w:p>
      <w:pPr>
        <w:pStyle w:val="Heading2"/>
        <w:spacing w:before="120" w:line="264" w:lineRule="auto"/>
        <w:rPr>
          <w:rFonts w:ascii="Calibri" w:hAnsi="Calibri" w:cs="Calibri"/>
        </w:rPr>
      </w:pPr>
      <w:bookmarkStart w:id="42" w:name="a-concise-summary-of-the-derivation"/>
      <w:bookmarkStart w:id="43" w:name="_Toc232605863"/>
      <w:bookmarkEnd w:id="39"/>
      <w:r>
        <w:rPr>
          <w:rFonts w:ascii="Calibri" w:hAnsi="Calibri" w:cs="Calibri"/>
          <w:lang w:eastAsia="zh-CN"/>
        </w:rPr>
        <w:t>A</w:t>
      </w:r>
      <w:r>
        <w:rPr>
          <w:rFonts w:ascii="Calibri" w:hAnsi="Calibri" w:cs="Calibri"/>
        </w:rPr>
        <w:t>1.17. A concise summary of the derivation</w:t>
      </w:r>
      <w:bookmarkEnd w:id="43"/>
    </w:p>
    <w:p>
      <w:pPr>
        <w:pStyle w:val="FirstParagraph"/>
        <w:spacing w:line="264" w:lineRule="auto"/>
        <w:rPr>
          <w:rFonts w:ascii="Calibri" w:hAnsi="Calibri" w:cs="Calibri"/>
          <w:sz w:val="22"/>
          <w:szCs w:val="22"/>
        </w:rPr>
      </w:pPr>
      <w:r>
        <w:rPr>
          <w:rFonts w:ascii="Calibri" w:hAnsi="Calibri" w:cs="Calibri"/>
          <w:sz w:val="22"/>
          <w:szCs w:val="22"/>
        </w:rPr>
        <w:t>For readers who want the logic in one place, the derivation of MIESS can be summarized as follows:</w:t>
      </w:r>
    </w:p>
    <w:p>
      <w:pPr>
        <w:pStyle w:val="Compact"/>
        <w:numPr>
          <w:ilvl w:val="0"/>
          <w:numId w:val="1"/>
        </w:numPr>
        <w:spacing w:line="264" w:lineRule="auto"/>
        <w:rPr>
          <w:rFonts w:ascii="Calibri" w:hAnsi="Calibri" w:cs="Calibri"/>
          <w:sz w:val="22"/>
          <w:szCs w:val="22"/>
        </w:rPr>
      </w:pPr>
      <w:r>
        <w:rPr>
          <w:rFonts w:ascii="Calibri" w:hAnsi="Calibri" w:cs="Calibri"/>
          <w:sz w:val="22"/>
          <w:szCs w:val="22"/>
        </w:rPr>
        <w:t>Assume the intercept-only model</w:t>
      </w:r>
    </w:p>
    <w:p>
      <w:pPr>
        <w:pStyle w:val="FirstParagraph"/>
        <w:spacing w:line="264" w:lineRule="auto"/>
        <w:rPr>
          <w:rFonts w:ascii="Calibri" w:hAnsi="Calibri" w:cs="Calibri"/>
          <w:sz w:val="22"/>
          <w:szCs w:val="22"/>
        </w:rPr>
      </w:pPr>
      <m:oMathPara>
        <m:oMathParaPr>
          <m:jc m:val="center"/>
        </m:oMathParaPr>
        <m:oMath>
          <m:r>
            <m:rPr>
              <m:sty m:val="b"/>
            </m:rP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μ</m:t>
          </m:r>
          <m:r>
            <m:rPr>
              <m:sty m:val="b"/>
            </m:rPr>
            <w:rPr>
              <w:rFonts w:ascii="Cambria Math" w:hAnsi="Cambria Math" w:cs="Calibri"/>
              <w:sz w:val="22"/>
              <w:szCs w:val="22"/>
            </w:rPr>
            <m:t>1</m:t>
          </m:r>
          <m:r>
            <m:rPr>
              <m:sty m:val="p"/>
            </m:rPr>
            <w:rPr>
              <w:rFonts w:ascii="Cambria Math" w:hAnsi="Cambria Math" w:cs="Calibri"/>
              <w:sz w:val="22"/>
              <w:szCs w:val="22"/>
            </w:rPr>
            <m:t>+</m:t>
          </m:r>
          <m:r>
            <m:rPr>
              <m:sty m:val="b"/>
            </m:rPr>
            <w:rPr>
              <w:rFonts w:ascii="Cambria Math" w:hAnsi="Cambria Math" w:cs="Calibri"/>
              <w:sz w:val="22"/>
              <w:szCs w:val="22"/>
            </w:rPr>
            <m:t>ε</m:t>
          </m:r>
          <m:r>
            <m:rPr>
              <m:sty m:val="p"/>
            </m:rPr>
            <w:rPr>
              <w:rFonts w:ascii="Cambria Math" w:hAnsi="Cambria Math" w:cs="Calibri"/>
              <w:sz w:val="22"/>
              <w:szCs w:val="22"/>
            </w:rPr>
            <m:t>,</m:t>
          </m:r>
          <m:r>
            <w:rPr>
              <w:rFonts w:ascii="Cambria Math" w:hAnsi="Cambria Math" w:cs="Calibri"/>
              <w:sz w:val="22"/>
              <w:szCs w:val="22"/>
            </w:rPr>
            <m:t>  </m:t>
          </m:r>
          <m:r>
            <m:rPr>
              <m:sty m:val="p"/>
            </m:rPr>
            <w:rPr>
              <w:rFonts w:ascii="Cambria Math" w:hAnsi="Cambria Math" w:cs="Calibri"/>
              <w:sz w:val="22"/>
              <w:szCs w:val="22"/>
            </w:rPr>
            <m:t>Var</m:t>
          </m:r>
          <m:d>
            <m:dPr>
              <m:ctrlPr>
                <w:rPr>
                  <w:rFonts w:ascii="Cambria Math" w:hAnsi="Cambria Math" w:cs="Calibri"/>
                  <w:sz w:val="22"/>
                  <w:szCs w:val="22"/>
                </w:rPr>
              </m:ctrlPr>
            </m:dPr>
            <m:e>
              <m:r>
                <m:rPr>
                  <m:sty m:val="b"/>
                </m:rPr>
                <w:rPr>
                  <w:rFonts w:ascii="Cambria Math" w:hAnsi="Cambria Math" w:cs="Calibri"/>
                  <w:sz w:val="22"/>
                  <w:szCs w:val="22"/>
                </w:rPr>
                <m:t>ε</m:t>
              </m:r>
            </m:e>
          </m:d>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sSub>
            <m:sSubPr>
              <m:ctrlPr>
                <w:rPr>
                  <w:rFonts w:ascii="Cambria Math" w:hAnsi="Cambria Math" w:cs="Calibri"/>
                  <w:sz w:val="22"/>
                  <w:szCs w:val="22"/>
                </w:rPr>
              </m:ctrlPr>
            </m:sSubPr>
            <m:e>
              <m:r>
                <w:rPr>
                  <w:rFonts w:ascii="Cambria Math" w:hAnsi="Cambria Math" w:cs="Calibri"/>
                  <w:sz w:val="22"/>
                  <w:szCs w:val="22"/>
                </w:rPr>
                <m:t>R</m:t>
              </m:r>
            </m:e>
            <m:sub>
              <m:r>
                <w:rPr>
                  <w:rFonts w:ascii="Cambria Math" w:hAnsi="Cambria Math" w:cs="Calibri"/>
                  <w:sz w:val="22"/>
                  <w:szCs w:val="22"/>
                </w:rPr>
                <m:t>S</m:t>
              </m:r>
            </m:sub>
          </m:sSub>
          <m:r>
            <m:rPr>
              <m:sty m:val="p"/>
            </m:rPr>
            <w:rPr>
              <w:rFonts w:ascii="Cambria Math" w:hAnsi="Cambria Math" w:cs="Calibri"/>
              <w:sz w:val="22"/>
              <w:szCs w:val="22"/>
            </w:rPr>
            <m:t>.</m:t>
          </m:r>
        </m:oMath>
      </m:oMathPara>
    </w:p>
    <w:p>
      <w:pPr>
        <w:pStyle w:val="Compact"/>
        <w:keepNext/>
        <w:numPr>
          <w:ilvl w:val="0"/>
          <w:numId w:val="2"/>
        </w:numPr>
        <w:spacing w:line="264" w:lineRule="auto"/>
        <w:rPr>
          <w:rFonts w:ascii="Calibri" w:hAnsi="Calibri" w:cs="Calibri"/>
          <w:sz w:val="22"/>
          <w:szCs w:val="22"/>
        </w:rPr>
      </w:pPr>
      <w:r>
        <w:rPr>
          <w:rFonts w:ascii="Calibri" w:hAnsi="Calibri" w:cs="Calibri"/>
          <w:sz w:val="22"/>
          <w:szCs w:val="22"/>
        </w:rPr>
        <w:t xml:space="preserve">Under GLS, the estimator of </w:t>
      </w:r>
      <m:oMath>
        <m:r>
          <w:rPr>
            <w:rFonts w:ascii="Cambria Math" w:hAnsi="Cambria Math" w:cs="Calibri"/>
            <w:sz w:val="22"/>
            <w:szCs w:val="22"/>
          </w:rPr>
          <m:t>μ</m:t>
        </m:r>
      </m:oMath>
      <w:r>
        <w:rPr>
          <w:rFonts w:ascii="Calibri" w:hAnsi="Calibri" w:cs="Calibri"/>
          <w:sz w:val="22"/>
          <w:szCs w:val="22"/>
        </w:rPr>
        <w:t xml:space="preserve"> has variance</w:t>
      </w:r>
    </w:p>
    <w:p>
      <w:pPr>
        <w:pStyle w:val="FirstParagraph"/>
        <w:keepNext/>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Var</m:t>
          </m:r>
          <m:d>
            <m:dPr>
              <m:ctrlPr>
                <w:rPr>
                  <w:rFonts w:ascii="Cambria Math" w:hAnsi="Cambria Math" w:cs="Calibri"/>
                  <w:sz w:val="22"/>
                  <w:szCs w:val="22"/>
                </w:rPr>
              </m:ctrlPr>
            </m:dPr>
            <m:e>
              <m:sSub>
                <m:sSubPr>
                  <m:ctrlPr>
                    <w:rPr>
                      <w:rFonts w:ascii="Cambria Math" w:hAnsi="Cambria Math" w:cs="Calibri"/>
                      <w:sz w:val="22"/>
                      <w:szCs w:val="22"/>
                    </w:rPr>
                  </m:ctrlPr>
                </m:sSubPr>
                <m:e>
                  <m:acc>
                    <m:accPr>
                      <m:ctrlPr>
                        <w:rPr>
                          <w:rFonts w:ascii="Cambria Math" w:hAnsi="Cambria Math" w:cs="Calibri"/>
                          <w:sz w:val="22"/>
                          <w:szCs w:val="22"/>
                        </w:rPr>
                      </m:ctrlPr>
                    </m:accPr>
                    <m:e>
                      <m:r>
                        <w:rPr>
                          <w:rFonts w:ascii="Cambria Math" w:hAnsi="Cambria Math" w:cs="Calibri"/>
                          <w:sz w:val="22"/>
                          <w:szCs w:val="22"/>
                        </w:rPr>
                        <m:t>μ</m:t>
                      </m:r>
                    </m:e>
                  </m:acc>
                </m:e>
                <m:sub>
                  <m:r>
                    <m:rPr>
                      <m:sty m:val="p"/>
                    </m:rPr>
                    <w:rPr>
                      <w:rFonts w:ascii="Cambria Math" w:hAnsi="Cambria Math" w:cs="Calibri"/>
                      <w:sz w:val="22"/>
                      <w:szCs w:val="22"/>
                    </w:rPr>
                    <m:t>GLS</m:t>
                  </m:r>
                </m:sub>
              </m:sSub>
            </m:e>
          </m:d>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oMath>
      </m:oMathPara>
    </w:p>
    <w:p>
      <w:pPr>
        <w:pStyle w:val="Compact"/>
        <w:keepNext/>
        <w:numPr>
          <w:ilvl w:val="0"/>
          <w:numId w:val="3"/>
        </w:numPr>
        <w:spacing w:line="264" w:lineRule="auto"/>
        <w:rPr>
          <w:rFonts w:ascii="Calibri" w:hAnsi="Calibri" w:cs="Calibri"/>
          <w:sz w:val="22"/>
          <w:szCs w:val="22"/>
        </w:rPr>
      </w:pPr>
      <w:r>
        <w:rPr>
          <w:rFonts w:ascii="Calibri" w:hAnsi="Calibri" w:cs="Calibri"/>
          <w:sz w:val="22"/>
          <w:szCs w:val="22"/>
        </w:rPr>
        <w:t xml:space="preserve">For </w:t>
      </w:r>
      <m:oMath>
        <m:r>
          <w:rPr>
            <w:rFonts w:ascii="Cambria Math" w:hAnsi="Cambria Math" w:cs="Calibri"/>
            <w:sz w:val="22"/>
            <w:szCs w:val="22"/>
          </w:rPr>
          <m:t>n</m:t>
        </m:r>
      </m:oMath>
      <w:r>
        <w:rPr>
          <w:rFonts w:ascii="Calibri" w:hAnsi="Calibri" w:cs="Calibri"/>
          <w:sz w:val="22"/>
          <w:szCs w:val="22"/>
        </w:rPr>
        <w:t xml:space="preserve"> independent observations with common variance </w:t>
      </w:r>
      <m:oMath>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oMath>
      <w:r>
        <w:rPr>
          <w:rFonts w:ascii="Calibri" w:hAnsi="Calibri" w:cs="Calibri"/>
          <w:sz w:val="22"/>
          <w:szCs w:val="22"/>
        </w:rPr>
        <w:t>, the variance of the sample mean is</w:t>
      </w:r>
    </w:p>
    <w:p>
      <w:pPr>
        <w:pStyle w:val="FirstParagraph"/>
        <w:keepNext/>
        <w:spacing w:line="264" w:lineRule="auto"/>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r>
                <w:rPr>
                  <w:rFonts w:ascii="Cambria Math" w:hAnsi="Cambria Math" w:cs="Calibri"/>
                  <w:sz w:val="22"/>
                  <w:szCs w:val="22"/>
                </w:rPr>
                <m:t>n</m:t>
              </m:r>
            </m:den>
          </m:f>
          <m:r>
            <m:rPr>
              <m:sty m:val="p"/>
            </m:rPr>
            <w:rPr>
              <w:rFonts w:ascii="Cambria Math" w:hAnsi="Cambria Math" w:cs="Calibri"/>
              <w:sz w:val="22"/>
              <w:szCs w:val="22"/>
            </w:rPr>
            <m:t>.</m:t>
          </m:r>
        </m:oMath>
      </m:oMathPara>
    </w:p>
    <w:p>
      <w:pPr>
        <w:pStyle w:val="Compact"/>
        <w:numPr>
          <w:ilvl w:val="0"/>
          <w:numId w:val="4"/>
        </w:numPr>
        <w:spacing w:line="264" w:lineRule="auto"/>
        <w:rPr>
          <w:rFonts w:ascii="Calibri" w:hAnsi="Calibri" w:cs="Calibri"/>
          <w:sz w:val="22"/>
          <w:szCs w:val="22"/>
        </w:rPr>
      </w:pPr>
      <w:r>
        <w:rPr>
          <w:rFonts w:ascii="Calibri" w:hAnsi="Calibri" w:cs="Calibri"/>
          <w:sz w:val="22"/>
          <w:szCs w:val="22"/>
        </w:rPr>
        <w:t>Define the mean-based independence-equivalent sample size by requiring these two variances to be equal:</w:t>
      </w:r>
    </w:p>
    <w:p>
      <w:pPr>
        <w:pStyle w:val="FirstParagraph"/>
        <w:spacing w:line="264" w:lineRule="auto"/>
        <w:rPr>
          <w:rFonts w:ascii="Calibri" w:hAnsi="Calibri" w:cs="Calibri"/>
          <w:sz w:val="22"/>
          <w:szCs w:val="22"/>
        </w:rPr>
      </w:pPr>
      <m:oMathPara>
        <m:oMathParaPr>
          <m:jc m:val="center"/>
        </m:oMathParaPr>
        <m:oMath>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den>
          </m:f>
          <m:r>
            <m:rPr>
              <m:sty m:val="p"/>
            </m:rPr>
            <w:rPr>
              <w:rFonts w:ascii="Cambria Math" w:hAnsi="Cambria Math" w:cs="Calibri"/>
              <w:sz w:val="22"/>
              <w:szCs w:val="22"/>
            </w:rPr>
            <m:t>=</m:t>
          </m:r>
          <m:f>
            <m:fPr>
              <m:ctrlPr>
                <w:rPr>
                  <w:rFonts w:ascii="Cambria Math" w:hAnsi="Cambria Math" w:cs="Calibri"/>
                  <w:sz w:val="22"/>
                  <w:szCs w:val="22"/>
                </w:rPr>
              </m:ctrlPr>
            </m:fPr>
            <m:num>
              <m:sSup>
                <m:sSupPr>
                  <m:ctrlPr>
                    <w:rPr>
                      <w:rFonts w:ascii="Cambria Math" w:hAnsi="Cambria Math" w:cs="Calibri"/>
                      <w:sz w:val="22"/>
                      <w:szCs w:val="22"/>
                    </w:rPr>
                  </m:ctrlPr>
                </m:sSupPr>
                <m:e>
                  <m:r>
                    <w:rPr>
                      <w:rFonts w:ascii="Cambria Math" w:hAnsi="Cambria Math" w:cs="Calibri"/>
                      <w:sz w:val="22"/>
                      <w:szCs w:val="22"/>
                    </w:rPr>
                    <m:t>σ</m:t>
                  </m:r>
                </m:e>
                <m:sup>
                  <m:r>
                    <w:rPr>
                      <w:rFonts w:ascii="Cambria Math" w:hAnsi="Cambria Math" w:cs="Calibri"/>
                      <w:sz w:val="22"/>
                      <w:szCs w:val="22"/>
                    </w:rPr>
                    <m:t>2</m:t>
                  </m:r>
                </m:sup>
              </m:sSup>
            </m:num>
            <m:den>
              <m:sSub>
                <m:sSubPr>
                  <m:ctrlPr>
                    <w:rPr>
                      <w:rFonts w:ascii="Cambria Math" w:hAnsi="Cambria Math" w:cs="Calibri"/>
                      <w:sz w:val="22"/>
                      <w:szCs w:val="22"/>
                    </w:rPr>
                  </m:ctrlPr>
                </m:sSubPr>
                <m:e>
                  <m:r>
                    <w:rPr>
                      <w:rFonts w:ascii="Cambria Math" w:hAnsi="Cambria Math" w:cs="Calibri"/>
                      <w:sz w:val="22"/>
                      <w:szCs w:val="22"/>
                    </w:rPr>
                    <m:t>n</m:t>
                  </m:r>
                </m:e>
                <m:sub>
                  <m:r>
                    <m:rPr>
                      <m:sty m:val="p"/>
                    </m:rPr>
                    <w:rPr>
                      <w:rFonts w:ascii="Cambria Math" w:hAnsi="Cambria Math" w:cs="Calibri"/>
                      <w:sz w:val="22"/>
                      <w:szCs w:val="22"/>
                    </w:rPr>
                    <m:t>eff</m:t>
                  </m:r>
                </m:sub>
              </m:sSub>
            </m:den>
          </m:f>
          <m:r>
            <m:rPr>
              <m:sty m:val="p"/>
            </m:rPr>
            <w:rPr>
              <w:rFonts w:ascii="Cambria Math" w:hAnsi="Cambria Math" w:cs="Calibri"/>
              <w:sz w:val="22"/>
              <w:szCs w:val="22"/>
            </w:rPr>
            <m:t>.</m:t>
          </m:r>
        </m:oMath>
      </m:oMathPara>
    </w:p>
    <w:p>
      <w:pPr>
        <w:pStyle w:val="Compact"/>
        <w:numPr>
          <w:ilvl w:val="0"/>
          <w:numId w:val="5"/>
        </w:numPr>
        <w:spacing w:line="264" w:lineRule="auto"/>
        <w:rPr>
          <w:rFonts w:ascii="Calibri" w:hAnsi="Calibri" w:cs="Calibri"/>
          <w:sz w:val="22"/>
          <w:szCs w:val="22"/>
        </w:rPr>
      </w:pPr>
      <w:r>
        <w:rPr>
          <w:rFonts w:ascii="Calibri" w:hAnsi="Calibri" w:cs="Calibri"/>
          <w:sz w:val="22"/>
          <w:szCs w:val="22"/>
        </w:rPr>
        <w:t>Solving gives:</w:t>
      </w:r>
    </w:p>
    <w:p>
      <w:pPr>
        <w:pStyle w:val="FirstParagraph"/>
        <w:spacing w:line="264" w:lineRule="auto"/>
        <w:rPr>
          <w:rFonts w:ascii="Calibri" w:hAnsi="Calibri" w:cs="Calibri"/>
          <w:sz w:val="22"/>
          <w:szCs w:val="22"/>
        </w:rPr>
      </w:pPr>
      <m:oMathPara>
        <m:oMathParaPr>
          <m:jc m:val="center"/>
        </m:oMathParaPr>
        <m:oMath>
          <m:r>
            <m:rPr>
              <m:sty m:val="p"/>
            </m:rPr>
            <w:rPr>
              <w:rFonts w:ascii="Cambria Math" w:hAnsi="Cambria Math" w:cs="Calibri"/>
              <w:sz w:val="22"/>
              <w:szCs w:val="22"/>
            </w:rPr>
            <m:t>MIESS=</m:t>
          </m:r>
          <m:sSup>
            <m:sSupPr>
              <m:ctrlPr>
                <w:rPr>
                  <w:rFonts w:ascii="Cambria Math" w:hAnsi="Cambria Math" w:cs="Calibri"/>
                  <w:sz w:val="22"/>
                  <w:szCs w:val="22"/>
                </w:rPr>
              </m:ctrlPr>
            </m:sSupPr>
            <m:e>
              <m:r>
                <m:rPr>
                  <m:sty m:val="b"/>
                </m:rPr>
                <w:rPr>
                  <w:rFonts w:ascii="Cambria Math" w:hAnsi="Cambria Math" w:cs="Calibri"/>
                  <w:sz w:val="22"/>
                  <w:szCs w:val="22"/>
                </w:rPr>
                <m:t>1</m:t>
              </m:r>
            </m:e>
            <m:sup>
              <m:r>
                <w:rPr>
                  <w:rFonts w:ascii="Cambria Math" w:hAnsi="Cambria Math" w:cs="Calibri"/>
                  <w:sz w:val="22"/>
                  <w:szCs w:val="22"/>
                </w:rPr>
                <m:t>T</m:t>
              </m:r>
            </m:sup>
          </m:sSup>
          <m:sSubSup>
            <m:sSubSupPr>
              <m:ctrlPr>
                <w:rPr>
                  <w:rFonts w:ascii="Cambria Math" w:hAnsi="Cambria Math" w:cs="Calibri"/>
                  <w:sz w:val="22"/>
                  <w:szCs w:val="22"/>
                </w:rPr>
              </m:ctrlPr>
            </m:sSubSupPr>
            <m:e>
              <m:r>
                <w:rPr>
                  <w:rFonts w:ascii="Cambria Math" w:hAnsi="Cambria Math" w:cs="Calibri"/>
                  <w:sz w:val="22"/>
                  <w:szCs w:val="22"/>
                </w:rPr>
                <m:t>R</m:t>
              </m:r>
            </m:e>
            <m:sub>
              <m:r>
                <w:rPr>
                  <w:rFonts w:ascii="Cambria Math" w:hAnsi="Cambria Math" w:cs="Calibri"/>
                  <w:sz w:val="22"/>
                  <w:szCs w:val="22"/>
                </w:rPr>
                <m:t>S</m:t>
              </m:r>
            </m:sub>
            <m:sup>
              <m:r>
                <m:rPr>
                  <m:sty m:val="p"/>
                </m:rPr>
                <w:rPr>
                  <w:rFonts w:ascii="Cambria Math" w:hAnsi="Cambria Math" w:cs="Calibri"/>
                  <w:sz w:val="22"/>
                  <w:szCs w:val="22"/>
                </w:rPr>
                <m:t>-</m:t>
              </m:r>
              <m:r>
                <w:rPr>
                  <w:rFonts w:ascii="Cambria Math" w:hAnsi="Cambria Math" w:cs="Calibri"/>
                  <w:sz w:val="22"/>
                  <w:szCs w:val="22"/>
                </w:rPr>
                <m:t>1</m:t>
              </m:r>
            </m:sup>
          </m:sSubSup>
          <m:r>
            <m:rPr>
              <m:sty m:val="b"/>
            </m:rPr>
            <w:rPr>
              <w:rFonts w:ascii="Cambria Math" w:hAnsi="Cambria Math" w:cs="Calibri"/>
              <w:sz w:val="22"/>
              <w:szCs w:val="22"/>
            </w:rPr>
            <m:t>1</m:t>
          </m:r>
          <m:r>
            <m:rPr>
              <m:sty m:val="p"/>
            </m:rPr>
            <w:rPr>
              <w:rFonts w:ascii="Cambria Math" w:hAnsi="Cambria Math" w:cs="Calibri"/>
              <w:sz w:val="22"/>
              <w:szCs w:val="22"/>
            </w:rPr>
            <m:t>.</m:t>
          </m:r>
        </m:oMath>
      </m:oMathPara>
    </w:p>
    <w:p>
      <w:pPr>
        <w:pStyle w:val="FirstParagraph"/>
        <w:spacing w:line="264" w:lineRule="auto"/>
        <w:rPr>
          <w:rFonts w:ascii="Calibri" w:hAnsi="Calibri" w:cs="Calibri"/>
          <w:sz w:val="22"/>
          <w:szCs w:val="22"/>
        </w:rPr>
      </w:pPr>
      <w:r>
        <w:rPr>
          <w:rFonts w:ascii="Calibri" w:hAnsi="Calibri" w:cs="Calibri"/>
          <w:sz w:val="22"/>
          <w:szCs w:val="22"/>
        </w:rPr>
        <w:t>MIESS is therefore the size of an independent sample that would provide the same precision for estimating an overall mean as the actual correlated subset under the assumed correlation structure.</w:t>
      </w:r>
      <w:bookmarkEnd w:id="0"/>
      <w:bookmarkEnd w:id="42"/>
      <w:r>
        <w:rPr>
          <w:rFonts w:ascii="Calibri" w:hAnsi="Calibri" w:cs="Calibri"/>
          <w:sz w:val="22"/>
          <w:szCs w:val="22"/>
        </w:rPr>
        <w:br w:type="page"/>
      </w:r>
    </w:p>
    <w:p>
      <w:pPr>
        <w:pStyle w:val="Heading1"/>
        <w:spacing w:line="264" w:lineRule="auto"/>
        <w:rPr>
          <w:rFonts w:ascii="Calibri" w:hAnsi="Calibri" w:cs="Calibri"/>
        </w:rPr>
      </w:pPr>
      <w:bookmarkStart w:id="44" w:name="_Toc232605864"/>
      <w:r>
        <w:rPr>
          <w:rFonts w:ascii="Calibri" w:hAnsi="Calibri" w:cs="Calibri"/>
        </w:rPr>
        <w:lastRenderedPageBreak/>
        <w:t>Supplementary Results</w:t>
      </w:r>
      <w:bookmarkEnd w:id="44"/>
    </w:p>
    <w:p>
      <w:pPr>
        <w:pStyle w:val="Heading2"/>
        <w:spacing w:before="120" w:line="264" w:lineRule="auto"/>
        <w:rPr>
          <w:rFonts w:ascii="Calibri" w:hAnsi="Calibri" w:cs="Calibri"/>
        </w:rPr>
      </w:pPr>
      <w:bookmarkStart w:id="45" w:name="_Toc232605865"/>
      <w:r>
        <w:rPr>
          <w:rFonts w:ascii="Calibri" w:hAnsi="Calibri" w:cs="Calibri"/>
        </w:rPr>
        <w:t>Section S1. Detailed Distance-Based Validation of Dispersed and Clustered Subsets</w:t>
      </w:r>
      <w:bookmarkEnd w:id="45"/>
    </w:p>
    <w:p>
      <w:pPr>
        <w:pStyle w:val="BodyText"/>
        <w:spacing w:line="264" w:lineRule="auto"/>
        <w:rPr>
          <w:rFonts w:ascii="Calibri" w:hAnsi="Calibri" w:cs="Calibri"/>
          <w:sz w:val="22"/>
          <w:szCs w:val="22"/>
        </w:rPr>
      </w:pPr>
      <w:r>
        <w:rPr>
          <w:rFonts w:ascii="Calibri" w:hAnsi="Calibri" w:cs="Calibri"/>
          <w:sz w:val="22"/>
          <w:szCs w:val="22"/>
        </w:rPr>
        <w:t>To validate the behavior of the subset-selection procedure in an empirical phylogeny, we examined the 512-species Cricetidae candidate pool and asked whether the selected phylogenetically dispersed and clustered subsets were quantitatively displaced from random subsets drawn from the same candidate pool. For the dispersed subset, we used three distance-based criteria: MinPD, MeanPD, and MeanNND, with larger values indicating stronger phylogenetic dispersion. For the clustered subset, we used MaxPD, MeanPD, and MeanNND, with smaller values indicating stronger phylogenetic clustering. The phylogenetically dispersed subset was distributed across widely separated regions of the Carnivora phylogeny, whereas the clustered reference subset was concentrated within a much narrower region of the same phylogeny (Fig. S1), with all selected species belonging to an unnamed local subclade within Arvicolinae.</w:t>
      </w:r>
    </w:p>
    <w:p>
      <w:pPr>
        <w:pStyle w:val="BodyText"/>
        <w:spacing w:line="264" w:lineRule="auto"/>
        <w:rPr>
          <w:rFonts w:ascii="Calibri" w:hAnsi="Calibri" w:cs="Calibri"/>
          <w:sz w:val="22"/>
          <w:szCs w:val="22"/>
        </w:rPr>
      </w:pPr>
      <w:r>
        <w:rPr>
          <w:rFonts w:ascii="Calibri" w:eastAsia="DengXian" w:hAnsi="Calibri" w:cs="Calibri"/>
          <w:noProof/>
          <w:sz w:val="28"/>
          <w:szCs w:val="28"/>
        </w:rPr>
        <w:drawing>
          <wp:inline distT="0" distB="0" distL="0" distR="0">
            <wp:extent cx="6120130" cy="6120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p>
    <w:p>
      <w:pPr>
        <w:pStyle w:val="Heading3"/>
        <w:spacing w:line="264" w:lineRule="auto"/>
        <w:rPr>
          <w:rFonts w:ascii="Calibri" w:hAnsi="Calibri" w:cs="Calibri"/>
          <w:sz w:val="22"/>
          <w:szCs w:val="22"/>
        </w:rPr>
      </w:pPr>
      <w:bookmarkStart w:id="46" w:name="_Toc232605866"/>
      <w:r>
        <w:rPr>
          <w:rFonts w:ascii="Calibri" w:hAnsi="Calibri" w:cs="Calibri"/>
          <w:sz w:val="22"/>
          <w:szCs w:val="22"/>
        </w:rPr>
        <w:lastRenderedPageBreak/>
        <w:t>Figure S1. Phylogenetic distribution of selected Cricetidae subsets.</w:t>
      </w:r>
      <w:bookmarkEnd w:id="46"/>
    </w:p>
    <w:p>
      <w:pPr>
        <w:adjustRightInd w:val="0"/>
        <w:snapToGrid w:val="0"/>
        <w:spacing w:line="264" w:lineRule="auto"/>
        <w:rPr>
          <w:rFonts w:ascii="Calibri" w:hAnsi="Calibri" w:cs="Calibri"/>
          <w:sz w:val="20"/>
          <w:szCs w:val="20"/>
        </w:rPr>
      </w:pPr>
      <w:r>
        <w:rPr>
          <w:rFonts w:ascii="Calibri" w:hAnsi="Calibri" w:cs="Calibri"/>
          <w:sz w:val="20"/>
          <w:szCs w:val="20"/>
        </w:rPr>
        <w:t>The Cricetidae phylogeny was generated by pruning the species-level mammalian phylogeny of Upham et al. (2019). The empirical candidate pool comprised 512 extant cricetid species, from which 64 species were selected for each subset. In the circular phylogeny, orange filled circles indicate species in the phylogenetically dispersed subset, whereas blue open circles indicate species in the phylogenetically clustered reference subset. The dispersed subset is distributed across widely separated regions of the Cricetidae phylogeny, whereas the clustered reference subset is concentrated within a localized region of the same candidate pool, with all selected species belonging to Arvicolinae. Visual proximity among selected tips in the circular layout does not necessarily imply short patristic distance; all distance-based metrics were calculated from branch-length distances on the original tree.</w:t>
      </w:r>
    </w:p>
    <w:p>
      <w:pPr>
        <w:pStyle w:val="BodyText"/>
        <w:spacing w:line="264" w:lineRule="auto"/>
        <w:rPr>
          <w:rFonts w:ascii="Calibri" w:hAnsi="Calibri" w:cs="Calibri"/>
          <w:sz w:val="22"/>
          <w:szCs w:val="22"/>
        </w:rPr>
      </w:pPr>
      <w:r>
        <w:rPr>
          <w:rFonts w:ascii="Calibri" w:hAnsi="Calibri" w:cs="Calibri"/>
          <w:sz w:val="22"/>
          <w:szCs w:val="22"/>
        </w:rPr>
        <w:t>Consistent with this visual contrast, the selected subsets were displaced toward opposite tails of the random-subset distributions for the distance-based criteria (Fig. S2). For the phylogenetically dispersed subset, MinPD was 24.18, compared with a random-subset mean of 2.38 and maximum of 8.90, placing the selected subset beyond all random subsets for this closest-pair criterion (Fig. S2a). The two shared distance metrics showed the same overall contrast. MeanPD showed the same contrast relative to a random-subset mean of 61.72: it was higher in the dispersed subset (64.11; random maximum = 65.04) but much lower in the clustered reference subset (16.85; random minimum = 53.58; Fig. S2b). MeanNND showed the same contrast relative to a random-subset mean of 18.10: it was higher in the dispersed subset (29.83; random maximum = 22.66) but lower in the clustered reference subset (6.18; random minimum = 13.76; Fig. S2c).</w:t>
      </w:r>
    </w:p>
    <w:p>
      <w:pPr>
        <w:adjustRightInd w:val="0"/>
        <w:snapToGrid w:val="0"/>
        <w:spacing w:line="264" w:lineRule="auto"/>
        <w:rPr>
          <w:rFonts w:ascii="Calibri" w:hAnsi="Calibri" w:cs="Calibri"/>
          <w:sz w:val="22"/>
          <w:szCs w:val="22"/>
        </w:rPr>
      </w:pPr>
      <w:r>
        <w:rPr>
          <w:rFonts w:ascii="Calibri" w:hAnsi="Calibri" w:cs="Calibri"/>
          <w:sz w:val="22"/>
          <w:szCs w:val="22"/>
        </w:rPr>
        <w:t>For the boundary criterion of the clustered reference subset, MaxPD was not shown as a separate distribution because all 1000 random subsets had the same MaxPD value of 77.57. In contrast, the clustered reference subset had a much smaller MaxPD of 20.25, indicating that even the most distant pair within this subset remained phylogenetically close relative to random sampling from the same candidate pool.</w:t>
      </w:r>
    </w:p>
    <w:p>
      <w:pPr>
        <w:adjustRightInd w:val="0"/>
        <w:snapToGrid w:val="0"/>
        <w:spacing w:line="264" w:lineRule="auto"/>
        <w:rPr>
          <w:rFonts w:ascii="Calibri" w:hAnsi="Calibri" w:cs="Calibri"/>
          <w:sz w:val="22"/>
          <w:szCs w:val="22"/>
        </w:rPr>
      </w:pPr>
      <w:r>
        <w:rPr>
          <w:rFonts w:ascii="Calibri" w:hAnsi="Calibri" w:cs="Calibri"/>
          <w:sz w:val="22"/>
          <w:szCs w:val="22"/>
        </w:rPr>
        <w:t xml:space="preserve">Relative to the empirical null distributions generated by random sampling, the dispersed subset fell in the upper tail for all three dispersion-oriented criteria, with one-sided empirical </w:t>
      </w:r>
      <w:r>
        <w:rPr>
          <w:rFonts w:ascii="Calibri" w:hAnsi="Calibri" w:cs="Calibri"/>
          <w:i/>
          <w:iCs/>
          <w:sz w:val="22"/>
          <w:szCs w:val="22"/>
        </w:rPr>
        <w:t>p</w:t>
      </w:r>
      <w:r>
        <w:rPr>
          <w:rFonts w:ascii="Calibri" w:hAnsi="Calibri" w:cs="Calibri"/>
          <w:sz w:val="22"/>
          <w:szCs w:val="22"/>
        </w:rPr>
        <w:t xml:space="preserve">-values of 0.001 for MinPD, 0.027 for MeanPD, and 0.001 for MeanNND. The clustered reference subset fell in the lower tail for all three clustering-oriented criteria, with one-sided empirical </w:t>
      </w:r>
      <w:r>
        <w:rPr>
          <w:rFonts w:ascii="Calibri" w:hAnsi="Calibri" w:cs="Calibri"/>
          <w:i/>
          <w:iCs/>
          <w:sz w:val="22"/>
          <w:szCs w:val="22"/>
        </w:rPr>
        <w:t>p</w:t>
      </w:r>
      <w:r>
        <w:rPr>
          <w:rFonts w:ascii="Calibri" w:hAnsi="Calibri" w:cs="Calibri"/>
          <w:sz w:val="22"/>
          <w:szCs w:val="22"/>
        </w:rPr>
        <w:t>-values of 0.001 for MaxPD, MeanPD, and MeanNND. Together, these comparisons show that the selected dispersed and clustered subsets occupied opposite ends of the random-subset distributions within the same Carnivora candidate pool. This confirms that distance-based subset selection behaved as intended in a realistic empirical phylogeny.</w:t>
      </w:r>
    </w:p>
    <w:p>
      <w:pPr>
        <w:adjustRightInd w:val="0"/>
        <w:snapToGrid w:val="0"/>
        <w:spacing w:line="264" w:lineRule="auto"/>
        <w:rPr>
          <w:rFonts w:ascii="Calibri" w:hAnsi="Calibri" w:cs="Calibri"/>
          <w:sz w:val="22"/>
          <w:szCs w:val="22"/>
        </w:rPr>
      </w:pPr>
    </w:p>
    <w:p>
      <w:pPr>
        <w:adjustRightInd w:val="0"/>
        <w:snapToGrid w:val="0"/>
        <w:spacing w:line="264" w:lineRule="auto"/>
        <w:rPr>
          <w:rFonts w:ascii="Calibri" w:hAnsi="Calibri" w:cs="Calibri"/>
          <w:sz w:val="22"/>
          <w:szCs w:val="22"/>
        </w:rPr>
      </w:pPr>
      <w:r>
        <w:rPr>
          <w:rFonts w:ascii="Calibri" w:hAnsi="Calibri" w:cs="Calibri"/>
          <w:noProof/>
          <w:sz w:val="22"/>
          <w:szCs w:val="22"/>
        </w:rPr>
        <w:drawing>
          <wp:inline distT="0" distB="0" distL="0" distR="0">
            <wp:extent cx="6120130" cy="2284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284095"/>
                    </a:xfrm>
                    <a:prstGeom prst="rect">
                      <a:avLst/>
                    </a:prstGeom>
                  </pic:spPr>
                </pic:pic>
              </a:graphicData>
            </a:graphic>
          </wp:inline>
        </w:drawing>
      </w:r>
    </w:p>
    <w:p>
      <w:pPr>
        <w:pStyle w:val="Heading3"/>
        <w:spacing w:line="264" w:lineRule="auto"/>
        <w:rPr>
          <w:rFonts w:ascii="Calibri" w:hAnsi="Calibri" w:cs="Calibri"/>
          <w:sz w:val="22"/>
          <w:szCs w:val="22"/>
        </w:rPr>
      </w:pPr>
      <w:bookmarkStart w:id="47" w:name="_Toc232605867"/>
      <w:r>
        <w:rPr>
          <w:rFonts w:ascii="Calibri" w:hAnsi="Calibri" w:cs="Calibri"/>
          <w:sz w:val="22"/>
          <w:szCs w:val="22"/>
        </w:rPr>
        <w:t>Figure S2. Distance-based comparison of selected Cricetidae subsets with random-subset baselines.</w:t>
      </w:r>
      <w:bookmarkEnd w:id="47"/>
    </w:p>
    <w:p>
      <w:pPr>
        <w:adjustRightInd w:val="0"/>
        <w:snapToGrid w:val="0"/>
        <w:spacing w:line="264" w:lineRule="auto"/>
        <w:rPr>
          <w:rFonts w:ascii="Calibri" w:hAnsi="Calibri" w:cs="Calibri"/>
          <w:sz w:val="20"/>
          <w:szCs w:val="20"/>
        </w:rPr>
      </w:pPr>
      <w:r>
        <w:rPr>
          <w:rFonts w:ascii="Calibri" w:hAnsi="Calibri" w:cs="Calibri"/>
          <w:sz w:val="20"/>
          <w:szCs w:val="20"/>
        </w:rPr>
        <w:t>Distance-based metrics for the selected Cricetidae subsets were compared with 1000 random subsets of the same size drawn from the same 512-species candidate pool. Panels a</w:t>
      </w:r>
      <w:r>
        <w:rPr>
          <w:rFonts w:eastAsia="SimHei"/>
          <w:bCs/>
          <w:sz w:val="20"/>
          <w:szCs w:val="20"/>
        </w:rPr>
        <w:t>–</w:t>
      </w:r>
      <w:r>
        <w:rPr>
          <w:rFonts w:ascii="Calibri" w:hAnsi="Calibri" w:cs="Calibri"/>
          <w:sz w:val="20"/>
          <w:szCs w:val="20"/>
        </w:rPr>
        <w:t xml:space="preserve">c show minimum pairwise patristic distance (MinPD), </w:t>
      </w:r>
      <w:r>
        <w:rPr>
          <w:rFonts w:ascii="Calibri" w:hAnsi="Calibri" w:cs="Calibri"/>
          <w:sz w:val="20"/>
          <w:szCs w:val="20"/>
        </w:rPr>
        <w:lastRenderedPageBreak/>
        <w:t>mean pairwise patristic distance (MeanPD), and mean nearest-neighbor phylogenetic distance (MeanNND). For all the three metrics, larger values indicate stronger dispersion, whereas smaller values indicate stronger clustering. Vertical lines indicate observed values of the selected subsets: solid lines represent the phylogenetically dispersed subset, and dashed lines represent the clustered reference subset. Density curves show empirical distributions from random subsets. Maximum pairwise patristic distance (MaxPD), used as a clustering-oriented criterion, is reported in the text rather than shown as a separate panel because it did not vary among the random subsets in this candidate pool.</w:t>
      </w:r>
    </w:p>
    <w:p>
      <w:pPr>
        <w:pStyle w:val="Heading2"/>
        <w:spacing w:before="120" w:line="264" w:lineRule="auto"/>
        <w:rPr>
          <w:rFonts w:ascii="Calibri" w:hAnsi="Calibri" w:cs="Calibri"/>
        </w:rPr>
      </w:pPr>
      <w:bookmarkStart w:id="48" w:name="_Toc232605868"/>
      <w:r>
        <w:rPr>
          <w:rFonts w:ascii="Calibri" w:hAnsi="Calibri" w:cs="Calibri"/>
        </w:rPr>
        <w:t>Section S2. Sensitivity of Subsetting to Sampling Design</w:t>
      </w:r>
      <w:bookmarkEnd w:id="48"/>
    </w:p>
    <w:p>
      <w:pPr>
        <w:pStyle w:val="BodyText"/>
        <w:spacing w:line="264" w:lineRule="auto"/>
        <w:rPr>
          <w:rFonts w:ascii="Calibri" w:hAnsi="Calibri" w:cs="Calibri"/>
          <w:sz w:val="22"/>
          <w:szCs w:val="22"/>
        </w:rPr>
      </w:pPr>
      <w:r>
        <w:rPr>
          <w:rFonts w:ascii="Calibri" w:hAnsi="Calibri" w:cs="Calibri"/>
          <w:sz w:val="22"/>
          <w:szCs w:val="22"/>
        </w:rPr>
        <w:t xml:space="preserve">The analyses included Cricetidae candidate pools of </w:t>
      </w:r>
      <w:r>
        <w:rPr>
          <w:rFonts w:ascii="Calibri" w:hAnsi="Calibri" w:cs="Calibri"/>
          <w:i/>
          <w:iCs/>
          <w:sz w:val="22"/>
          <w:szCs w:val="22"/>
        </w:rPr>
        <w:t>N</w:t>
      </w:r>
      <w:r>
        <w:rPr>
          <w:rFonts w:ascii="Calibri" w:hAnsi="Calibri" w:cs="Calibri"/>
          <w:sz w:val="22"/>
          <w:szCs w:val="22"/>
        </w:rPr>
        <w:t xml:space="preserve"> = 32, 64, 128, 256, and 512 species, and target subset sizes of </w:t>
      </w:r>
      <w:r>
        <w:rPr>
          <w:rFonts w:ascii="Calibri" w:hAnsi="Calibri" w:cs="Calibri"/>
          <w:i/>
          <w:iCs/>
          <w:sz w:val="22"/>
          <w:szCs w:val="22"/>
        </w:rPr>
        <w:t>s</w:t>
      </w:r>
      <w:r>
        <w:rPr>
          <w:rFonts w:ascii="Calibri" w:hAnsi="Calibri" w:cs="Calibri"/>
          <w:sz w:val="22"/>
          <w:szCs w:val="22"/>
        </w:rPr>
        <w:t xml:space="preserve"> = 8, 16, 32, and 64, retaining only combinations for which </w:t>
      </w:r>
      <w:r>
        <w:rPr>
          <w:rFonts w:ascii="Calibri" w:hAnsi="Calibri" w:cs="Calibri"/>
          <w:i/>
          <w:iCs/>
          <w:sz w:val="22"/>
          <w:szCs w:val="22"/>
        </w:rPr>
        <w:t>s</w:t>
      </w:r>
      <w:r>
        <w:rPr>
          <w:rFonts w:ascii="Calibri" w:hAnsi="Calibri" w:cs="Calibri"/>
          <w:sz w:val="22"/>
          <w:szCs w:val="22"/>
        </w:rPr>
        <w:t xml:space="preserve"> &lt; </w:t>
      </w:r>
      <w:r>
        <w:rPr>
          <w:rFonts w:ascii="Calibri" w:hAnsi="Calibri" w:cs="Calibri"/>
          <w:i/>
          <w:iCs/>
          <w:sz w:val="22"/>
          <w:szCs w:val="22"/>
        </w:rPr>
        <w:t>N</w:t>
      </w:r>
      <w:r>
        <w:rPr>
          <w:rFonts w:ascii="Calibri" w:hAnsi="Calibri" w:cs="Calibri"/>
          <w:sz w:val="22"/>
          <w:szCs w:val="22"/>
        </w:rPr>
        <w:t xml:space="preserve">. Across all feasible </w:t>
      </w:r>
      <w:r>
        <w:rPr>
          <w:rFonts w:ascii="Calibri" w:hAnsi="Calibri" w:cs="Calibri"/>
          <w:i/>
          <w:iCs/>
          <w:sz w:val="22"/>
          <w:szCs w:val="22"/>
        </w:rPr>
        <w:t>N</w:t>
      </w:r>
      <w:r>
        <w:rPr>
          <w:rFonts w:ascii="Calibri" w:hAnsi="Calibri" w:cs="Calibri"/>
          <w:sz w:val="22"/>
          <w:szCs w:val="22"/>
        </w:rPr>
        <w:t>–</w:t>
      </w:r>
      <w:r>
        <w:rPr>
          <w:rFonts w:ascii="Calibri" w:hAnsi="Calibri" w:cs="Calibri"/>
          <w:i/>
          <w:iCs/>
          <w:sz w:val="22"/>
          <w:szCs w:val="22"/>
        </w:rPr>
        <w:t>s</w:t>
      </w:r>
      <w:r>
        <w:rPr>
          <w:rFonts w:ascii="Calibri" w:hAnsi="Calibri" w:cs="Calibri"/>
          <w:sz w:val="22"/>
          <w:szCs w:val="22"/>
        </w:rPr>
        <w:t xml:space="preserve"> combinations, phylogenetically dispersed subsets showed larger MinPD, MeanPD, and MeanNND than random subsets drawn from the same candidate pool, whereas clustered subsets showed smaller MaxPD, MeanPD, and MeanNND (Table S2-S4). These contrasts were consistently supported for MinPD and MeanNND in dispersed subsets and for MaxPD, MeanPD, and MeanNND in clustered subsets. For dispersed subsets, MeanPD showed the same direction of change but was less consistently significant when the target subset represented a relatively large fraction of the candidate pool, suggesting that gains in overall mean pairwise distance were more constrained under high sampling fractions. The same overall pattern was observed not only in large candidate pools, but also in smaller nested pools, indicating that the distance-based optimization procedure did not depend on a single empirical tree size. As expected, absolute distance values changed with both </w:t>
      </w:r>
      <w:r>
        <w:rPr>
          <w:rFonts w:ascii="Calibri" w:hAnsi="Calibri" w:cs="Calibri"/>
          <w:i/>
          <w:iCs/>
          <w:sz w:val="22"/>
          <w:szCs w:val="22"/>
        </w:rPr>
        <w:t>N</w:t>
      </w:r>
      <w:r>
        <w:rPr>
          <w:rFonts w:ascii="Calibri" w:hAnsi="Calibri" w:cs="Calibri"/>
          <w:sz w:val="22"/>
          <w:szCs w:val="22"/>
        </w:rPr>
        <w:t xml:space="preserve"> and </w:t>
      </w:r>
      <w:r>
        <w:rPr>
          <w:rFonts w:ascii="Calibri" w:hAnsi="Calibri" w:cs="Calibri"/>
          <w:i/>
          <w:iCs/>
          <w:sz w:val="22"/>
          <w:szCs w:val="22"/>
        </w:rPr>
        <w:t>s</w:t>
      </w:r>
      <w:r>
        <w:rPr>
          <w:rFonts w:ascii="Calibri" w:hAnsi="Calibri" w:cs="Calibri"/>
          <w:sz w:val="22"/>
          <w:szCs w:val="22"/>
        </w:rPr>
        <w:t>, because larger candidate pools provide more opportunities to select widely separated species and larger target subsets impose stronger packing constraints. Nevertheless, despite changes in absolute distance values and some nonsignificant MeanPD comparisons for dispersed subsets, dispersed and clustered subsets remained displaced in opposite directions from the random baseline, consistent with the pattern observed in the Carnivora analysis.</w:t>
      </w:r>
    </w:p>
    <w:p>
      <w:pPr>
        <w:adjustRightInd w:val="0"/>
        <w:snapToGrid w:val="0"/>
        <w:spacing w:line="264" w:lineRule="auto"/>
        <w:rPr>
          <w:rFonts w:ascii="Calibri" w:hAnsi="Calibri" w:cs="Calibri"/>
          <w:sz w:val="22"/>
          <w:szCs w:val="22"/>
        </w:rPr>
      </w:pPr>
      <w:r>
        <w:rPr>
          <w:rFonts w:ascii="Calibri" w:hAnsi="Calibri" w:cs="Calibri"/>
          <w:sz w:val="22"/>
          <w:szCs w:val="22"/>
        </w:rPr>
        <w:t xml:space="preserve">The nested design also helped separate the effects of absolute subset size from the effects of sampling fraction, as illustrated in Table S2-S4. Holding </w:t>
      </w:r>
      <w:r>
        <w:rPr>
          <w:rFonts w:ascii="Calibri" w:hAnsi="Calibri" w:cs="Calibri"/>
          <w:i/>
          <w:iCs/>
          <w:sz w:val="22"/>
          <w:szCs w:val="22"/>
        </w:rPr>
        <w:t>N</w:t>
      </w:r>
      <w:r>
        <w:rPr>
          <w:rFonts w:ascii="Calibri" w:hAnsi="Calibri" w:cs="Calibri"/>
          <w:sz w:val="22"/>
          <w:szCs w:val="22"/>
        </w:rPr>
        <w:t xml:space="preserve"> fixed and increasing </w:t>
      </w:r>
      <w:r>
        <w:rPr>
          <w:rFonts w:ascii="Calibri" w:hAnsi="Calibri" w:cs="Calibri"/>
          <w:i/>
          <w:iCs/>
          <w:sz w:val="22"/>
          <w:szCs w:val="22"/>
        </w:rPr>
        <w:t>s</w:t>
      </w:r>
      <w:r>
        <w:rPr>
          <w:rFonts w:ascii="Calibri" w:hAnsi="Calibri" w:cs="Calibri"/>
          <w:sz w:val="22"/>
          <w:szCs w:val="22"/>
        </w:rPr>
        <w:t xml:space="preserve"> generally reduced the ability of the dispersed subset to maintain large nearest-neighbor distances, because more species had to be accommodated within the same candidate pool. Holding </w:t>
      </w:r>
      <w:r>
        <w:rPr>
          <w:rFonts w:ascii="Calibri" w:hAnsi="Calibri" w:cs="Calibri"/>
          <w:i/>
          <w:iCs/>
          <w:sz w:val="22"/>
          <w:szCs w:val="22"/>
        </w:rPr>
        <w:t>s</w:t>
      </w:r>
      <w:r>
        <w:rPr>
          <w:rFonts w:ascii="Calibri" w:hAnsi="Calibri" w:cs="Calibri"/>
          <w:sz w:val="22"/>
          <w:szCs w:val="22"/>
        </w:rPr>
        <w:t xml:space="preserve"> fixed and increasing </w:t>
      </w:r>
      <w:r>
        <w:rPr>
          <w:rFonts w:ascii="Calibri" w:hAnsi="Calibri" w:cs="Calibri"/>
          <w:i/>
          <w:iCs/>
          <w:sz w:val="22"/>
          <w:szCs w:val="22"/>
        </w:rPr>
        <w:t>N</w:t>
      </w:r>
      <w:r>
        <w:rPr>
          <w:rFonts w:ascii="Calibri" w:hAnsi="Calibri" w:cs="Calibri"/>
          <w:sz w:val="22"/>
          <w:szCs w:val="22"/>
        </w:rPr>
        <w:t xml:space="preserve"> generally made stronger dispersion possible, because the selection algorithm could draw from a broader set of phylogenetic positions. In a few cases, however, nested candidate pools produced identical selected subsets across adjacent pool sizes; for example, the same dispersed 8-species subset was recovered from the </w:t>
      </w:r>
      <w:r>
        <w:rPr>
          <w:rFonts w:ascii="Calibri" w:hAnsi="Calibri" w:cs="Calibri"/>
          <w:i/>
          <w:iCs/>
          <w:sz w:val="22"/>
          <w:szCs w:val="22"/>
        </w:rPr>
        <w:t>N</w:t>
      </w:r>
      <w:r>
        <w:rPr>
          <w:rFonts w:ascii="Calibri" w:hAnsi="Calibri" w:cs="Calibri"/>
          <w:sz w:val="22"/>
          <w:szCs w:val="22"/>
        </w:rPr>
        <w:t xml:space="preserve"> = 128 and </w:t>
      </w:r>
      <w:r>
        <w:rPr>
          <w:rFonts w:ascii="Calibri" w:hAnsi="Calibri" w:cs="Calibri"/>
          <w:i/>
          <w:iCs/>
          <w:sz w:val="22"/>
          <w:szCs w:val="22"/>
        </w:rPr>
        <w:t>N</w:t>
      </w:r>
      <w:r>
        <w:rPr>
          <w:rFonts w:ascii="Calibri" w:hAnsi="Calibri" w:cs="Calibri"/>
          <w:sz w:val="22"/>
          <w:szCs w:val="22"/>
        </w:rPr>
        <w:t xml:space="preserve"> = 256 pools, resulting in identical MeanNND values.</w:t>
      </w:r>
    </w:p>
    <w:p>
      <w:pPr>
        <w:adjustRightInd w:val="0"/>
        <w:snapToGrid w:val="0"/>
        <w:spacing w:line="264" w:lineRule="auto"/>
        <w:rPr>
          <w:rFonts w:ascii="Calibri" w:hAnsi="Calibri" w:cs="Calibri"/>
          <w:sz w:val="22"/>
          <w:szCs w:val="22"/>
        </w:rPr>
      </w:pPr>
      <w:r>
        <w:rPr>
          <w:rFonts w:ascii="Calibri" w:hAnsi="Calibri" w:cs="Calibri"/>
          <w:sz w:val="22"/>
          <w:szCs w:val="22"/>
        </w:rPr>
        <w:t xml:space="preserve">Comparisons with the same sampling fraction but different absolute </w:t>
      </w:r>
      <w:r>
        <w:rPr>
          <w:rFonts w:ascii="Calibri" w:hAnsi="Calibri" w:cs="Calibri"/>
          <w:i/>
          <w:iCs/>
          <w:sz w:val="22"/>
          <w:szCs w:val="22"/>
        </w:rPr>
        <w:t>N</w:t>
      </w:r>
      <w:r>
        <w:rPr>
          <w:rFonts w:ascii="Calibri" w:hAnsi="Calibri" w:cs="Calibri"/>
          <w:sz w:val="22"/>
          <w:szCs w:val="22"/>
        </w:rPr>
        <w:t xml:space="preserve"> and </w:t>
      </w:r>
      <w:r>
        <w:rPr>
          <w:rFonts w:ascii="Calibri" w:hAnsi="Calibri" w:cs="Calibri"/>
          <w:i/>
          <w:iCs/>
          <w:sz w:val="22"/>
          <w:szCs w:val="22"/>
        </w:rPr>
        <w:t>s</w:t>
      </w:r>
      <w:r>
        <w:rPr>
          <w:rFonts w:ascii="Calibri" w:hAnsi="Calibri" w:cs="Calibri"/>
          <w:sz w:val="22"/>
          <w:szCs w:val="22"/>
        </w:rPr>
        <w:t xml:space="preserve"> further indicated that sampling fraction alone did not fully determine subset behavior. For example, although </w:t>
      </w:r>
      <w:r>
        <w:rPr>
          <w:rFonts w:ascii="Calibri" w:hAnsi="Calibri" w:cs="Calibri"/>
          <w:i/>
          <w:iCs/>
          <w:sz w:val="22"/>
          <w:szCs w:val="22"/>
        </w:rPr>
        <w:t>N</w:t>
      </w:r>
      <w:r>
        <w:rPr>
          <w:rFonts w:ascii="Calibri" w:hAnsi="Calibri" w:cs="Calibri"/>
          <w:sz w:val="22"/>
          <w:szCs w:val="22"/>
        </w:rPr>
        <w:t xml:space="preserve"> = 32, </w:t>
      </w:r>
      <w:r>
        <w:rPr>
          <w:rFonts w:ascii="Calibri" w:hAnsi="Calibri" w:cs="Calibri"/>
          <w:i/>
          <w:iCs/>
          <w:sz w:val="22"/>
          <w:szCs w:val="22"/>
        </w:rPr>
        <w:t>s</w:t>
      </w:r>
      <w:r>
        <w:rPr>
          <w:rFonts w:ascii="Calibri" w:hAnsi="Calibri" w:cs="Calibri"/>
          <w:sz w:val="22"/>
          <w:szCs w:val="22"/>
        </w:rPr>
        <w:t xml:space="preserve"> = 16 and </w:t>
      </w:r>
      <w:r>
        <w:rPr>
          <w:rFonts w:ascii="Calibri" w:hAnsi="Calibri" w:cs="Calibri"/>
          <w:i/>
          <w:iCs/>
          <w:sz w:val="22"/>
          <w:szCs w:val="22"/>
        </w:rPr>
        <w:t>N</w:t>
      </w:r>
      <w:r>
        <w:rPr>
          <w:rFonts w:ascii="Calibri" w:hAnsi="Calibri" w:cs="Calibri"/>
          <w:sz w:val="22"/>
          <w:szCs w:val="22"/>
        </w:rPr>
        <w:t xml:space="preserve"> = 64, </w:t>
      </w:r>
      <w:r>
        <w:rPr>
          <w:rFonts w:ascii="Calibri" w:hAnsi="Calibri" w:cs="Calibri"/>
          <w:i/>
          <w:iCs/>
          <w:sz w:val="22"/>
          <w:szCs w:val="22"/>
        </w:rPr>
        <w:t>s</w:t>
      </w:r>
      <w:r>
        <w:rPr>
          <w:rFonts w:ascii="Calibri" w:hAnsi="Calibri" w:cs="Calibri"/>
          <w:sz w:val="22"/>
          <w:szCs w:val="22"/>
        </w:rPr>
        <w:t xml:space="preserve"> = 32 both represent a sampling fraction of 0.5, the clustered subset was not significant in the former MeanNND comparison but was significant in the latter. This difference suggests that the achievable level of clustering or dispersion depends not only on </w:t>
      </w:r>
      <w:r>
        <w:rPr>
          <w:rFonts w:ascii="Calibri" w:hAnsi="Calibri" w:cs="Calibri"/>
          <w:i/>
          <w:iCs/>
          <w:sz w:val="22"/>
          <w:szCs w:val="22"/>
        </w:rPr>
        <w:t>s</w:t>
      </w:r>
      <w:r>
        <w:rPr>
          <w:rFonts w:ascii="Calibri" w:hAnsi="Calibri" w:cs="Calibri"/>
          <w:sz w:val="22"/>
          <w:szCs w:val="22"/>
        </w:rPr>
        <w:t>/</w:t>
      </w:r>
      <w:r>
        <w:rPr>
          <w:rFonts w:ascii="Calibri" w:hAnsi="Calibri" w:cs="Calibri"/>
          <w:i/>
          <w:iCs/>
          <w:sz w:val="22"/>
          <w:szCs w:val="22"/>
        </w:rPr>
        <w:t>N</w:t>
      </w:r>
      <w:r>
        <w:rPr>
          <w:rFonts w:ascii="Calibri" w:hAnsi="Calibri" w:cs="Calibri"/>
          <w:sz w:val="22"/>
          <w:szCs w:val="22"/>
        </w:rPr>
        <w:t>, but also on absolute subset size and the phylogenetic scale and structure of the candidate pool.</w:t>
      </w:r>
    </w:p>
    <w:p>
      <w:pPr>
        <w:rPr>
          <w:rFonts w:ascii="Calibri" w:hAnsi="Calibri" w:cs="Calibri"/>
          <w:sz w:val="22"/>
          <w:szCs w:val="22"/>
        </w:rPr>
      </w:pPr>
      <w:r>
        <w:rPr>
          <w:rFonts w:ascii="Calibri" w:hAnsi="Calibri" w:cs="Calibri"/>
          <w:sz w:val="22"/>
          <w:szCs w:val="22"/>
        </w:rPr>
        <w:br w:type="page"/>
      </w:r>
    </w:p>
    <w:p>
      <w:pPr>
        <w:pStyle w:val="Heading2"/>
        <w:spacing w:before="360" w:line="264" w:lineRule="auto"/>
        <w:rPr>
          <w:rFonts w:ascii="Calibri" w:hAnsi="Calibri" w:cs="Calibri"/>
        </w:rPr>
      </w:pPr>
      <w:bookmarkStart w:id="49" w:name="_Toc232605869"/>
      <w:r>
        <w:rPr>
          <w:rFonts w:ascii="Calibri" w:hAnsi="Calibri" w:cs="Calibri"/>
        </w:rPr>
        <w:lastRenderedPageBreak/>
        <w:t>Supplementary Tables</w:t>
      </w:r>
      <w:bookmarkEnd w:id="49"/>
    </w:p>
    <w:p>
      <w:pPr>
        <w:pStyle w:val="Heading3"/>
        <w:spacing w:line="264" w:lineRule="auto"/>
        <w:rPr>
          <w:rFonts w:ascii="Calibri" w:hAnsi="Calibri" w:cs="Calibri"/>
          <w:sz w:val="22"/>
          <w:szCs w:val="22"/>
        </w:rPr>
      </w:pPr>
      <w:bookmarkStart w:id="50" w:name="_Toc232605870"/>
      <w:r>
        <w:rPr>
          <w:rFonts w:ascii="Calibri" w:hAnsi="Calibri" w:cs="Calibri"/>
          <w:sz w:val="22"/>
          <w:szCs w:val="22"/>
        </w:rPr>
        <w:t>Tables S1 are provided as a separate spreadsheet file.</w:t>
      </w:r>
      <w:bookmarkEnd w:id="50"/>
    </w:p>
    <w:p>
      <w:pPr>
        <w:adjustRightInd w:val="0"/>
        <w:snapToGrid w:val="0"/>
        <w:spacing w:after="0" w:line="300" w:lineRule="auto"/>
        <w:rPr>
          <w:rFonts w:ascii="Calibri" w:eastAsia="Times New Roman" w:hAnsi="Calibri" w:cs="Calibri"/>
          <w:sz w:val="22"/>
          <w:szCs w:val="22"/>
        </w:rPr>
      </w:pPr>
    </w:p>
    <w:p>
      <w:pPr>
        <w:pStyle w:val="Heading3"/>
        <w:spacing w:line="264" w:lineRule="auto"/>
        <w:rPr>
          <w:rFonts w:ascii="Calibri" w:hAnsi="Calibri" w:cs="Calibri"/>
          <w:sz w:val="22"/>
          <w:szCs w:val="22"/>
        </w:rPr>
      </w:pPr>
      <w:bookmarkStart w:id="51" w:name="_Toc232605871"/>
      <w:r>
        <w:rPr>
          <w:rFonts w:ascii="Calibri" w:hAnsi="Calibri" w:cs="Calibri"/>
          <w:sz w:val="22"/>
          <w:szCs w:val="22"/>
        </w:rPr>
        <w:t>Table S2. Boundary-distance criteria in the nested Cricetidae sensitivity analysis.</w:t>
      </w:r>
      <w:bookmarkEnd w:id="5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7"/>
        <w:gridCol w:w="1535"/>
        <w:gridCol w:w="1534"/>
        <w:gridCol w:w="1534"/>
        <w:gridCol w:w="1534"/>
        <w:gridCol w:w="1534"/>
      </w:tblGrid>
      <w:tr>
        <w:tc>
          <w:tcPr>
            <w:tcW w:w="1020"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9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tc>
          <w:tcPr>
            <w:tcW w:w="5000" w:type="pct"/>
            <w:gridSpan w:val="6"/>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Panel A: MinPD for phylogenetically dispersed subsets</w:t>
            </w:r>
          </w:p>
        </w:tc>
      </w:tr>
      <w:tr>
        <w:tc>
          <w:tcPr>
            <w:tcW w:w="1020"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535"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47.62</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53.56</w:t>
            </w:r>
          </w:p>
        </w:tc>
      </w:tr>
      <w:tr>
        <w:tc>
          <w:tcPr>
            <w:tcW w:w="1020"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535"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30.45</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36.77</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39.25</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40.81</w:t>
            </w:r>
          </w:p>
        </w:tc>
      </w:tr>
      <w:tr>
        <w:trPr>
          <w:trHeight w:val="90"/>
        </w:trPr>
        <w:tc>
          <w:tcPr>
            <w:tcW w:w="1020"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535"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25.55</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27.47</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30.29</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32.44</w:t>
            </w:r>
          </w:p>
        </w:tc>
      </w:tr>
      <w:tr>
        <w:tc>
          <w:tcPr>
            <w:tcW w:w="1020"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535"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17.45</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20.69</w:t>
            </w:r>
          </w:p>
        </w:tc>
        <w:tc>
          <w:tcPr>
            <w:tcW w:w="1534"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24.18</w:t>
            </w:r>
          </w:p>
        </w:tc>
      </w:tr>
      <w:tr>
        <w:tc>
          <w:tcPr>
            <w:tcW w:w="5000" w:type="pct"/>
            <w:gridSpan w:val="6"/>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Panel B: MaxPD for phylogenetically clustered subsets</w:t>
            </w:r>
          </w:p>
        </w:tc>
      </w:tr>
      <w:tr>
        <w:tc>
          <w:tcPr>
            <w:tcW w:w="1020"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17.05</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10.90</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5.53</w:t>
            </w:r>
          </w:p>
        </w:tc>
        <w:tc>
          <w:tcPr>
            <w:tcW w:w="7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5.65</w:t>
            </w:r>
          </w:p>
        </w:tc>
      </w:tr>
      <w:tr>
        <w:tc>
          <w:tcPr>
            <w:tcW w:w="1020"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51.95</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11.31</w:t>
            </w:r>
          </w:p>
        </w:tc>
        <w:tc>
          <w:tcPr>
            <w:tcW w:w="7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7.98</w:t>
            </w:r>
          </w:p>
        </w:tc>
      </w:tr>
      <w:tr>
        <w:tc>
          <w:tcPr>
            <w:tcW w:w="1020"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c>
          <w:tcPr>
            <w:tcW w:w="7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11.31</w:t>
            </w:r>
          </w:p>
        </w:tc>
      </w:tr>
      <w:tr>
        <w:tc>
          <w:tcPr>
            <w:tcW w:w="1020"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41.83</w:t>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33.50</w:t>
            </w:r>
          </w:p>
        </w:tc>
        <w:tc>
          <w:tcPr>
            <w:tcW w:w="795"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20.25</w:t>
            </w:r>
          </w:p>
        </w:tc>
      </w:tr>
    </w:tbl>
    <w:p>
      <w:pPr>
        <w:adjustRightInd w:val="0"/>
        <w:snapToGrid w:val="0"/>
        <w:spacing w:after="0" w:line="300" w:lineRule="auto"/>
        <w:rPr>
          <w:rFonts w:ascii="Calibri" w:eastAsia="Times New Roman" w:hAnsi="Calibri" w:cs="Calibri"/>
          <w:sz w:val="20"/>
          <w:szCs w:val="20"/>
        </w:rPr>
      </w:pPr>
      <w:r>
        <w:rPr>
          <w:rFonts w:ascii="Calibri" w:eastAsia="Times New Roman" w:hAnsi="Calibri" w:cs="Calibri"/>
          <w:sz w:val="20"/>
          <w:szCs w:val="20"/>
        </w:rPr>
        <w:t xml:space="preserve">Values are observed boundary-distance values. All reported values were significant relative to random subsets generated from the same candidate pool and with the same target subset size at empirical one-sided </w:t>
      </w:r>
      <w:r>
        <w:rPr>
          <w:rFonts w:ascii="Calibri" w:eastAsia="Times New Roman" w:hAnsi="Calibri" w:cs="Calibri"/>
          <w:i/>
          <w:iCs/>
          <w:sz w:val="20"/>
          <w:szCs w:val="20"/>
        </w:rPr>
        <w:t>p</w:t>
      </w:r>
      <w:r>
        <w:rPr>
          <w:rFonts w:ascii="Calibri" w:eastAsia="Times New Roman" w:hAnsi="Calibri" w:cs="Calibri"/>
          <w:sz w:val="20"/>
          <w:szCs w:val="20"/>
        </w:rPr>
        <w:t xml:space="preserve"> &lt; 0.001. For Panel A, significance was evaluated in the direction of larger minimum pairwise patristic distance (MinPD) values than random subsets. For Panel B, significance was evaluated in the direction of smaller maximum pairwise patristic distance (MaxPD) values than random subsets. Repeated MaxPD values across some combinations with the same sampling fraction are expected under the nested candidate-pool design when the clustered-subset procedure recovers subsets bounded by the same most distant pair. En dashes indicate combinations not analyzed because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w:t>
      </w:r>
    </w:p>
    <w:p>
      <w:pPr>
        <w:adjustRightInd w:val="0"/>
        <w:snapToGrid w:val="0"/>
        <w:spacing w:after="0" w:line="300" w:lineRule="auto"/>
        <w:rPr>
          <w:rFonts w:ascii="Calibri" w:eastAsia="Times New Roman" w:hAnsi="Calibri" w:cs="Calibri"/>
          <w:sz w:val="22"/>
          <w:szCs w:val="22"/>
        </w:rPr>
      </w:pPr>
    </w:p>
    <w:p>
      <w:pPr>
        <w:pStyle w:val="Heading3"/>
        <w:spacing w:line="264" w:lineRule="auto"/>
        <w:rPr>
          <w:rFonts w:ascii="Calibri" w:hAnsi="Calibri" w:cs="Calibri"/>
          <w:sz w:val="22"/>
          <w:szCs w:val="22"/>
        </w:rPr>
      </w:pPr>
      <w:bookmarkStart w:id="52" w:name="_Hlk229475473"/>
      <w:bookmarkStart w:id="53" w:name="_Toc232605872"/>
      <w:r>
        <w:rPr>
          <w:rFonts w:ascii="Calibri" w:hAnsi="Calibri" w:cs="Calibri"/>
          <w:sz w:val="22"/>
          <w:szCs w:val="22"/>
        </w:rPr>
        <w:t>Table S3. MeanPD in the nested Cricetidae sensitivity analysis.</w:t>
      </w:r>
      <w:bookmarkEnd w:id="53"/>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1800"/>
        <w:gridCol w:w="1268"/>
        <w:gridCol w:w="1268"/>
        <w:gridCol w:w="1268"/>
        <w:gridCol w:w="1268"/>
        <w:gridCol w:w="1263"/>
      </w:tblGrid>
      <w:tr>
        <w:tc>
          <w:tcPr>
            <w:tcW w:w="779"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9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tc>
          <w:tcPr>
            <w:tcW w:w="779"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71.33**</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72.56***</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74.02***</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74.02***</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74.26***</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64.86</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68.39***</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68.94**</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69.33***</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71.43***</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63.35</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63.95</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65.14*</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67.34***</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62.45</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62.85</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64.11*</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22.74***</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13.16***</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7.17***</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4.35***</w:t>
            </w:r>
          </w:p>
        </w:tc>
        <w:tc>
          <w:tcPr>
            <w:tcW w:w="1263"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4.19***</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40.09***</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23.11***</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16.63***</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8.13***</w:t>
            </w:r>
          </w:p>
        </w:tc>
        <w:tc>
          <w:tcPr>
            <w:tcW w:w="1263"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6.15***</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37.51***</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24.02***</w:t>
            </w:r>
          </w:p>
        </w:tc>
        <w:tc>
          <w:tcPr>
            <w:tcW w:w="1268"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15.90***</w:t>
            </w:r>
          </w:p>
        </w:tc>
        <w:tc>
          <w:tcPr>
            <w:tcW w:w="1263" w:type="dxa"/>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9.34***</w:t>
            </w:r>
          </w:p>
        </w:tc>
      </w:tr>
      <w:tr>
        <w:tc>
          <w:tcPr>
            <w:tcW w:w="779"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37.37***</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23.47***</w:t>
            </w:r>
          </w:p>
        </w:tc>
        <w:tc>
          <w:tcPr>
            <w:tcW w:w="1263" w:type="dxa"/>
            <w:tcBorders>
              <w:bottom w:val="single" w:sz="4" w:space="0" w:color="auto"/>
            </w:tcBorders>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16.85***</w:t>
            </w:r>
          </w:p>
        </w:tc>
      </w:tr>
    </w:tbl>
    <w:p>
      <w:pPr>
        <w:adjustRightInd w:val="0"/>
        <w:snapToGrid w:val="0"/>
        <w:spacing w:after="0" w:line="300" w:lineRule="auto"/>
        <w:rPr>
          <w:rFonts w:ascii="Calibri" w:eastAsia="Times New Roman" w:hAnsi="Calibri" w:cs="Calibri"/>
          <w:sz w:val="20"/>
          <w:szCs w:val="20"/>
        </w:rPr>
      </w:pPr>
      <w:r>
        <w:rPr>
          <w:rFonts w:ascii="Calibri" w:eastAsia="Times New Roman" w:hAnsi="Calibri" w:cs="Calibri"/>
          <w:sz w:val="20"/>
          <w:szCs w:val="20"/>
        </w:rPr>
        <w:t xml:space="preserve">Values are shown as observed mean pairwise patristic distance (MeanPD)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larger MeanPD than random subsets; for clustered subsets, significance was evaluated in the direction of smaller MeanPD than random subsets. En dashes indicate combinations not analyzed because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MeanPD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bookmarkEnd w:id="52"/>
    <w:p>
      <w:pPr>
        <w:spacing w:after="0"/>
        <w:rPr>
          <w:rFonts w:ascii="Calibri" w:eastAsia="Times New Roman" w:hAnsi="Calibri" w:cs="Calibri"/>
          <w:sz w:val="22"/>
          <w:szCs w:val="22"/>
        </w:rPr>
      </w:pPr>
      <w:r>
        <w:rPr>
          <w:rFonts w:ascii="Calibri" w:eastAsia="Times New Roman" w:hAnsi="Calibri" w:cs="Calibri"/>
          <w:sz w:val="22"/>
          <w:szCs w:val="22"/>
        </w:rPr>
        <w:br w:type="page"/>
      </w:r>
    </w:p>
    <w:p>
      <w:pPr>
        <w:adjustRightInd w:val="0"/>
        <w:snapToGrid w:val="0"/>
        <w:spacing w:after="0" w:line="300" w:lineRule="auto"/>
        <w:rPr>
          <w:rFonts w:ascii="Calibri" w:eastAsia="Times New Roman" w:hAnsi="Calibri" w:cs="Calibri"/>
          <w:sz w:val="22"/>
          <w:szCs w:val="22"/>
        </w:rPr>
      </w:pPr>
    </w:p>
    <w:p>
      <w:pPr>
        <w:pStyle w:val="Heading3"/>
        <w:adjustRightInd w:val="0"/>
        <w:snapToGrid w:val="0"/>
        <w:spacing w:line="264" w:lineRule="auto"/>
        <w:rPr>
          <w:rFonts w:ascii="Calibri" w:hAnsi="Calibri" w:cs="Calibri"/>
          <w:sz w:val="22"/>
          <w:szCs w:val="22"/>
        </w:rPr>
      </w:pPr>
      <w:bookmarkStart w:id="54" w:name="_Toc232605873"/>
      <w:r>
        <w:rPr>
          <w:rFonts w:ascii="Calibri" w:hAnsi="Calibri" w:cs="Calibri"/>
          <w:sz w:val="22"/>
          <w:szCs w:val="22"/>
        </w:rPr>
        <w:t>Table S4. MeanNND in the nested Cricetidae sensitivity analysis.</w:t>
      </w:r>
      <w:bookmarkEnd w:id="5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1800"/>
        <w:gridCol w:w="1268"/>
        <w:gridCol w:w="1268"/>
        <w:gridCol w:w="1268"/>
        <w:gridCol w:w="1268"/>
        <w:gridCol w:w="1263"/>
      </w:tblGrid>
      <w:tr>
        <w:tc>
          <w:tcPr>
            <w:tcW w:w="779"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9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Subset size (</w:t>
            </w:r>
            <w:r>
              <w:rPr>
                <w:rFonts w:ascii="Calibri" w:eastAsia="Times New Roman" w:hAnsi="Calibri" w:cs="Calibri"/>
                <w:i/>
                <w:iCs/>
                <w:sz w:val="22"/>
                <w:szCs w:val="22"/>
                <w:lang w:eastAsia="zh-CN"/>
              </w:rPr>
              <w:t>s</w:t>
            </w:r>
            <w:r>
              <w:rPr>
                <w:rFonts w:ascii="Calibri" w:eastAsia="Times New Roman" w:hAnsi="Calibri" w:cs="Calibri"/>
                <w:sz w:val="22"/>
                <w:szCs w:val="22"/>
                <w:lang w:eastAsia="zh-CN"/>
              </w:rPr>
              <w:t>)</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tc>
          <w:tcPr>
            <w:tcW w:w="779"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54.36***</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54.46**</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58.65***</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58.65***</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60.35***</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40.67***</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41.50***</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47.14***</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47.26***</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48.25***</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32.16***</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35.52***</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37.90***</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39.09***</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26.35***</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28.42***</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29.83***</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17.59***</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7.79***</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5.04***</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2.98***</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2.65***</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26.03</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12.51***</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9.02***</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4.13***</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3.26***</w:t>
            </w:r>
          </w:p>
        </w:tc>
      </w:tr>
      <w:tr>
        <w:tc>
          <w:tcPr>
            <w:tcW w:w="77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17.57**</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9.91***</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7.74***</w:t>
            </w:r>
          </w:p>
        </w:tc>
        <w:tc>
          <w:tcPr>
            <w:tcW w:w="658"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3.23***</w:t>
            </w:r>
          </w:p>
        </w:tc>
      </w:tr>
      <w:tr>
        <w:tc>
          <w:tcPr>
            <w:tcW w:w="779"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934"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13.91***</w:t>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8.15***</w:t>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6.18***</w:t>
            </w:r>
          </w:p>
        </w:tc>
      </w:tr>
    </w:tbl>
    <w:p>
      <w:pPr>
        <w:adjustRightInd w:val="0"/>
        <w:snapToGrid w:val="0"/>
        <w:spacing w:line="264" w:lineRule="auto"/>
        <w:rPr>
          <w:rFonts w:ascii="Calibri" w:hAnsi="Calibri" w:cs="Calibri"/>
          <w:sz w:val="20"/>
          <w:szCs w:val="20"/>
        </w:rPr>
      </w:pPr>
      <w:r>
        <w:rPr>
          <w:rFonts w:ascii="Calibri" w:hAnsi="Calibri" w:cs="Calibri"/>
          <w:sz w:val="20"/>
          <w:szCs w:val="20"/>
        </w:rPr>
        <w:t xml:space="preserve">Values are shown as observed mean nearest-neighbor phylogenetic distance (MeanNND) values.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larger MeanNND than random subsets; for clustered subsets, significance was evaluated in the direction of smaller MeanNND than random subsets. En dashes indicate combinations not analyzed because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xml:space="preserve">. The identical dispersed MeanNND values for </w:t>
      </w:r>
      <w:r>
        <w:rPr>
          <w:rFonts w:ascii="Calibri" w:hAnsi="Calibri" w:cs="Calibri"/>
          <w:i/>
          <w:iCs/>
          <w:sz w:val="20"/>
          <w:szCs w:val="20"/>
        </w:rPr>
        <w:t>N</w:t>
      </w:r>
      <w:r>
        <w:rPr>
          <w:rFonts w:ascii="Calibri" w:hAnsi="Calibri" w:cs="Calibri"/>
          <w:sz w:val="20"/>
          <w:szCs w:val="20"/>
        </w:rPr>
        <w:t xml:space="preserve"> = 128 and </w:t>
      </w:r>
      <w:r>
        <w:rPr>
          <w:rFonts w:ascii="Calibri" w:hAnsi="Calibri" w:cs="Calibri"/>
          <w:i/>
          <w:iCs/>
          <w:sz w:val="20"/>
          <w:szCs w:val="20"/>
        </w:rPr>
        <w:t>N</w:t>
      </w:r>
      <w:r>
        <w:rPr>
          <w:rFonts w:ascii="Calibri" w:hAnsi="Calibri" w:cs="Calibri"/>
          <w:sz w:val="20"/>
          <w:szCs w:val="20"/>
        </w:rPr>
        <w:t xml:space="preserve"> = 256 at </w:t>
      </w:r>
      <w:r>
        <w:rPr>
          <w:rFonts w:ascii="Calibri" w:hAnsi="Calibri" w:cs="Calibri"/>
          <w:i/>
          <w:iCs/>
          <w:sz w:val="20"/>
          <w:szCs w:val="20"/>
        </w:rPr>
        <w:t>s</w:t>
      </w:r>
      <w:r>
        <w:rPr>
          <w:rFonts w:ascii="Calibri" w:hAnsi="Calibri" w:cs="Calibri"/>
          <w:sz w:val="20"/>
          <w:szCs w:val="20"/>
        </w:rPr>
        <w:t xml:space="preserve"> = 8 reflect recovery of the same selected subset from the nested candidate pools.</w:t>
      </w:r>
    </w:p>
    <w:p>
      <w:pPr>
        <w:adjustRightInd w:val="0"/>
        <w:snapToGrid w:val="0"/>
        <w:spacing w:after="0" w:line="300" w:lineRule="auto"/>
        <w:rPr>
          <w:rFonts w:ascii="Calibri" w:eastAsia="Times New Roman" w:hAnsi="Calibri" w:cs="Calibri"/>
          <w:sz w:val="22"/>
          <w:szCs w:val="22"/>
        </w:rPr>
      </w:pPr>
    </w:p>
    <w:p>
      <w:pPr>
        <w:adjustRightInd w:val="0"/>
        <w:snapToGrid w:val="0"/>
        <w:spacing w:after="0" w:line="300" w:lineRule="auto"/>
        <w:rPr>
          <w:rFonts w:ascii="Calibri" w:eastAsia="Times New Roman" w:hAnsi="Calibri" w:cs="Calibri"/>
          <w:sz w:val="22"/>
          <w:szCs w:val="22"/>
        </w:rPr>
      </w:pPr>
    </w:p>
    <w:p>
      <w:pPr>
        <w:pStyle w:val="Heading3"/>
        <w:spacing w:line="264" w:lineRule="auto"/>
        <w:rPr>
          <w:rFonts w:ascii="Calibri" w:hAnsi="Calibri" w:cs="Calibri"/>
          <w:sz w:val="22"/>
          <w:szCs w:val="22"/>
        </w:rPr>
      </w:pPr>
      <w:bookmarkStart w:id="55" w:name="_Toc232605874"/>
      <w:r>
        <w:rPr>
          <w:rFonts w:ascii="Calibri" w:hAnsi="Calibri" w:cs="Calibri"/>
          <w:sz w:val="22"/>
          <w:szCs w:val="22"/>
        </w:rPr>
        <w:t>Table S5. MeanOffCor in the nested Cricetidae sensitivity analysis.</w:t>
      </w:r>
      <w:bookmarkEnd w:id="5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627"/>
        <w:gridCol w:w="1458"/>
        <w:gridCol w:w="1458"/>
        <w:gridCol w:w="1458"/>
        <w:gridCol w:w="1458"/>
        <w:gridCol w:w="1455"/>
      </w:tblGrid>
      <w:tr>
        <w:tc>
          <w:tcPr>
            <w:tcW w:w="89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2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5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tc>
          <w:tcPr>
            <w:tcW w:w="894"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0.080**</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0.065***</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0.046***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0.046***</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0.043***</w:t>
            </w:r>
          </w:p>
        </w:tc>
      </w:tr>
      <w:tr>
        <w:tc>
          <w:tcPr>
            <w:tcW w:w="89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0.164</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0.118***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0.111**</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0.106***</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0.079***</w:t>
            </w:r>
          </w:p>
        </w:tc>
      </w:tr>
      <w:tr>
        <w:tc>
          <w:tcPr>
            <w:tcW w:w="89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0.183</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0.176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0.160*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0.132***</w:t>
            </w:r>
          </w:p>
        </w:tc>
      </w:tr>
      <w:tr>
        <w:tc>
          <w:tcPr>
            <w:tcW w:w="89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0.195</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0.190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0.173*</w:t>
            </w:r>
          </w:p>
        </w:tc>
      </w:tr>
      <w:tr>
        <w:tc>
          <w:tcPr>
            <w:tcW w:w="89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0.707***</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0.830***</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0.908***</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0.944***</w:t>
            </w:r>
          </w:p>
        </w:tc>
        <w:tc>
          <w:tcPr>
            <w:tcW w:w="1455"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0.946***</w:t>
            </w:r>
          </w:p>
        </w:tc>
      </w:tr>
      <w:tr>
        <w:tc>
          <w:tcPr>
            <w:tcW w:w="89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0.483***</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0.702***</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0.786***</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0.895***</w:t>
            </w:r>
          </w:p>
        </w:tc>
        <w:tc>
          <w:tcPr>
            <w:tcW w:w="1455"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0.921***</w:t>
            </w:r>
          </w:p>
        </w:tc>
      </w:tr>
      <w:tr>
        <w:tc>
          <w:tcPr>
            <w:tcW w:w="894"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0.516***</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0.690***</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0.795***</w:t>
            </w:r>
          </w:p>
        </w:tc>
        <w:tc>
          <w:tcPr>
            <w:tcW w:w="1455"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0.880***</w:t>
            </w:r>
          </w:p>
        </w:tc>
      </w:tr>
      <w:tr>
        <w:tc>
          <w:tcPr>
            <w:tcW w:w="894"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0.518***</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0.697***</w:t>
            </w:r>
          </w:p>
        </w:tc>
        <w:tc>
          <w:tcPr>
            <w:tcW w:w="1455"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0.783***</w:t>
            </w:r>
          </w:p>
        </w:tc>
      </w:tr>
    </w:tbl>
    <w:p>
      <w:pPr>
        <w:adjustRightInd w:val="0"/>
        <w:snapToGrid w:val="0"/>
        <w:spacing w:after="0" w:line="300" w:lineRule="auto"/>
        <w:rPr>
          <w:rFonts w:ascii="Calibri" w:eastAsia="Times New Roman" w:hAnsi="Calibri" w:cs="Calibri"/>
          <w:sz w:val="20"/>
          <w:szCs w:val="20"/>
        </w:rPr>
      </w:pPr>
      <w:r>
        <w:rPr>
          <w:rFonts w:ascii="Calibri" w:eastAsia="Times New Roman" w:hAnsi="Calibri" w:cs="Calibri"/>
          <w:sz w:val="20"/>
          <w:szCs w:val="20"/>
        </w:rPr>
        <w:t xml:space="preserve">Values are shown as observed mean off-diagonal correlation (MeanOffCor)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lower MeanOffCor than random subsets; for clustered subsets, significance was evaluated in the direction of higher MeanOffCor than random subsets. En dashes indicate combinations not analyzed because subset size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MeanOffCor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p>
      <w:pPr>
        <w:adjustRightInd w:val="0"/>
        <w:snapToGrid w:val="0"/>
        <w:spacing w:line="300" w:lineRule="auto"/>
        <w:rPr>
          <w:rFonts w:ascii="Calibri" w:hAnsi="Calibri" w:cs="Calibri"/>
          <w:sz w:val="22"/>
          <w:szCs w:val="22"/>
        </w:rPr>
      </w:pPr>
    </w:p>
    <w:p>
      <w:pPr>
        <w:spacing w:after="0"/>
        <w:rPr>
          <w:rFonts w:ascii="Calibri" w:hAnsi="Calibri" w:cs="Calibri"/>
          <w:sz w:val="22"/>
          <w:szCs w:val="22"/>
        </w:rPr>
      </w:pPr>
      <w:r>
        <w:rPr>
          <w:rFonts w:ascii="Calibri" w:hAnsi="Calibri" w:cs="Calibri"/>
          <w:sz w:val="22"/>
          <w:szCs w:val="22"/>
        </w:rPr>
        <w:br w:type="page"/>
      </w:r>
    </w:p>
    <w:p>
      <w:pPr>
        <w:adjustRightInd w:val="0"/>
        <w:snapToGrid w:val="0"/>
        <w:spacing w:line="300" w:lineRule="auto"/>
        <w:rPr>
          <w:rFonts w:ascii="Calibri" w:hAnsi="Calibri" w:cs="Calibri"/>
          <w:sz w:val="22"/>
          <w:szCs w:val="22"/>
        </w:rPr>
      </w:pPr>
    </w:p>
    <w:p>
      <w:pPr>
        <w:pStyle w:val="Heading3"/>
        <w:spacing w:line="264" w:lineRule="auto"/>
        <w:rPr>
          <w:rFonts w:ascii="Calibri" w:hAnsi="Calibri" w:cs="Calibri"/>
          <w:sz w:val="22"/>
          <w:szCs w:val="22"/>
        </w:rPr>
      </w:pPr>
      <w:bookmarkStart w:id="56" w:name="_Toc232605875"/>
      <w:r>
        <w:rPr>
          <w:rFonts w:ascii="Calibri" w:hAnsi="Calibri" w:cs="Calibri"/>
          <w:sz w:val="22"/>
          <w:szCs w:val="22"/>
        </w:rPr>
        <w:t>Table S6. MaxOffCor in the nested Cricetidae sensitivity analysis.</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627"/>
        <w:gridCol w:w="1458"/>
        <w:gridCol w:w="1458"/>
        <w:gridCol w:w="1457"/>
        <w:gridCol w:w="1457"/>
        <w:gridCol w:w="1455"/>
      </w:tblGrid>
      <w:tr>
        <w:tc>
          <w:tcPr>
            <w:tcW w:w="89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2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5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tc>
          <w:tcPr>
            <w:tcW w:w="895"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0.461***</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0.386***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0.330***</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0.330***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0.309***</w:t>
            </w:r>
          </w:p>
        </w:tc>
      </w:tr>
      <w:tr>
        <w:tc>
          <w:tcPr>
            <w:tcW w:w="8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0.607***</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0.568***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0.526***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0.494***</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0.474***</w:t>
            </w:r>
          </w:p>
        </w:tc>
      </w:tr>
      <w:tr>
        <w:tc>
          <w:tcPr>
            <w:tcW w:w="8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0.671***</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0.646***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0.610***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hAnsi="Calibri" w:cs="Calibri"/>
                <w:sz w:val="22"/>
                <w:szCs w:val="22"/>
                <w:lang w:eastAsia="zh-CN"/>
              </w:rPr>
              <w:t>0.582***</w:t>
            </w:r>
          </w:p>
        </w:tc>
      </w:tr>
      <w:tr>
        <w:tc>
          <w:tcPr>
            <w:tcW w:w="8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0.775***</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0.733***</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0.688***</w:t>
            </w:r>
          </w:p>
        </w:tc>
      </w:tr>
      <w:tr>
        <w:tc>
          <w:tcPr>
            <w:tcW w:w="8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0.909</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0.960*</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0.991**</w:t>
            </w:r>
          </w:p>
        </w:tc>
      </w:tr>
      <w:tr>
        <w:tc>
          <w:tcPr>
            <w:tcW w:w="8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0.866</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0.960</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r>
      <w:tr>
        <w:tc>
          <w:tcPr>
            <w:tcW w:w="89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0.939</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0.974</w:t>
            </w:r>
          </w:p>
        </w:tc>
        <w:tc>
          <w:tcPr>
            <w:tcW w:w="755"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0.984</w:t>
            </w:r>
          </w:p>
        </w:tc>
      </w:tr>
      <w:tr>
        <w:tc>
          <w:tcPr>
            <w:tcW w:w="895"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25"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0.983</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0.980</w:t>
            </w:r>
          </w:p>
        </w:tc>
        <w:tc>
          <w:tcPr>
            <w:tcW w:w="755"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0.991</w:t>
            </w:r>
          </w:p>
        </w:tc>
      </w:tr>
    </w:tbl>
    <w:p>
      <w:pPr>
        <w:adjustRightInd w:val="0"/>
        <w:snapToGrid w:val="0"/>
        <w:spacing w:after="0" w:line="300" w:lineRule="auto"/>
        <w:rPr>
          <w:rFonts w:ascii="Calibri" w:eastAsia="Times New Roman" w:hAnsi="Calibri" w:cs="Calibri"/>
          <w:sz w:val="20"/>
          <w:szCs w:val="20"/>
        </w:rPr>
      </w:pPr>
      <w:r>
        <w:rPr>
          <w:rFonts w:ascii="Calibri" w:eastAsia="Times New Roman" w:hAnsi="Calibri" w:cs="Calibri"/>
          <w:sz w:val="20"/>
          <w:szCs w:val="20"/>
        </w:rPr>
        <w:t xml:space="preserve">Values are shown as observed maximum off-diagonal correlation (MaxOffCor) values. Asterisks indicate empirical one-sided significance relative to random subsets generated from the same candidate pool and with the same target subset size: * </w:t>
      </w:r>
      <w:r>
        <w:rPr>
          <w:rFonts w:ascii="Calibri" w:eastAsia="Times New Roman" w:hAnsi="Calibri" w:cs="Calibri"/>
          <w:i/>
          <w:iCs/>
          <w:sz w:val="20"/>
          <w:szCs w:val="20"/>
        </w:rPr>
        <w:t>p</w:t>
      </w:r>
      <w:r>
        <w:rPr>
          <w:rFonts w:ascii="Calibri" w:eastAsia="Times New Roman" w:hAnsi="Calibri" w:cs="Calibri"/>
          <w:sz w:val="20"/>
          <w:szCs w:val="20"/>
        </w:rPr>
        <w:t xml:space="preserve"> &lt; 0.05, ** </w:t>
      </w:r>
      <w:r>
        <w:rPr>
          <w:rFonts w:ascii="Calibri" w:eastAsia="Times New Roman" w:hAnsi="Calibri" w:cs="Calibri"/>
          <w:i/>
          <w:iCs/>
          <w:sz w:val="20"/>
          <w:szCs w:val="20"/>
        </w:rPr>
        <w:t>p</w:t>
      </w:r>
      <w:r>
        <w:rPr>
          <w:rFonts w:ascii="Calibri" w:eastAsia="Times New Roman" w:hAnsi="Calibri" w:cs="Calibri"/>
          <w:sz w:val="20"/>
          <w:szCs w:val="20"/>
        </w:rPr>
        <w:t xml:space="preserve"> &lt; 0.01, and *** </w:t>
      </w:r>
      <w:r>
        <w:rPr>
          <w:rFonts w:ascii="Calibri" w:eastAsia="Times New Roman" w:hAnsi="Calibri" w:cs="Calibri"/>
          <w:i/>
          <w:iCs/>
          <w:sz w:val="20"/>
          <w:szCs w:val="20"/>
        </w:rPr>
        <w:t>p</w:t>
      </w:r>
      <w:r>
        <w:rPr>
          <w:rFonts w:ascii="Calibri" w:eastAsia="Times New Roman" w:hAnsi="Calibri" w:cs="Calibri"/>
          <w:sz w:val="20"/>
          <w:szCs w:val="20"/>
        </w:rPr>
        <w:t xml:space="preserve"> &lt; 0.001. For dispersed subsets, significance was evaluated in the direction of lower MaxOffCor than random subsets; for clustered subsets, significance was evaluated in the direction of higher MaxOffCor than random subsets. For clustered subsets, MaxOffCor remains a valid summary but is less discriminating at larger subset sizes, because random subsets may already contain at least one highly correlated species pair; therefore, nonsignificant clustered-subset MaxOffCor values do not necessarily indicate weak clustering. En dashes indicate combinations not analyzed because subset size (</w:t>
      </w:r>
      <w:r>
        <w:rPr>
          <w:rFonts w:ascii="Calibri" w:eastAsia="Times New Roman" w:hAnsi="Calibri" w:cs="Calibri"/>
          <w:i/>
          <w:iCs/>
          <w:sz w:val="20"/>
          <w:szCs w:val="20"/>
        </w:rPr>
        <w:t>s</w:t>
      </w:r>
      <w:r>
        <w:rPr>
          <w:rFonts w:ascii="Calibri" w:eastAsia="Times New Roman" w:hAnsi="Calibri" w:cs="Calibri"/>
          <w:sz w:val="20"/>
          <w:szCs w:val="20"/>
        </w:rPr>
        <w:t xml:space="preserve">)  ≥ </w:t>
      </w:r>
      <w:r>
        <w:rPr>
          <w:rFonts w:ascii="Calibri" w:eastAsia="Times New Roman" w:hAnsi="Calibri" w:cs="Calibri"/>
          <w:i/>
          <w:iCs/>
          <w:sz w:val="20"/>
          <w:szCs w:val="20"/>
        </w:rPr>
        <w:t>N</w:t>
      </w:r>
      <w:r>
        <w:rPr>
          <w:rFonts w:ascii="Calibri" w:eastAsia="Times New Roman" w:hAnsi="Calibri" w:cs="Calibri"/>
          <w:sz w:val="20"/>
          <w:szCs w:val="20"/>
        </w:rPr>
        <w:t xml:space="preserve">. The identical dispersed MaxOffCor values for </w:t>
      </w:r>
      <w:r>
        <w:rPr>
          <w:rFonts w:ascii="Calibri" w:eastAsia="Times New Roman" w:hAnsi="Calibri" w:cs="Calibri"/>
          <w:i/>
          <w:iCs/>
          <w:sz w:val="20"/>
          <w:szCs w:val="20"/>
        </w:rPr>
        <w:t>N</w:t>
      </w:r>
      <w:r>
        <w:rPr>
          <w:rFonts w:ascii="Calibri" w:eastAsia="Times New Roman" w:hAnsi="Calibri" w:cs="Calibri"/>
          <w:sz w:val="20"/>
          <w:szCs w:val="20"/>
        </w:rPr>
        <w:t xml:space="preserve"> = 128 and </w:t>
      </w:r>
      <w:r>
        <w:rPr>
          <w:rFonts w:ascii="Calibri" w:eastAsia="Times New Roman" w:hAnsi="Calibri" w:cs="Calibri"/>
          <w:i/>
          <w:iCs/>
          <w:sz w:val="20"/>
          <w:szCs w:val="20"/>
        </w:rPr>
        <w:t>N</w:t>
      </w:r>
      <w:r>
        <w:rPr>
          <w:rFonts w:ascii="Calibri" w:eastAsia="Times New Roman" w:hAnsi="Calibri" w:cs="Calibri"/>
          <w:sz w:val="20"/>
          <w:szCs w:val="20"/>
        </w:rPr>
        <w:t xml:space="preserve"> = 256 at </w:t>
      </w:r>
      <w:r>
        <w:rPr>
          <w:rFonts w:ascii="Calibri" w:eastAsia="Times New Roman" w:hAnsi="Calibri" w:cs="Calibri"/>
          <w:i/>
          <w:iCs/>
          <w:sz w:val="20"/>
          <w:szCs w:val="20"/>
        </w:rPr>
        <w:t>s</w:t>
      </w:r>
      <w:r>
        <w:rPr>
          <w:rFonts w:ascii="Calibri" w:eastAsia="Times New Roman" w:hAnsi="Calibri" w:cs="Calibri"/>
          <w:sz w:val="20"/>
          <w:szCs w:val="20"/>
        </w:rPr>
        <w:t xml:space="preserve"> = 8 reflect recovery of the same selected subset from the nested candidate pools.</w:t>
      </w:r>
    </w:p>
    <w:p>
      <w:pPr>
        <w:adjustRightInd w:val="0"/>
        <w:snapToGrid w:val="0"/>
        <w:spacing w:line="300" w:lineRule="auto"/>
        <w:rPr>
          <w:rFonts w:ascii="Calibri" w:hAnsi="Calibri" w:cs="Calibri"/>
          <w:sz w:val="22"/>
          <w:szCs w:val="22"/>
        </w:rPr>
      </w:pPr>
    </w:p>
    <w:p>
      <w:pPr>
        <w:pStyle w:val="Heading3"/>
        <w:spacing w:line="264" w:lineRule="auto"/>
        <w:rPr>
          <w:rFonts w:ascii="Calibri" w:hAnsi="Calibri" w:cs="Calibri"/>
          <w:sz w:val="22"/>
          <w:szCs w:val="22"/>
        </w:rPr>
      </w:pPr>
      <w:bookmarkStart w:id="57" w:name="_Toc232605876"/>
      <w:r>
        <w:rPr>
          <w:rFonts w:ascii="Calibri" w:hAnsi="Calibri" w:cs="Calibri"/>
          <w:sz w:val="22"/>
          <w:szCs w:val="22"/>
        </w:rPr>
        <w:t>Table S7. PIESS for RMSE in the nested Cricetidae sensitivity analysis.</w:t>
      </w:r>
      <w:bookmarkEnd w:id="5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665"/>
        <w:gridCol w:w="1419"/>
        <w:gridCol w:w="1419"/>
        <w:gridCol w:w="1419"/>
        <w:gridCol w:w="1419"/>
        <w:gridCol w:w="1415"/>
      </w:tblGrid>
      <w:tr>
        <w:tc>
          <w:tcPr>
            <w:tcW w:w="97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4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tc>
          <w:tcPr>
            <w:tcW w:w="976"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7.12**</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7.38***</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7.69***</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7.70***</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8.66**</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9.55***</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10.35***</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10.35***</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12.06***</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10.09*</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10.71**</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11.60***</w:t>
            </w: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13.09***</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10.60*</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11.74***</w:t>
            </w: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12.96***</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4.65***</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4.76***</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tc>
          <w:tcPr>
            <w:tcW w:w="976"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5.13***</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bl>
    <w:p>
      <w:pPr>
        <w:adjustRightInd w:val="0"/>
        <w:snapToGrid w:val="0"/>
        <w:spacing w:line="264" w:lineRule="auto"/>
        <w:rPr>
          <w:rFonts w:ascii="Calibri" w:hAnsi="Calibri" w:cs="Calibri"/>
          <w:sz w:val="20"/>
          <w:szCs w:val="20"/>
        </w:rPr>
      </w:pPr>
      <w:r>
        <w:rPr>
          <w:rFonts w:ascii="Calibri" w:hAnsi="Calibri" w:cs="Calibri"/>
          <w:sz w:val="20"/>
          <w:szCs w:val="20"/>
        </w:rPr>
        <w:t xml:space="preserve">Values are shown as observed prediction-metric-based independence-equivalent sample size (PIESS) values for predictive RMSE.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xml:space="preserve">. The identical dispersed PIESS values for </w:t>
      </w:r>
      <w:r>
        <w:rPr>
          <w:rFonts w:ascii="Calibri" w:hAnsi="Calibri" w:cs="Calibri"/>
          <w:i/>
          <w:iCs/>
          <w:sz w:val="20"/>
          <w:szCs w:val="20"/>
        </w:rPr>
        <w:t>N</w:t>
      </w:r>
      <w:r>
        <w:rPr>
          <w:rFonts w:ascii="Calibri" w:hAnsi="Calibri" w:cs="Calibri"/>
          <w:sz w:val="20"/>
          <w:szCs w:val="20"/>
        </w:rPr>
        <w:t xml:space="preserve"> = 128 and </w:t>
      </w:r>
      <w:r>
        <w:rPr>
          <w:rFonts w:ascii="Calibri" w:hAnsi="Calibri" w:cs="Calibri"/>
          <w:i/>
          <w:iCs/>
          <w:sz w:val="20"/>
          <w:szCs w:val="20"/>
        </w:rPr>
        <w:t>N</w:t>
      </w:r>
      <w:r>
        <w:rPr>
          <w:rFonts w:ascii="Calibri" w:hAnsi="Calibri" w:cs="Calibri"/>
          <w:sz w:val="20"/>
          <w:szCs w:val="20"/>
        </w:rPr>
        <w:t xml:space="preserve"> = 256 at </w:t>
      </w:r>
      <w:r>
        <w:rPr>
          <w:rFonts w:ascii="Calibri" w:hAnsi="Calibri" w:cs="Calibri"/>
          <w:i/>
          <w:iCs/>
          <w:sz w:val="20"/>
          <w:szCs w:val="20"/>
        </w:rPr>
        <w:t>s</w:t>
      </w:r>
      <w:r>
        <w:rPr>
          <w:rFonts w:ascii="Calibri" w:hAnsi="Calibri" w:cs="Calibri"/>
          <w:sz w:val="20"/>
          <w:szCs w:val="20"/>
        </w:rPr>
        <w:t xml:space="preserve"> = 8 reflect recovery of the same selected subset from the nested candidate pools. Values are rounded to two decimal places; identical displayed values may arise from rounding, e.g. underlying values of 10.3472 and 10.3518, which are distinct at higher precision, both appear as 10.35 after rounding.</w:t>
      </w:r>
    </w:p>
    <w:p>
      <w:pPr>
        <w:spacing w:after="0"/>
        <w:rPr>
          <w:rFonts w:ascii="Calibri" w:hAnsi="Calibri" w:cs="Calibri"/>
          <w:sz w:val="22"/>
          <w:szCs w:val="22"/>
        </w:rPr>
      </w:pPr>
      <w:r>
        <w:rPr>
          <w:rFonts w:ascii="Calibri" w:hAnsi="Calibri" w:cs="Calibri"/>
          <w:sz w:val="22"/>
          <w:szCs w:val="22"/>
        </w:rPr>
        <w:br w:type="page"/>
      </w:r>
    </w:p>
    <w:p>
      <w:pPr>
        <w:pStyle w:val="Heading3"/>
        <w:spacing w:line="264" w:lineRule="auto"/>
        <w:rPr>
          <w:rFonts w:ascii="Calibri" w:hAnsi="Calibri" w:cs="Calibri"/>
          <w:sz w:val="22"/>
          <w:szCs w:val="22"/>
        </w:rPr>
      </w:pPr>
      <w:bookmarkStart w:id="58" w:name="_Toc232605877"/>
      <w:r>
        <w:rPr>
          <w:rFonts w:ascii="Calibri" w:hAnsi="Calibri" w:cs="Calibri"/>
          <w:sz w:val="22"/>
          <w:szCs w:val="22"/>
        </w:rPr>
        <w:lastRenderedPageBreak/>
        <w:t>Table S8. PIESS for MAE in the nested Cricetidae sensitivity analysis.</w:t>
      </w:r>
      <w:bookmarkEnd w:id="5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665"/>
        <w:gridCol w:w="1419"/>
        <w:gridCol w:w="1419"/>
        <w:gridCol w:w="1419"/>
        <w:gridCol w:w="1419"/>
        <w:gridCol w:w="1415"/>
      </w:tblGrid>
      <w:tr>
        <w:tc>
          <w:tcPr>
            <w:tcW w:w="97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Subset type</w:t>
            </w:r>
          </w:p>
        </w:tc>
        <w:tc>
          <w:tcPr>
            <w:tcW w:w="34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2"/>
                <w:szCs w:val="22"/>
                <w:lang w:eastAsia="zh-CN"/>
              </w:rPr>
            </w:pPr>
            <w:r>
              <w:rPr>
                <w:rFonts w:ascii="Calibri" w:eastAsia="Times New Roman" w:hAnsi="Calibri" w:cs="Calibri"/>
                <w:i/>
                <w:iCs/>
                <w:sz w:val="22"/>
                <w:szCs w:val="22"/>
                <w:lang w:eastAsia="zh-CN"/>
              </w:rPr>
              <w:t>s</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32</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64</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128</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256</w:t>
            </w:r>
          </w:p>
        </w:tc>
        <w:tc>
          <w:tcPr>
            <w:tcW w:w="7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N</w:t>
            </w:r>
            <w:r>
              <w:rPr>
                <w:rFonts w:ascii="Calibri" w:eastAsia="Times New Roman" w:hAnsi="Calibri" w:cs="Calibri"/>
                <w:sz w:val="22"/>
                <w:szCs w:val="22"/>
                <w:lang w:eastAsia="zh-CN"/>
              </w:rPr>
              <w:t xml:space="preserve"> = 512</w:t>
            </w:r>
          </w:p>
        </w:tc>
      </w:tr>
      <w:tr>
        <w:tc>
          <w:tcPr>
            <w:tcW w:w="976"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6.92**</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7.24***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7.37***</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7.93*</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9.25**</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10.27***</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9.98***</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11.63***</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8.78</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9.97**</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10.61***</w:t>
            </w: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12.31***</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Dispersed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9.77</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10.40**</w:t>
            </w: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11.54***</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8</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16</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tc>
          <w:tcPr>
            <w:tcW w:w="97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32</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r>
        <w:tc>
          <w:tcPr>
            <w:tcW w:w="976"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Clustered</w:t>
            </w:r>
          </w:p>
        </w:tc>
        <w:tc>
          <w:tcPr>
            <w:tcW w:w="345" w:type="pct"/>
            <w:tcBorders>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64</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c>
          <w:tcPr>
            <w:tcW w:w="734"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&lt;4***</w:t>
            </w:r>
          </w:p>
        </w:tc>
      </w:tr>
    </w:tbl>
    <w:p>
      <w:pPr>
        <w:adjustRightInd w:val="0"/>
        <w:snapToGrid w:val="0"/>
        <w:spacing w:line="264" w:lineRule="auto"/>
        <w:rPr>
          <w:rFonts w:ascii="Calibri" w:hAnsi="Calibri" w:cs="Calibri"/>
          <w:sz w:val="20"/>
          <w:szCs w:val="20"/>
        </w:rPr>
      </w:pPr>
      <w:r>
        <w:rPr>
          <w:rFonts w:ascii="Calibri" w:hAnsi="Calibri" w:cs="Calibri"/>
          <w:sz w:val="20"/>
          <w:szCs w:val="20"/>
        </w:rPr>
        <w:t xml:space="preserve">Values are shown as observed prediction-metric-based independence-equivalent sample size (PIESS) values for predictive MAE.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20"/>
          <w:szCs w:val="20"/>
        </w:rPr>
        <w:t>s</w:t>
      </w:r>
      <w:r>
        <w:rPr>
          <w:rFonts w:ascii="Calibri" w:hAnsi="Calibri" w:cs="Calibri"/>
          <w:sz w:val="20"/>
          <w:szCs w:val="20"/>
        </w:rPr>
        <w:t xml:space="preserve">)  ≥ </w:t>
      </w:r>
      <w:r>
        <w:rPr>
          <w:rFonts w:ascii="Calibri" w:hAnsi="Calibri" w:cs="Calibri"/>
          <w:i/>
          <w:iCs/>
          <w:sz w:val="20"/>
          <w:szCs w:val="20"/>
        </w:rPr>
        <w:t>N</w:t>
      </w:r>
      <w:r>
        <w:rPr>
          <w:rFonts w:ascii="Calibri" w:hAnsi="Calibri" w:cs="Calibri"/>
          <w:sz w:val="20"/>
          <w:szCs w:val="20"/>
        </w:rPr>
        <w:t xml:space="preserve">. The identical dispersed PIESS values for </w:t>
      </w:r>
      <w:r>
        <w:rPr>
          <w:rFonts w:ascii="Calibri" w:hAnsi="Calibri" w:cs="Calibri"/>
          <w:i/>
          <w:iCs/>
          <w:sz w:val="20"/>
          <w:szCs w:val="20"/>
        </w:rPr>
        <w:t>N</w:t>
      </w:r>
      <w:r>
        <w:rPr>
          <w:rFonts w:ascii="Calibri" w:hAnsi="Calibri" w:cs="Calibri"/>
          <w:sz w:val="20"/>
          <w:szCs w:val="20"/>
        </w:rPr>
        <w:t xml:space="preserve"> = 128 and </w:t>
      </w:r>
      <w:r>
        <w:rPr>
          <w:rFonts w:ascii="Calibri" w:hAnsi="Calibri" w:cs="Calibri"/>
          <w:i/>
          <w:iCs/>
          <w:sz w:val="20"/>
          <w:szCs w:val="20"/>
        </w:rPr>
        <w:t>N</w:t>
      </w:r>
      <w:r>
        <w:rPr>
          <w:rFonts w:ascii="Calibri" w:hAnsi="Calibri" w:cs="Calibri"/>
          <w:sz w:val="20"/>
          <w:szCs w:val="20"/>
        </w:rPr>
        <w:t xml:space="preserve"> = 256 at </w:t>
      </w:r>
      <w:r>
        <w:rPr>
          <w:rFonts w:ascii="Calibri" w:hAnsi="Calibri" w:cs="Calibri"/>
          <w:i/>
          <w:iCs/>
          <w:sz w:val="20"/>
          <w:szCs w:val="20"/>
        </w:rPr>
        <w:t>s</w:t>
      </w:r>
      <w:r>
        <w:rPr>
          <w:rFonts w:ascii="Calibri" w:hAnsi="Calibri" w:cs="Calibri"/>
          <w:sz w:val="20"/>
          <w:szCs w:val="20"/>
        </w:rPr>
        <w:t xml:space="preserve"> = 8 reflect recovery of the same selected subset from the nested candidate pools. Minor deviations from monotonic trends across subset sizes are due to stochastic fluctuations in finite-sample estimates across simulation replicates. Values are rounded to two decimal places; identical displayed values may arise from rounding.</w:t>
      </w:r>
    </w:p>
    <w:p>
      <w:pPr>
        <w:adjustRightInd w:val="0"/>
        <w:snapToGrid w:val="0"/>
        <w:spacing w:line="264" w:lineRule="auto"/>
        <w:rPr>
          <w:rFonts w:ascii="Calibri" w:hAnsi="Calibri" w:cs="Calibri"/>
          <w:sz w:val="20"/>
          <w:szCs w:val="20"/>
        </w:rPr>
      </w:pPr>
    </w:p>
    <w:p>
      <w:pPr>
        <w:pStyle w:val="Heading3"/>
        <w:spacing w:line="264" w:lineRule="auto"/>
        <w:rPr>
          <w:rFonts w:ascii="Calibri" w:hAnsi="Calibri" w:cs="Calibri"/>
          <w:sz w:val="22"/>
          <w:szCs w:val="22"/>
        </w:rPr>
      </w:pPr>
      <w:bookmarkStart w:id="59" w:name="_Toc232605878"/>
      <w:r>
        <w:rPr>
          <w:rFonts w:ascii="Calibri" w:hAnsi="Calibri" w:cs="Calibri"/>
          <w:sz w:val="22"/>
          <w:szCs w:val="22"/>
        </w:rPr>
        <w:t>Table S9. MeanOffCor under alternative covariance assumptions in the nested Cricetidae sensitivity analysis.</w:t>
      </w:r>
      <w:bookmarkEnd w:id="5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5"/>
        <w:gridCol w:w="2072"/>
        <w:gridCol w:w="2141"/>
        <w:gridCol w:w="2072"/>
        <w:gridCol w:w="2148"/>
      </w:tblGrid>
      <w:tr>
        <w:tc>
          <w:tcPr>
            <w:tcW w:w="589"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Covariance setting</w:t>
            </w:r>
          </w:p>
        </w:tc>
        <w:tc>
          <w:tcPr>
            <w:tcW w:w="1069"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35"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64</w:t>
            </w:r>
          </w:p>
        </w:tc>
        <w:tc>
          <w:tcPr>
            <w:tcW w:w="1069"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37"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64</w:t>
            </w:r>
          </w:p>
        </w:tc>
      </w:tr>
      <w:tr>
        <w:tc>
          <w:tcPr>
            <w:tcW w:w="5000" w:type="pct"/>
            <w:gridSpan w:val="5"/>
            <w:tcBorders>
              <w:top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 xml:space="preserve">Panel A. </w:t>
            </w:r>
            <w:r>
              <w:rPr>
                <w:rFonts w:ascii="Calibri" w:hAnsi="Calibri" w:cs="Calibri"/>
                <w:i/>
                <w:iCs/>
                <w:sz w:val="22"/>
                <w:szCs w:val="22"/>
                <w:lang w:eastAsia="zh-CN"/>
              </w:rPr>
              <w:t>λ</w:t>
            </w:r>
            <w:r>
              <w:rPr>
                <w:rFonts w:ascii="Calibri" w:hAnsi="Calibri" w:cs="Calibri"/>
                <w:sz w:val="22"/>
                <w:szCs w:val="22"/>
                <w:lang w:eastAsia="zh-CN"/>
              </w:rPr>
              <w:t>-transformed BM covariance structures</w:t>
            </w:r>
          </w:p>
        </w:tc>
      </w:tr>
      <w:tr>
        <w:tc>
          <w:tcPr>
            <w:tcW w:w="58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r>
      <w:tr>
        <w:tc>
          <w:tcPr>
            <w:tcW w:w="58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0.005***/0.091***</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0.019/0.052***</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0.004***/0.095***</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0.017*/0.078***</w:t>
            </w:r>
          </w:p>
        </w:tc>
      </w:tr>
      <w:tr>
        <w:tc>
          <w:tcPr>
            <w:tcW w:w="58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0.011***/0.227***</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0.049/0.130***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0.011***/0.237***</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0.043*/0.196***</w:t>
            </w:r>
          </w:p>
        </w:tc>
      </w:tr>
      <w:tr>
        <w:tc>
          <w:tcPr>
            <w:tcW w:w="58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0.023***/0.454***</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0.097/0.259***</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0.021***/0.473***</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0.087*/0.391***</w:t>
            </w:r>
          </w:p>
        </w:tc>
      </w:tr>
      <w:tr>
        <w:tc>
          <w:tcPr>
            <w:tcW w:w="58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0.034***/0.681***</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0.146/0.389***</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0.032***/0.710***</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0.130*/0.587***</w:t>
            </w:r>
          </w:p>
        </w:tc>
      </w:tr>
      <w:tr>
        <w:tc>
          <w:tcPr>
            <w:tcW w:w="589"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0.046***/0.908***</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0.195/0.518***</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0.043***/0.946***</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0.173*/0.783***</w:t>
            </w:r>
          </w:p>
        </w:tc>
      </w:tr>
      <w:tr>
        <w:tc>
          <w:tcPr>
            <w:tcW w:w="5000" w:type="pct"/>
            <w:gridSpan w:val="5"/>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&lt;0.001***/0.113***</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&lt;0.001***/0.002***</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&lt;0.001***/0.252***</w:t>
            </w:r>
          </w:p>
        </w:tc>
        <w:tc>
          <w:tcPr>
            <w:tcW w:w="1137"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&lt;0.001***/0.012***</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&lt;0.001***/0.306***</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0.001***/0.010***</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&lt;0.001***/0.486***</w:t>
            </w:r>
          </w:p>
        </w:tc>
        <w:tc>
          <w:tcPr>
            <w:tcW w:w="1137"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&lt;0.001***/0.069***</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h/H = 0.25</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0.002***/0.607***</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0.027***/0.084***</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0.002***/0.744***</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0.020***/0.311***</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h/H = 0.50</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0.012***/0.762***</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0.081*/0.228***</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0.011***/0.853***</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0.067***/0.524***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h/H = 1.00</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0.025***/0.841***</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0.131/0.358***</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0.023***/0.904***</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0.113**/0.656***</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000" w:type="pct"/>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0.021*** / 0.829***</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0.120 / 0.329***</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0.020*** / 0.897***</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0.102*** / 0.633***</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0.031*** / 0.867***</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0.153 / 0.412***</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0.029*** / 0.921***</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0.133** / 0.704***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89" w:type="pct"/>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1069"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0.042*** / 0.899***</w:t>
            </w:r>
          </w:p>
        </w:tc>
        <w:tc>
          <w:tcPr>
            <w:tcW w:w="1135"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0.185 / 0.495***</w:t>
            </w:r>
          </w:p>
        </w:tc>
        <w:tc>
          <w:tcPr>
            <w:tcW w:w="1069"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0.039*** / 0.941***</w:t>
            </w:r>
          </w:p>
        </w:tc>
        <w:tc>
          <w:tcPr>
            <w:tcW w:w="1137"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0.164* / 0.766***</w:t>
            </w:r>
          </w:p>
        </w:tc>
      </w:tr>
    </w:tbl>
    <w:p>
      <w:pPr>
        <w:adjustRightInd w:val="0"/>
        <w:snapToGrid w:val="0"/>
        <w:spacing w:after="0" w:line="300" w:lineRule="auto"/>
        <w:rPr>
          <w:rFonts w:ascii="Calibri" w:hAnsi="Calibri" w:cs="Calibri"/>
          <w:sz w:val="20"/>
          <w:szCs w:val="20"/>
        </w:rPr>
      </w:pPr>
      <w:r>
        <w:rPr>
          <w:rFonts w:ascii="Calibri" w:hAnsi="Calibri" w:cs="Calibri"/>
          <w:sz w:val="20"/>
          <w:szCs w:val="20"/>
        </w:rPr>
        <w:t xml:space="preserve">Each cell reports mean off-diagonal correlation (MeanOffCor) for the phylogenetically dispersed subset and the phylogenetically clustered subset, respectively, in the format dispersed/clustered. Values smaller than 0.001 are reported as &lt; 0.001, except for the λ = 0 row in Panel A, where MeanOffCor is theoretically zero under the </w:t>
      </w:r>
      <w:r>
        <w:rPr>
          <w:rFonts w:ascii="Calibri" w:hAnsi="Calibri" w:cs="Calibri"/>
          <w:sz w:val="20"/>
          <w:szCs w:val="20"/>
        </w:rPr>
        <w:lastRenderedPageBreak/>
        <w:t xml:space="preserve">independence benchmark.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 xml:space="preserve">p </w:t>
      </w:r>
      <w:r>
        <w:rPr>
          <w:rFonts w:ascii="Calibri" w:hAnsi="Calibri" w:cs="Calibri"/>
          <w:sz w:val="20"/>
          <w:szCs w:val="20"/>
        </w:rPr>
        <w:t xml:space="preserve">&lt; 0.01, and *** </w:t>
      </w:r>
      <w:r>
        <w:rPr>
          <w:rFonts w:ascii="Calibri" w:hAnsi="Calibri" w:cs="Calibri"/>
          <w:i/>
          <w:iCs/>
          <w:sz w:val="20"/>
          <w:szCs w:val="20"/>
        </w:rPr>
        <w:t xml:space="preserve">p </w:t>
      </w:r>
      <w:r>
        <w:rPr>
          <w:rFonts w:ascii="Calibri" w:hAnsi="Calibri" w:cs="Calibri"/>
          <w:sz w:val="20"/>
          <w:szCs w:val="20"/>
        </w:rPr>
        <w:t>&lt; 0.001. For dispersed subsets, significance was evaluated in the direction of higher MIESS than random subsets; for clustered subsets, significance was evaluated in the direction of lower MIESS than random subsets. Parameter definitions and interpretations are provided in Supplementary Methods Section S3.</w:t>
      </w:r>
    </w:p>
    <w:p>
      <w:pPr>
        <w:adjustRightInd w:val="0"/>
        <w:snapToGrid w:val="0"/>
        <w:spacing w:after="0" w:line="300" w:lineRule="auto"/>
        <w:rPr>
          <w:rFonts w:ascii="Calibri" w:hAnsi="Calibri" w:cs="Calibri"/>
          <w:sz w:val="20"/>
          <w:szCs w:val="20"/>
        </w:rPr>
      </w:pPr>
    </w:p>
    <w:p>
      <w:pPr>
        <w:adjustRightInd w:val="0"/>
        <w:snapToGrid w:val="0"/>
        <w:spacing w:line="300" w:lineRule="auto"/>
        <w:rPr>
          <w:rFonts w:ascii="Calibri" w:hAnsi="Calibri" w:cs="Calibri"/>
          <w:sz w:val="22"/>
          <w:szCs w:val="22"/>
        </w:rPr>
      </w:pPr>
    </w:p>
    <w:p>
      <w:pPr>
        <w:pStyle w:val="Heading3"/>
        <w:spacing w:line="264" w:lineRule="auto"/>
        <w:rPr>
          <w:rFonts w:ascii="Calibri" w:hAnsi="Calibri" w:cs="Calibri"/>
          <w:sz w:val="22"/>
          <w:szCs w:val="22"/>
        </w:rPr>
      </w:pPr>
      <w:bookmarkStart w:id="60" w:name="_Toc232605879"/>
      <w:r>
        <w:rPr>
          <w:rFonts w:ascii="Calibri" w:hAnsi="Calibri" w:cs="Calibri"/>
          <w:sz w:val="22"/>
          <w:szCs w:val="22"/>
        </w:rPr>
        <w:t>Table S10. MaxOffCor under alternative covariance assumptions in the nested Cricetidae sensitivity analysis.</w:t>
      </w:r>
      <w:bookmarkEnd w:id="6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1962"/>
        <w:gridCol w:w="2177"/>
        <w:gridCol w:w="1962"/>
        <w:gridCol w:w="2173"/>
      </w:tblGrid>
      <w:tr>
        <w:tc>
          <w:tcPr>
            <w:tcW w:w="716"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Covariance setting</w:t>
            </w:r>
          </w:p>
        </w:tc>
        <w:tc>
          <w:tcPr>
            <w:tcW w:w="1006"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37"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128, </w:t>
            </w:r>
            <w:r>
              <w:rPr>
                <w:rFonts w:ascii="Calibri" w:hAnsi="Calibri" w:cs="Calibri"/>
                <w:i/>
                <w:iCs/>
                <w:sz w:val="22"/>
                <w:szCs w:val="22"/>
                <w:lang w:eastAsia="zh-CN"/>
              </w:rPr>
              <w:t>s</w:t>
            </w:r>
            <w:r>
              <w:rPr>
                <w:rFonts w:ascii="Calibri" w:hAnsi="Calibri" w:cs="Calibri"/>
                <w:sz w:val="22"/>
                <w:szCs w:val="22"/>
                <w:lang w:eastAsia="zh-CN"/>
              </w:rPr>
              <w:t xml:space="preserve"> = 64</w:t>
            </w:r>
          </w:p>
        </w:tc>
        <w:tc>
          <w:tcPr>
            <w:tcW w:w="1006"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8</w:t>
            </w:r>
          </w:p>
        </w:tc>
        <w:tc>
          <w:tcPr>
            <w:tcW w:w="1135" w:type="pct"/>
            <w:tcBorders>
              <w:top w:val="single" w:sz="4" w:space="0" w:color="auto"/>
              <w:bottom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i/>
                <w:iCs/>
                <w:sz w:val="22"/>
                <w:szCs w:val="22"/>
                <w:lang w:eastAsia="zh-CN"/>
              </w:rPr>
              <w:t>N</w:t>
            </w:r>
            <w:r>
              <w:rPr>
                <w:rFonts w:ascii="Calibri" w:hAnsi="Calibri" w:cs="Calibri"/>
                <w:sz w:val="22"/>
                <w:szCs w:val="22"/>
                <w:lang w:eastAsia="zh-CN"/>
              </w:rPr>
              <w:t xml:space="preserve"> = 512, </w:t>
            </w:r>
            <w:r>
              <w:rPr>
                <w:rFonts w:ascii="Calibri" w:hAnsi="Calibri" w:cs="Calibri"/>
                <w:i/>
                <w:iCs/>
                <w:sz w:val="22"/>
                <w:szCs w:val="22"/>
                <w:lang w:eastAsia="zh-CN"/>
              </w:rPr>
              <w:t>s</w:t>
            </w:r>
            <w:r>
              <w:rPr>
                <w:rFonts w:ascii="Calibri" w:hAnsi="Calibri" w:cs="Calibri"/>
                <w:sz w:val="22"/>
                <w:szCs w:val="22"/>
                <w:lang w:eastAsia="zh-CN"/>
              </w:rPr>
              <w:t xml:space="preserve"> = 64</w:t>
            </w:r>
          </w:p>
        </w:tc>
      </w:tr>
      <w:tr>
        <w:tc>
          <w:tcPr>
            <w:tcW w:w="5000" w:type="pct"/>
            <w:gridSpan w:val="5"/>
            <w:tcBorders>
              <w:top w:val="single" w:sz="4" w:space="0" w:color="auto"/>
            </w:tcBorders>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 xml:space="preserve">Panel A. </w:t>
            </w:r>
            <w:r>
              <w:rPr>
                <w:rFonts w:ascii="Calibri" w:hAnsi="Calibri" w:cs="Calibri"/>
                <w:i/>
                <w:iCs/>
                <w:sz w:val="22"/>
                <w:szCs w:val="22"/>
                <w:lang w:eastAsia="zh-CN"/>
              </w:rPr>
              <w:t>λ</w:t>
            </w:r>
            <w:r>
              <w:rPr>
                <w:rFonts w:ascii="Calibri" w:hAnsi="Calibri" w:cs="Calibri"/>
                <w:sz w:val="22"/>
                <w:szCs w:val="22"/>
                <w:lang w:eastAsia="zh-CN"/>
              </w:rPr>
              <w:t>-transformed BM covariance structures</w:t>
            </w:r>
          </w:p>
        </w:tc>
      </w:tr>
      <w:tr>
        <w:tc>
          <w:tcPr>
            <w:tcW w:w="71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0.000/0.000</w:t>
            </w:r>
          </w:p>
        </w:tc>
      </w:tr>
      <w:tr>
        <w:tc>
          <w:tcPr>
            <w:tcW w:w="71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0.033***/0.098**</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0.078***/0.098</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0.031***/0.099**</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0.069***/0.099</w:t>
            </w:r>
          </w:p>
        </w:tc>
      </w:tr>
      <w:tr>
        <w:tc>
          <w:tcPr>
            <w:tcW w:w="71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0.083***/0.246**</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0.194***/0.246</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0.077***/0.248**</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0.172***/0.248</w:t>
            </w:r>
          </w:p>
        </w:tc>
      </w:tr>
      <w:tr>
        <w:tc>
          <w:tcPr>
            <w:tcW w:w="71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0.165***/0.492**</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0.388***/0.492</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0.155***/0.495**</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0.344***/0.495</w:t>
            </w:r>
          </w:p>
        </w:tc>
      </w:tr>
      <w:tr>
        <w:tc>
          <w:tcPr>
            <w:tcW w:w="71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0.248***/0.737**</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0.581***/0.737</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0.232***/0.743**</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0.516***/0.743</w:t>
            </w:r>
          </w:p>
        </w:tc>
      </w:tr>
      <w:tr>
        <w:tc>
          <w:tcPr>
            <w:tcW w:w="716" w:type="pct"/>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0.330***/0.983**</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0.775***/0.983</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0.309***/0.991**</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0.688***/0.991</w:t>
            </w:r>
          </w:p>
        </w:tc>
      </w:tr>
      <w:tr>
        <w:tc>
          <w:tcPr>
            <w:tcW w:w="5000" w:type="pct"/>
            <w:gridSpan w:val="5"/>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&lt;0.001***/0.627**</w:t>
            </w:r>
          </w:p>
        </w:tc>
        <w:tc>
          <w:tcPr>
            <w:tcW w:w="1137"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0.002***/0.627</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&lt;0.001***/0.774**</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&lt;0.001***/0.774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&lt;0.001***/0.792**</w:t>
            </w:r>
          </w:p>
        </w:tc>
        <w:tc>
          <w:tcPr>
            <w:tcW w:w="1137"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0.044***/0.792</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&lt;0.001***/0.880**</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0.013***/0.880</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0.021***/0.911**</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0.285***/0.911</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0.018***/0.950**</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0.174***/0.950</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0.100***/0.951**</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0.505***/0.951</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0.091***/0.973**</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0.383***/0.973</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0.194***/0.969**</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0.643***/0.969</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0.179***/0.983**</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0.532***/0.983</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000" w:type="pct"/>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0.169*** / 0.967**</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0.619*** / 0.967</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0.155*** / 0.982**</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0.504*** / 0.982</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0.236*** / 0.975**</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0.693*** / 0.975</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0.219*** / 0.986**</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0.589*** / 0.986</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1006"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0.309*** / 0.982**</w:t>
            </w:r>
          </w:p>
        </w:tc>
        <w:tc>
          <w:tcPr>
            <w:tcW w:w="1137"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0.758*** / 0.982</w:t>
            </w:r>
          </w:p>
        </w:tc>
        <w:tc>
          <w:tcPr>
            <w:tcW w:w="1006"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0.289*** / 0.990**</w:t>
            </w:r>
          </w:p>
        </w:tc>
        <w:tc>
          <w:tcPr>
            <w:tcW w:w="1135"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0.667*** / 0.990</w:t>
            </w:r>
          </w:p>
        </w:tc>
      </w:tr>
    </w:tbl>
    <w:p>
      <w:pPr>
        <w:adjustRightInd w:val="0"/>
        <w:snapToGrid w:val="0"/>
        <w:spacing w:after="0" w:line="300" w:lineRule="auto"/>
        <w:rPr>
          <w:rFonts w:ascii="Calibri" w:hAnsi="Calibri" w:cs="Calibri"/>
          <w:sz w:val="20"/>
          <w:szCs w:val="20"/>
        </w:rPr>
      </w:pPr>
      <w:r>
        <w:rPr>
          <w:rFonts w:ascii="Calibri" w:hAnsi="Calibri" w:cs="Calibri"/>
          <w:sz w:val="20"/>
          <w:szCs w:val="20"/>
        </w:rPr>
        <w:t xml:space="preserve">Each cell reports maximum off-diagonal correlation (MaxOffCor) values for the phylogenetically dispersed subset and the phylogenetically clustered subset, respectively, in the format dispersed / clustered. Values smaller than 0.001 are reported as &lt; 0.001, except for the λ = 0 row in Panel A, where MeanOffCor is theoretically zero under the independence benchmark.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lower MaxOffCor than random subsets; for clustered subsets, significance was evaluated in the direction of higher MaxOffCor than random subsets. MaxOffCor is most informative for dispersed subsets, because it evaluates whether the selected subset still contains a strongly correlated </w:t>
      </w:r>
      <w:r>
        <w:rPr>
          <w:rFonts w:ascii="Calibri" w:eastAsia="Times New Roman" w:hAnsi="Calibri" w:cs="Calibri"/>
          <w:sz w:val="20"/>
          <w:szCs w:val="20"/>
        </w:rPr>
        <w:t>species</w:t>
      </w:r>
      <w:r>
        <w:rPr>
          <w:rFonts w:ascii="Calibri" w:hAnsi="Calibri" w:cs="Calibri"/>
          <w:sz w:val="20"/>
          <w:szCs w:val="20"/>
        </w:rPr>
        <w:t xml:space="preserve"> pair. For clustered subsets, it remains a valid summary but is less discriminating at larger subset sizes, because random subsets may already contain at least one highly correlated species pair; therefore, nonsignificant clustered-subset MaxOffCor values for </w:t>
      </w:r>
      <w:r>
        <w:rPr>
          <w:rFonts w:ascii="Calibri" w:hAnsi="Calibri" w:cs="Calibri"/>
          <w:i/>
          <w:iCs/>
          <w:sz w:val="20"/>
          <w:szCs w:val="20"/>
        </w:rPr>
        <w:t>s</w:t>
      </w:r>
      <w:r>
        <w:rPr>
          <w:rFonts w:ascii="Calibri" w:hAnsi="Calibri" w:cs="Calibri"/>
          <w:sz w:val="20"/>
          <w:szCs w:val="20"/>
        </w:rPr>
        <w:t xml:space="preserve"> = 64 do not necessarily indicate weak clustering. If clustered subsets were the primary object of analysis, minimum off-diagonal correlation (MinOffCor) would provide a more targeted diagnostic, because it evaluates whether even the least correlated pair within a subset remains relatively dependent. Parameter definitions and interpretations are provided in Supplementary Methods Section S3.</w:t>
      </w:r>
    </w:p>
    <w:p>
      <w:pPr>
        <w:spacing w:after="0"/>
        <w:rPr>
          <w:rFonts w:ascii="Calibri" w:hAnsi="Calibri" w:cs="Calibri"/>
          <w:sz w:val="22"/>
          <w:szCs w:val="22"/>
        </w:rPr>
      </w:pPr>
      <w:r>
        <w:rPr>
          <w:rFonts w:ascii="Calibri" w:hAnsi="Calibri" w:cs="Calibri"/>
          <w:sz w:val="22"/>
          <w:szCs w:val="22"/>
        </w:rPr>
        <w:br w:type="page"/>
      </w:r>
    </w:p>
    <w:p>
      <w:pPr>
        <w:pStyle w:val="Heading3"/>
        <w:spacing w:line="264" w:lineRule="auto"/>
        <w:rPr>
          <w:rFonts w:ascii="Calibri" w:hAnsi="Calibri" w:cs="Calibri"/>
          <w:sz w:val="22"/>
          <w:szCs w:val="22"/>
        </w:rPr>
      </w:pPr>
      <w:bookmarkStart w:id="61" w:name="_Toc232605880"/>
      <w:r>
        <w:rPr>
          <w:rFonts w:ascii="Calibri" w:hAnsi="Calibri" w:cs="Calibri"/>
          <w:sz w:val="22"/>
          <w:szCs w:val="22"/>
        </w:rPr>
        <w:lastRenderedPageBreak/>
        <w:t>Table S11. PIESS for RMSE under alternative covariance assumptions in the nested Cricetidae sensitivity analysis.</w:t>
      </w:r>
      <w:bookmarkEnd w:id="6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1669"/>
        <w:gridCol w:w="2061"/>
        <w:gridCol w:w="1669"/>
        <w:gridCol w:w="2061"/>
      </w:tblGrid>
      <w:tr>
        <w:tc>
          <w:tcPr>
            <w:tcW w:w="0" w:type="auto"/>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Covariance setting</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64</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64</w:t>
            </w:r>
          </w:p>
        </w:tc>
      </w:tr>
      <w:tr>
        <w:tc>
          <w:tcPr>
            <w:tcW w:w="0" w:type="auto"/>
            <w:gridSpan w:val="5"/>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 xml:space="preserve">Panel A. </w:t>
            </w: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-transformed BM covariance structures</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8.20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62.81 / 62.25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8.07 / 8.15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62.07 / 62.46</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7.68**</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59.61 / 56.21***</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8.14 / 7.75*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59.35 / 49.65***</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6.45***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47.72* / 31.88***</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7.71 / 6.46***</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50.67*** / 21.87***</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7.81**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27.11 / 14.17***</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8.03***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29.89** / 8.35***</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7.75***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16.13* / 8.06***</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7.92***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19.86*** / 4.06***</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7.45***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10.81** / 4.67***</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12.17*** / &lt;4***</w:t>
            </w:r>
          </w:p>
        </w:tc>
      </w:tr>
      <w:tr>
        <w:tc>
          <w:tcPr>
            <w:tcW w:w="0" w:type="auto"/>
            <w:gridSpan w:val="5"/>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8.01 / 7.15***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62.59 / 62.26</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7.90 / 5.79***</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62.14 / 57.00*</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8.00 / 4.99***</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62.40* / 54.29**</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7.98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62.98*** / 36.38**</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8.01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53.22*** / 32.72***</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8.12*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57.97*** / 10.08***</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28.59*** / 15.17***</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7.90**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35.51*** / 4.74***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7.85***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19.01*** / 8.40***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21.54*** / &lt;4***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7.79***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11.02* / 5.34***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7.64***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13.57*** / &lt;4***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7.87***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14.58** / 7.05***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7.91***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17.69*** / &lt;4***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8.05*** / &lt;4**</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20.20*** / 8.99***</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24.01*** / &lt;4***</w:t>
            </w:r>
          </w:p>
        </w:tc>
      </w:tr>
    </w:tbl>
    <w:p>
      <w:pPr>
        <w:adjustRightInd w:val="0"/>
        <w:snapToGrid w:val="0"/>
        <w:spacing w:line="264" w:lineRule="auto"/>
        <w:rPr>
          <w:rFonts w:ascii="Calibri" w:hAnsi="Calibri" w:cs="Calibri"/>
          <w:sz w:val="20"/>
          <w:szCs w:val="20"/>
        </w:rPr>
      </w:pPr>
      <w:r>
        <w:rPr>
          <w:rFonts w:ascii="Calibri" w:hAnsi="Calibri" w:cs="Calibri"/>
          <w:sz w:val="20"/>
          <w:szCs w:val="20"/>
        </w:rPr>
        <w:t xml:space="preserve">Each cell reports prediction-metric-based independence-equivalent sample size (PIESS) values for RMSE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20"/>
          <w:szCs w:val="20"/>
        </w:rPr>
        <w:t>λ</w:t>
      </w:r>
      <w:r>
        <w:rPr>
          <w:rFonts w:ascii="Calibri" w:hAnsi="Calibri" w:cs="Calibri"/>
          <w:sz w:val="20"/>
          <w:szCs w:val="20"/>
        </w:rPr>
        <w:t xml:space="preserve"> = 0 represents the limiting case in which all off-diagonal phylogenetic covariance is removed; under this condition, PIESS is expected to equal the nominal subset size. </w:t>
      </w:r>
      <w:r>
        <w:rPr>
          <w:rFonts w:ascii="Calibri" w:hAnsi="Calibri" w:cs="Calibri"/>
          <w:sz w:val="20"/>
          <w:szCs w:val="20"/>
        </w:rPr>
        <w:t>Parameter definitions and interpretations are provided in Supplementary Methods Section S3.</w:t>
      </w:r>
    </w:p>
    <w:p>
      <w:pPr>
        <w:spacing w:after="0"/>
        <w:rPr>
          <w:rFonts w:ascii="Calibri" w:hAnsi="Calibri" w:cs="Calibri"/>
          <w:sz w:val="22"/>
          <w:szCs w:val="22"/>
        </w:rPr>
      </w:pPr>
      <w:r>
        <w:rPr>
          <w:rFonts w:ascii="Calibri" w:hAnsi="Calibri" w:cs="Calibri"/>
          <w:sz w:val="22"/>
          <w:szCs w:val="22"/>
        </w:rPr>
        <w:br w:type="page"/>
      </w:r>
    </w:p>
    <w:p>
      <w:pPr>
        <w:adjustRightInd w:val="0"/>
        <w:snapToGrid w:val="0"/>
        <w:spacing w:line="264" w:lineRule="auto"/>
        <w:rPr>
          <w:rFonts w:ascii="Calibri" w:hAnsi="Calibri" w:cs="Calibri"/>
          <w:sz w:val="22"/>
          <w:szCs w:val="22"/>
        </w:rPr>
      </w:pPr>
    </w:p>
    <w:p>
      <w:pPr>
        <w:pStyle w:val="Heading3"/>
        <w:spacing w:line="264" w:lineRule="auto"/>
        <w:rPr>
          <w:rFonts w:ascii="Calibri" w:hAnsi="Calibri" w:cs="Calibri"/>
          <w:sz w:val="22"/>
          <w:szCs w:val="22"/>
        </w:rPr>
      </w:pPr>
      <w:bookmarkStart w:id="62" w:name="_Toc232605881"/>
      <w:r>
        <w:rPr>
          <w:rFonts w:ascii="Calibri" w:hAnsi="Calibri" w:cs="Calibri"/>
          <w:sz w:val="22"/>
          <w:szCs w:val="22"/>
        </w:rPr>
        <w:t>Table S12. PIESS for MAE under alternative covariance assumptions in the nested Cricetidae sensitivity analysis.</w:t>
      </w:r>
      <w:bookmarkEnd w:id="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1669"/>
        <w:gridCol w:w="2061"/>
        <w:gridCol w:w="1669"/>
        <w:gridCol w:w="2061"/>
      </w:tblGrid>
      <w:tr>
        <w:tc>
          <w:tcPr>
            <w:tcW w:w="0" w:type="auto"/>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Covariance setting</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128, s = 64</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2"/>
                <w:szCs w:val="22"/>
                <w:lang w:eastAsia="zh-CN"/>
              </w:rPr>
            </w:pPr>
            <w:r>
              <w:rPr>
                <w:rFonts w:ascii="Calibri" w:eastAsia="Times New Roman" w:hAnsi="Calibri" w:cs="Calibri"/>
                <w:sz w:val="22"/>
                <w:szCs w:val="22"/>
                <w:lang w:eastAsia="zh-CN"/>
              </w:rPr>
              <w:t>N = 512, s = 64</w:t>
            </w:r>
          </w:p>
        </w:tc>
      </w:tr>
      <w:tr>
        <w:tc>
          <w:tcPr>
            <w:tcW w:w="0" w:type="auto"/>
            <w:gridSpan w:val="5"/>
            <w:tcBorders>
              <w:top w:val="single" w:sz="4" w:space="0" w:color="auto"/>
            </w:tcBorders>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 xml:space="preserve">Panel A. </w:t>
            </w: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-transformed BM covariance structures</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7.74 / 8.09</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67.41* / 62.37</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7.82 / 7.96</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61.15 / 62.44</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0.10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7.84 / 7.36***</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58.35 / 56.44**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7.79 / 7.60*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58.61 / 48.62**</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0.25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7.88* / 5.84***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45.48 / 31.94***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7.61 / 5.90***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51.53*** / 19.88***</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0.50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25.66 / 12.49***</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7.78***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28.73** / 6.92***</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0.75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7.69***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15.54 / 6.55***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7.85***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17.76*** / &lt;4***</w:t>
            </w:r>
          </w:p>
        </w:tc>
      </w:tr>
      <w:tr>
        <w:tc>
          <w:tcPr>
            <w:tcW w:w="0" w:type="auto"/>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λ</w:t>
            </w:r>
            <w:r>
              <w:rPr>
                <w:rFonts w:ascii="Calibri" w:eastAsia="Times New Roman" w:hAnsi="Calibri" w:cs="Calibri"/>
                <w:sz w:val="22"/>
                <w:szCs w:val="22"/>
                <w:lang w:eastAsia="zh-CN"/>
              </w:rPr>
              <w:t xml:space="preserve"> = 1.00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7.38***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10.14*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 / &lt;4</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10.62** / &lt;4***</w:t>
            </w:r>
          </w:p>
        </w:tc>
      </w:tr>
      <w:tr>
        <w:tc>
          <w:tcPr>
            <w:tcW w:w="0" w:type="auto"/>
            <w:gridSpan w:val="5"/>
          </w:tcPr>
          <w:p>
            <w:pPr>
              <w:adjustRightInd w:val="0"/>
              <w:snapToGrid w:val="0"/>
              <w:spacing w:after="0" w:line="300" w:lineRule="auto"/>
              <w:rPr>
                <w:rFonts w:ascii="Calibri" w:hAnsi="Calibri" w:cs="Calibri"/>
                <w:sz w:val="22"/>
                <w:szCs w:val="22"/>
                <w:lang w:eastAsia="zh-CN"/>
              </w:rPr>
            </w:pPr>
            <w:r>
              <w:rPr>
                <w:rFonts w:ascii="Calibri" w:hAnsi="Calibri" w:cs="Calibri"/>
                <w:sz w:val="22"/>
                <w:szCs w:val="22"/>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0.05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7.91 / 7.04***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67.06 / 62.61</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7.71 / 5.48***</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61.39 / 56.06</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0.10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7.89 / 4.43***</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62.13 / 55.40*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7.86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67.14** / 37.60***</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0.25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7.88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53.99*** / 32.33***</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7.89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58.58*** / 8.41***</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0.50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7.87***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29.67*** / 13.97***</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7.83**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35.29*** / &lt;4***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i/>
                <w:iCs/>
                <w:sz w:val="22"/>
                <w:szCs w:val="22"/>
                <w:lang w:eastAsia="zh-CN"/>
              </w:rPr>
              <w:t>h</w:t>
            </w:r>
            <w:r>
              <w:rPr>
                <w:rFonts w:ascii="Calibri" w:eastAsia="Times New Roman" w:hAnsi="Calibri" w:cs="Calibri"/>
                <w:sz w:val="22"/>
                <w:szCs w:val="22"/>
                <w:lang w:eastAsia="zh-CN"/>
              </w:rPr>
              <w:t>/</w:t>
            </w:r>
            <w:r>
              <w:rPr>
                <w:rFonts w:ascii="Calibri" w:eastAsia="Times New Roman" w:hAnsi="Calibri" w:cs="Calibri"/>
                <w:i/>
                <w:iCs/>
                <w:sz w:val="22"/>
                <w:szCs w:val="22"/>
                <w:lang w:eastAsia="zh-CN"/>
              </w:rPr>
              <w:t>H</w:t>
            </w:r>
            <w:r>
              <w:rPr>
                <w:rFonts w:ascii="Calibri" w:eastAsia="Times New Roman" w:hAnsi="Calibri" w:cs="Calibri"/>
                <w:sz w:val="22"/>
                <w:szCs w:val="22"/>
                <w:lang w:eastAsia="zh-CN"/>
              </w:rPr>
              <w:t xml:space="preserve"> = 1.00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7.73***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17.17*** / 7.28***</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7.59**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19.90*** / &lt;4***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sz w:val="22"/>
                <w:szCs w:val="22"/>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1</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7.64***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10.27 / 4.12***</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7.57***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12.49*** / &lt;4***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7.60***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13.62* / 5.63***</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7.76*** / &lt;4</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16.52*** / &lt;4***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hint="eastAsia"/>
                <w:i/>
                <w:iCs/>
              </w:rPr>
              <w:t>r</w:t>
            </w:r>
            <w:r>
              <w:rPr>
                <w:rFonts w:hint="eastAsia"/>
              </w:rPr>
              <w:t xml:space="preserve"> = </w:t>
            </w:r>
            <w:r>
              <w:rPr>
                <w:rFonts w:ascii="Cambria Math" w:eastAsia="Times New Roman" w:hAnsi="Cambria Math" w:cs="Calibri"/>
                <w:sz w:val="22"/>
                <w:szCs w:val="22"/>
                <w:lang w:eastAsia="zh-CN"/>
              </w:rPr>
              <w:t>−</w:t>
            </w:r>
            <w:r>
              <w:rPr>
                <w:rFonts w:ascii="Calibri" w:eastAsia="Times New Roman" w:hAnsi="Calibri" w:cs="Calibri" w:hint="eastAsia"/>
                <w:sz w:val="22"/>
                <w:szCs w:val="22"/>
                <w:lang w:eastAsia="zh-CN"/>
              </w:rPr>
              <w:t>0.1</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7.74*** / &lt;4*</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19.61*** / 7.89***</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7.77*** / &lt;4*</w:t>
            </w: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2"/>
                <w:szCs w:val="22"/>
                <w:lang w:eastAsia="zh-CN"/>
              </w:rPr>
            </w:pPr>
            <w:r>
              <w:rPr>
                <w:rFonts w:ascii="Calibri" w:eastAsia="Times New Roman" w:hAnsi="Calibri" w:cs="Calibri" w:hint="eastAsia"/>
                <w:sz w:val="22"/>
                <w:szCs w:val="22"/>
                <w:lang w:eastAsia="zh-CN"/>
              </w:rPr>
              <w:t>23.32*** / &lt;4***</w:t>
            </w:r>
          </w:p>
        </w:tc>
      </w:tr>
    </w:tbl>
    <w:p>
      <w:pPr>
        <w:adjustRightInd w:val="0"/>
        <w:snapToGrid w:val="0"/>
        <w:spacing w:line="264" w:lineRule="auto"/>
        <w:rPr>
          <w:rFonts w:ascii="Calibri" w:hAnsi="Calibri" w:cs="Calibri"/>
          <w:sz w:val="20"/>
          <w:szCs w:val="20"/>
        </w:rPr>
      </w:pPr>
      <w:r>
        <w:rPr>
          <w:rFonts w:ascii="Calibri" w:hAnsi="Calibri" w:cs="Calibri"/>
          <w:sz w:val="20"/>
          <w:szCs w:val="20"/>
        </w:rPr>
        <w:t xml:space="preserve">Each cell reports prediction-metric-based independence-equivalent sample size (PIESS) values for MAE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20"/>
          <w:szCs w:val="20"/>
        </w:rPr>
        <w:t>p</w:t>
      </w:r>
      <w:r>
        <w:rPr>
          <w:rFonts w:ascii="Calibri" w:hAnsi="Calibri" w:cs="Calibri"/>
          <w:sz w:val="20"/>
          <w:szCs w:val="20"/>
        </w:rPr>
        <w:t xml:space="preserve"> &lt; 0.05, ** </w:t>
      </w:r>
      <w:r>
        <w:rPr>
          <w:rFonts w:ascii="Calibri" w:hAnsi="Calibri" w:cs="Calibri"/>
          <w:i/>
          <w:iCs/>
          <w:sz w:val="20"/>
          <w:szCs w:val="20"/>
        </w:rPr>
        <w:t>p</w:t>
      </w:r>
      <w:r>
        <w:rPr>
          <w:rFonts w:ascii="Calibri" w:hAnsi="Calibri" w:cs="Calibri"/>
          <w:sz w:val="20"/>
          <w:szCs w:val="20"/>
        </w:rPr>
        <w:t xml:space="preserve"> &lt; 0.01, and *** </w:t>
      </w:r>
      <w:r>
        <w:rPr>
          <w:rFonts w:ascii="Calibri" w:hAnsi="Calibri" w:cs="Calibri"/>
          <w:i/>
          <w:iCs/>
          <w:sz w:val="20"/>
          <w:szCs w:val="20"/>
        </w:rPr>
        <w:t>p</w:t>
      </w:r>
      <w:r>
        <w:rPr>
          <w:rFonts w:ascii="Calibri" w:hAnsi="Calibri" w:cs="Calibri"/>
          <w:sz w:val="20"/>
          <w:szCs w:val="20"/>
        </w:rPr>
        <w:t xml:space="preserve"> &lt; 0.001.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20"/>
          <w:szCs w:val="20"/>
        </w:rPr>
        <w:t>λ</w:t>
      </w:r>
      <w:r>
        <w:rPr>
          <w:rFonts w:ascii="Calibri" w:hAnsi="Calibri" w:cs="Calibri"/>
          <w:sz w:val="20"/>
          <w:szCs w:val="20"/>
        </w:rPr>
        <w:t xml:space="preserve"> = 0 represents the limiting case in which all off-diagonal phylogenetic covariance is removed; under this condition, PIESS is expected to equal the nominal subset size. </w:t>
      </w:r>
      <w:r>
        <w:rPr>
          <w:rFonts w:ascii="Calibri" w:hAnsi="Calibri" w:cs="Calibri"/>
          <w:sz w:val="20"/>
          <w:szCs w:val="20"/>
        </w:rPr>
        <w:t>Parameter definitions and interpretations are provided in Supplementary Methods Section S3.</w:t>
      </w:r>
    </w:p>
    <w:p>
      <w:pPr>
        <w:spacing w:after="0"/>
        <w:rPr>
          <w:rFonts w:ascii="Calibri" w:hAnsi="Calibri" w:cs="Calibri"/>
          <w:sz w:val="22"/>
          <w:szCs w:val="22"/>
        </w:rPr>
      </w:pPr>
      <w:r>
        <w:rPr>
          <w:rFonts w:ascii="Calibri" w:hAnsi="Calibri" w:cs="Calibri"/>
          <w:sz w:val="22"/>
          <w:szCs w:val="22"/>
        </w:rPr>
        <w:br w:type="page"/>
      </w:r>
    </w:p>
    <w:p>
      <w:pPr>
        <w:pStyle w:val="Heading1"/>
        <w:spacing w:line="264" w:lineRule="auto"/>
        <w:rPr>
          <w:rFonts w:ascii="Calibri" w:hAnsi="Calibri" w:cs="Calibri"/>
        </w:rPr>
      </w:pPr>
      <w:bookmarkStart w:id="63" w:name="references-for-appendix-1"/>
      <w:bookmarkStart w:id="64" w:name="_Toc232605882"/>
      <w:r>
        <w:rPr>
          <w:rFonts w:ascii="Calibri" w:hAnsi="Calibri" w:cs="Calibri"/>
        </w:rPr>
        <w:lastRenderedPageBreak/>
        <w:t>References for Supplementary Materials</w:t>
      </w:r>
      <w:bookmarkEnd w:id="64"/>
    </w:p>
    <w:p>
      <w:pPr>
        <w:pStyle w:val="FirstParagraph"/>
        <w:spacing w:line="264" w:lineRule="auto"/>
        <w:rPr>
          <w:rFonts w:ascii="Calibri" w:hAnsi="Calibri" w:cs="Calibri"/>
          <w:sz w:val="22"/>
          <w:szCs w:val="22"/>
        </w:rPr>
      </w:pPr>
      <w:r>
        <w:rPr>
          <w:rFonts w:ascii="Calibri" w:hAnsi="Calibri" w:cs="Calibri"/>
          <w:sz w:val="22"/>
          <w:szCs w:val="22"/>
        </w:rPr>
        <w:t xml:space="preserve">Aitken, A. C. 1936. IV.—On least squares and linear combination of observations. </w:t>
      </w:r>
      <w:r>
        <w:rPr>
          <w:rFonts w:ascii="Calibri" w:hAnsi="Calibri" w:cs="Calibri"/>
          <w:i/>
          <w:iCs/>
          <w:sz w:val="22"/>
          <w:szCs w:val="22"/>
        </w:rPr>
        <w:t>Proceedings of the Royal Society of Edinburgh</w:t>
      </w:r>
      <w:r>
        <w:rPr>
          <w:rFonts w:ascii="Calibri" w:hAnsi="Calibri" w:cs="Calibri"/>
          <w:sz w:val="22"/>
          <w:szCs w:val="22"/>
        </w:rPr>
        <w:t xml:space="preserve"> 55:42–48.</w:t>
      </w:r>
    </w:p>
    <w:p>
      <w:pPr>
        <w:pStyle w:val="FirstParagraph"/>
        <w:spacing w:line="264" w:lineRule="auto"/>
        <w:rPr>
          <w:rFonts w:ascii="Calibri" w:hAnsi="Calibri" w:cs="Calibri"/>
          <w:sz w:val="22"/>
          <w:szCs w:val="22"/>
        </w:rPr>
      </w:pPr>
      <w:r>
        <w:rPr>
          <w:rFonts w:ascii="Calibri" w:hAnsi="Calibri" w:cs="Calibri"/>
          <w:sz w:val="22"/>
          <w:szCs w:val="22"/>
        </w:rPr>
        <w:t>Blomberg, S. P., T. Garland Jr., and A. R. Ives. 2003. Testing for phylogenetic signal in comparative data: behavioral traits are more labile. Evolution 57:717–745.</w:t>
      </w:r>
    </w:p>
    <w:p>
      <w:pPr>
        <w:pStyle w:val="BodyText"/>
        <w:spacing w:line="264" w:lineRule="auto"/>
        <w:rPr>
          <w:rFonts w:ascii="Calibri" w:hAnsi="Calibri" w:cs="Calibri"/>
          <w:sz w:val="22"/>
          <w:szCs w:val="22"/>
        </w:rPr>
      </w:pPr>
      <w:r>
        <w:rPr>
          <w:rFonts w:ascii="Calibri" w:hAnsi="Calibri" w:cs="Calibri"/>
          <w:sz w:val="22"/>
          <w:szCs w:val="22"/>
        </w:rPr>
        <w:t xml:space="preserve">Faes, C., G. Molenberghs, M. Aerts, G. Verbeke, and M. G. Kenward. 2009. The effective sample size and an alternative small-sample degrees-of-freedom method. </w:t>
      </w:r>
      <w:r>
        <w:rPr>
          <w:rFonts w:ascii="Calibri" w:hAnsi="Calibri" w:cs="Calibri"/>
          <w:i/>
          <w:iCs/>
          <w:sz w:val="22"/>
          <w:szCs w:val="22"/>
        </w:rPr>
        <w:t>The American Statistician</w:t>
      </w:r>
      <w:r>
        <w:rPr>
          <w:rFonts w:ascii="Calibri" w:hAnsi="Calibri" w:cs="Calibri"/>
          <w:sz w:val="22"/>
          <w:szCs w:val="22"/>
        </w:rPr>
        <w:t xml:space="preserve"> 63:389–399.</w:t>
      </w:r>
      <w:bookmarkEnd w:id="63"/>
    </w:p>
    <w:p>
      <w:pPr>
        <w:pStyle w:val="BodyText"/>
        <w:spacing w:line="264" w:lineRule="auto"/>
        <w:rPr>
          <w:rFonts w:ascii="Calibri" w:hAnsi="Calibri" w:cs="Calibri"/>
          <w:sz w:val="22"/>
          <w:szCs w:val="22"/>
        </w:rPr>
      </w:pPr>
      <w:r>
        <w:rPr>
          <w:rFonts w:ascii="Calibri" w:hAnsi="Calibri" w:cs="Calibri"/>
          <w:sz w:val="22"/>
          <w:szCs w:val="22"/>
        </w:rPr>
        <w:t>Pagel, M. 1999. Inferring the historical patterns of biological evolution. Nature 401:877–884.</w:t>
      </w:r>
    </w:p>
    <w:p>
      <w:pPr>
        <w:pStyle w:val="BodyText"/>
        <w:spacing w:line="264" w:lineRule="auto"/>
        <w:rPr>
          <w:rFonts w:ascii="Calibri" w:hAnsi="Calibri" w:cs="Calibri"/>
          <w:sz w:val="28"/>
          <w:szCs w:val="28"/>
        </w:rPr>
      </w:pPr>
      <w:r>
        <w:rPr>
          <w:rFonts w:ascii="Calibri" w:hAnsi="Calibri" w:cs="Calibri"/>
          <w:sz w:val="22"/>
          <w:szCs w:val="22"/>
        </w:rPr>
        <w:t>Upham N.S., Esselstyn J.A., Jetz W. 2019. Inferring the mammal tree: Species-level sets of phylogenies for questions in ecology, evolution, and conservation. PLoS Biol., 17(12):e3000494.</w:t>
      </w:r>
    </w:p>
    <w:sectPr>
      <w:footerReference w:type="default" r:id="rId10"/>
      <w:pgSz w:w="11906" w:h="16838"/>
      <w:pgMar w:top="1134" w:right="1134" w:bottom="1134" w:left="1134" w:header="720"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pPr>
      <w:r>
        <w:separator/>
      </w:r>
    </w:p>
  </w:endnote>
  <w:endnote w:type="continuationSeparator" w:id="0">
    <w:p>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686935"/>
      <w:docPartObj>
        <w:docPartGallery w:val="AutoText"/>
      </w:docPartObj>
    </w:sdtPr>
    <w:sdtContent>
      <w:p>
        <w:pPr>
          <w:pStyle w:val="Footer"/>
          <w:jc w:val="cente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pPr>
      <w:r>
        <w:separator/>
      </w:r>
    </w:p>
  </w:footnote>
  <w:footnote w:type="continuationSeparator" w:id="0">
    <w:p>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00A9941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00A99415"/>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2D0548A0"/>
    <w:multiLevelType w:val="hybridMultilevel"/>
    <w:tmpl w:val="AF76D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F2673"/>
    <w:multiLevelType w:val="hybridMultilevel"/>
    <w:tmpl w:val="2220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1D5C0F"/>
    <w:multiLevelType w:val="hybridMultilevel"/>
    <w:tmpl w:val="0B82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4248FF"/>
    <w:multiLevelType w:val="hybridMultilevel"/>
    <w:tmpl w:val="5FD2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5AC137E-7986-4A9C-912D-52D2A8A4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hAnsiTheme="minorHAnsi" w:cstheme="minorBidi"/>
      <w:sz w:val="24"/>
      <w:szCs w:val="24"/>
      <w:lang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Caption">
    <w:name w:val="caption"/>
    <w:basedOn w:val="Normal"/>
    <w:link w:val="CaptionChar"/>
    <w:pPr>
      <w:spacing w:after="120"/>
    </w:pPr>
    <w:rPr>
      <w:i/>
    </w:rPr>
  </w:style>
  <w:style w:type="paragraph" w:styleId="BlockText">
    <w:name w:val="Block Text"/>
    <w:basedOn w:val="BodyText"/>
    <w:next w:val="BodyText"/>
    <w:uiPriority w:val="9"/>
    <w:unhideWhenUsed/>
    <w:qFormat/>
    <w:pPr>
      <w:spacing w:before="100" w:after="100"/>
      <w:ind w:left="480" w:right="480"/>
    </w:pPr>
  </w:style>
  <w:style w:type="paragraph" w:styleId="TOC3">
    <w:name w:val="toc 3"/>
    <w:basedOn w:val="Normal"/>
    <w:next w:val="Normal"/>
    <w:autoRedefine/>
    <w:uiPriority w:val="39"/>
    <w:unhideWhenUsed/>
    <w:qFormat/>
    <w:pPr>
      <w:spacing w:after="100"/>
      <w:ind w:left="480"/>
    </w:pPr>
    <w:rPr>
      <w:sz w:val="18"/>
    </w:rPr>
  </w:style>
  <w:style w:type="paragraph" w:styleId="Date">
    <w:name w:val="Date"/>
    <w:next w:val="BodyText"/>
    <w:qFormat/>
    <w:pPr>
      <w:keepNext/>
      <w:keepLines/>
      <w:spacing w:after="200"/>
      <w:jc w:val="center"/>
    </w:pPr>
    <w:rPr>
      <w:rFonts w:asciiTheme="minorHAnsi" w:hAnsiTheme="minorHAnsi" w:cstheme="minorBidi"/>
      <w:sz w:val="24"/>
      <w:szCs w:val="24"/>
      <w:lang w:eastAsia="en-US"/>
    </w:rPr>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nhideWhenUsed/>
    <w:pPr>
      <w:tabs>
        <w:tab w:val="center" w:pos="4680"/>
        <w:tab w:val="right" w:pos="9360"/>
      </w:tabs>
      <w:spacing w:after="0"/>
    </w:pPr>
  </w:style>
  <w:style w:type="paragraph" w:styleId="TOC1">
    <w:name w:val="toc 1"/>
    <w:basedOn w:val="Normal"/>
    <w:next w:val="Normal"/>
    <w:autoRedefine/>
    <w:uiPriority w:val="39"/>
    <w:unhideWhenUsed/>
    <w:qFormat/>
    <w:pPr>
      <w:spacing w:after="100"/>
    </w:pPr>
    <w:rPr>
      <w:sz w:val="22"/>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FootnoteText">
    <w:name w:val="footnote text"/>
    <w:basedOn w:val="Normal"/>
    <w:uiPriority w:val="9"/>
    <w:unhideWhenUsed/>
    <w:qFormat/>
  </w:style>
  <w:style w:type="paragraph" w:styleId="TOC2">
    <w:name w:val="toc 2"/>
    <w:basedOn w:val="Normal"/>
    <w:next w:val="Normal"/>
    <w:autoRedefine/>
    <w:uiPriority w:val="39"/>
    <w:unhideWhenUsed/>
    <w:qFormat/>
    <w:pPr>
      <w:spacing w:after="100"/>
      <w:ind w:left="240"/>
    </w:pPr>
    <w:rPr>
      <w:sz w:val="20"/>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eastAsia="zh-CN"/>
    </w:rPr>
  </w:style>
  <w:style w:type="table" w:styleId="TableGrid">
    <w:name w:val="Table Grid"/>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CaptionChar"/>
    <w:uiPriority w:val="99"/>
    <w:rPr>
      <w:color w:val="4F81BD" w:themeColor="accent1"/>
    </w:rPr>
  </w:style>
  <w:style w:type="character" w:customStyle="1" w:styleId="CaptionChar">
    <w:name w:val="Caption Char"/>
    <w:basedOn w:val="DefaultParagraphFont"/>
    <w:link w:val="Caption"/>
  </w:style>
  <w:style w:type="character" w:styleId="FootnoteReference">
    <w:name w:val="footnote reference"/>
    <w:basedOn w:val="CaptionChar"/>
    <w:rPr>
      <w:vertAlign w:val="superscript"/>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hAnsiTheme="minorHAnsi" w:cstheme="minorBidi"/>
      <w:sz w:val="24"/>
      <w:szCs w:val="24"/>
      <w:lang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rFonts w:asciiTheme="minorHAnsi" w:hAnsiTheme="minorHAnsi" w:cstheme="minorBidi"/>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style>
  <w:style w:type="table" w:customStyle="1" w:styleId="TableGrid1">
    <w:name w:val="Table Grid1"/>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pPr>
      <w:spacing w:before="240" w:line="259" w:lineRule="auto"/>
      <w:outlineLvl w:val="9"/>
    </w:pPr>
    <w:rPr>
      <w:b w:val="0"/>
      <w:bCs w:val="0"/>
      <w:color w:val="365F91" w:themeColor="accent1" w:themeShade="BF"/>
    </w:rPr>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6CC2C-8DB6-4E40-B152-3A91B9C1E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30</Pages>
  <Words>11765</Words>
  <Characters>67061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Deng-Ke Niu</dc:creator>
  <cp:lastModifiedBy>Deng-Ke Niu</cp:lastModifiedBy>
  <cp:revision>10</cp:revision>
  <cp:lastPrinted>2026-05-31T16:28:00Z</cp:lastPrinted>
  <dcterms:created xsi:type="dcterms:W3CDTF">2026-06-16T03:57:00Z</dcterms:created>
  <dcterms:modified xsi:type="dcterms:W3CDTF">2026-06-17T08:23:00Z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eyJoZGlkIjoiZDZjMDQ5M2M4ODU5YzljZGI1YzMxNzU4ZjhiOGU5NzIiLCJ1c2VySWQiOiIxMTAwMjQwNCJ9</vt:lpwstr>
  </property>
  <property fmtid="{D5CDD505-2E9C-101B-9397-08002B2CF9AE}" pid="3" name="KSOProductBuildVer">
    <vt:lpwstr>2052-12.1.0.23542</vt:lpwstr>
  </property>
  <property fmtid="{D5CDD505-2E9C-101B-9397-08002B2CF9AE}" pid="4" name="ICV">
    <vt:lpwstr>DDB2EE6B7EC042DAA053733F39362A33_13</vt:lpwstr>
  </property>
</Properties>
</file>