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08D68">
      <w:pPr>
        <w:widowControl w:val="0"/>
        <w:adjustRightInd w:val="0"/>
        <w:snapToGrid w:val="0"/>
        <w:spacing w:line="360" w:lineRule="auto"/>
        <w:rPr>
          <w:rFonts w:eastAsiaTheme="minorEastAsia"/>
          <w:b/>
          <w:sz w:val="32"/>
          <w:szCs w:val="32"/>
        </w:rPr>
      </w:pPr>
      <w:r>
        <w:rPr>
          <w:rFonts w:eastAsiaTheme="minorEastAsia"/>
          <w:b/>
          <w:sz w:val="32"/>
          <w:szCs w:val="32"/>
        </w:rPr>
        <w:t>Beyond Nominal Species Counts: Phylogenetic Dispersion Reveals Limited Effective Information for Species-Level Predictive Evaluation</w:t>
      </w:r>
    </w:p>
    <w:p w14:paraId="404FC788">
      <w:pPr>
        <w:widowControl w:val="0"/>
        <w:adjustRightInd w:val="0"/>
        <w:snapToGrid w:val="0"/>
        <w:spacing w:line="360" w:lineRule="auto"/>
        <w:rPr>
          <w:rFonts w:eastAsiaTheme="minorEastAsia"/>
          <w:bCs/>
        </w:rPr>
      </w:pPr>
    </w:p>
    <w:p w14:paraId="0FE63A5D">
      <w:pPr>
        <w:widowControl w:val="0"/>
        <w:adjustRightInd w:val="0"/>
        <w:snapToGrid w:val="0"/>
        <w:spacing w:line="360" w:lineRule="auto"/>
        <w:rPr>
          <w:rFonts w:eastAsia="黑体"/>
          <w:bCs/>
        </w:rPr>
      </w:pPr>
      <w:r>
        <w:rPr>
          <w:rFonts w:eastAsia="黑体"/>
          <w:bCs/>
        </w:rPr>
        <w:t>Rui Huang, Bin Qi and Deng-Ke Niu</w:t>
      </w:r>
      <w:r>
        <w:rPr>
          <w:rFonts w:eastAsia="黑体"/>
          <w:bCs/>
          <w:vertAlign w:val="superscript"/>
        </w:rPr>
        <w:t>*</w:t>
      </w:r>
    </w:p>
    <w:p w14:paraId="4A510A4A">
      <w:pPr>
        <w:widowControl w:val="0"/>
        <w:adjustRightInd w:val="0"/>
        <w:snapToGrid w:val="0"/>
        <w:spacing w:line="360" w:lineRule="auto"/>
        <w:rPr>
          <w:rFonts w:eastAsia="黑体"/>
          <w:bCs/>
        </w:rPr>
      </w:pPr>
    </w:p>
    <w:p w14:paraId="77971BB3">
      <w:pPr>
        <w:widowControl w:val="0"/>
        <w:adjustRightInd w:val="0"/>
        <w:snapToGrid w:val="0"/>
        <w:spacing w:line="360" w:lineRule="auto"/>
        <w:rPr>
          <w:rFonts w:eastAsia="黑体"/>
          <w:bCs/>
          <w:i/>
          <w:iCs/>
        </w:rPr>
      </w:pPr>
      <w:r>
        <w:rPr>
          <w:rFonts w:eastAsia="黑体"/>
          <w:bCs/>
          <w:i/>
          <w:iCs/>
        </w:rPr>
        <w:t>MOE Key Laboratory for Biodiversity Science and Ecological Engineering, College of Life Sciences, Beijing Normal University, Beijing, 100875, China</w:t>
      </w:r>
    </w:p>
    <w:p w14:paraId="46BB3B5D">
      <w:pPr>
        <w:widowControl w:val="0"/>
        <w:adjustRightInd w:val="0"/>
        <w:snapToGrid w:val="0"/>
        <w:spacing w:line="360" w:lineRule="auto"/>
        <w:rPr>
          <w:rFonts w:eastAsia="黑体"/>
          <w:bCs/>
        </w:rPr>
      </w:pPr>
    </w:p>
    <w:p w14:paraId="18EC667B">
      <w:pPr>
        <w:widowControl w:val="0"/>
        <w:adjustRightInd w:val="0"/>
        <w:snapToGrid w:val="0"/>
        <w:spacing w:line="360" w:lineRule="auto"/>
        <w:rPr>
          <w:rFonts w:eastAsia="黑体"/>
          <w:bCs/>
        </w:rPr>
      </w:pPr>
      <w:r>
        <w:rPr>
          <w:rFonts w:eastAsia="黑体"/>
          <w:bCs/>
        </w:rPr>
        <w:t xml:space="preserve">*Correspondence to be sent to: </w:t>
      </w:r>
      <w:r>
        <w:rPr>
          <w:rFonts w:eastAsia="黑体"/>
          <w:bCs/>
          <w:i/>
          <w:iCs/>
        </w:rPr>
        <w:t>Deng-Ke Niu, College of Life Sciences, Beijing Normal University, Beijing, 100875, China</w:t>
      </w:r>
      <w:r>
        <w:rPr>
          <w:rFonts w:eastAsia="黑体"/>
          <w:bCs/>
        </w:rPr>
        <w:t xml:space="preserve">; Emails: </w:t>
      </w:r>
      <w:r>
        <w:fldChar w:fldCharType="begin"/>
      </w:r>
      <w:r>
        <w:instrText xml:space="preserve"> HYPERLINK "mailto:dkniu@bnu.edu.cn" </w:instrText>
      </w:r>
      <w:r>
        <w:fldChar w:fldCharType="separate"/>
      </w:r>
      <w:r>
        <w:rPr>
          <w:rFonts w:eastAsia="黑体"/>
          <w:bCs/>
          <w:color w:val="0563C1"/>
          <w:u w:val="single"/>
        </w:rPr>
        <w:t>dkniu@bnu.edu.cn</w:t>
      </w:r>
      <w:r>
        <w:rPr>
          <w:rFonts w:eastAsia="黑体"/>
          <w:bCs/>
          <w:color w:val="0563C1"/>
          <w:u w:val="single"/>
        </w:rPr>
        <w:fldChar w:fldCharType="end"/>
      </w:r>
      <w:r>
        <w:rPr>
          <w:rFonts w:eastAsia="黑体"/>
          <w:bCs/>
        </w:rPr>
        <w:t xml:space="preserve">, </w:t>
      </w:r>
      <w:r>
        <w:fldChar w:fldCharType="begin"/>
      </w:r>
      <w:r>
        <w:instrText xml:space="preserve"> HYPERLINK "mailto:dengkeniu@hotmail.com" </w:instrText>
      </w:r>
      <w:r>
        <w:fldChar w:fldCharType="separate"/>
      </w:r>
      <w:r>
        <w:rPr>
          <w:rFonts w:eastAsia="黑体"/>
          <w:bCs/>
          <w:color w:val="0563C1"/>
          <w:u w:val="single"/>
        </w:rPr>
        <w:t>dengkeniu@hotmail.com</w:t>
      </w:r>
      <w:r>
        <w:rPr>
          <w:rFonts w:eastAsia="黑体"/>
          <w:bCs/>
          <w:color w:val="0563C1"/>
          <w:u w:val="single"/>
        </w:rPr>
        <w:fldChar w:fldCharType="end"/>
      </w:r>
    </w:p>
    <w:p w14:paraId="422448A1">
      <w:pPr>
        <w:spacing w:line="360" w:lineRule="auto"/>
        <w:rPr>
          <w:rFonts w:eastAsia="黑体"/>
          <w:bCs/>
        </w:rPr>
      </w:pPr>
      <w:r>
        <w:rPr>
          <w:rFonts w:eastAsia="黑体"/>
          <w:bCs/>
        </w:rPr>
        <w:br w:type="page"/>
      </w:r>
    </w:p>
    <w:p w14:paraId="1A3573FF">
      <w:pPr>
        <w:widowControl w:val="0"/>
        <w:adjustRightInd w:val="0"/>
        <w:snapToGrid w:val="0"/>
        <w:spacing w:line="360" w:lineRule="auto"/>
        <w:rPr>
          <w:rFonts w:eastAsia="黑体"/>
          <w:bCs/>
          <w:i/>
          <w:iCs/>
        </w:rPr>
      </w:pPr>
      <w:r>
        <w:rPr>
          <w:rFonts w:eastAsia="黑体"/>
          <w:bCs/>
          <w:i/>
          <w:iCs/>
        </w:rPr>
        <w:t>Abstract</w:t>
      </w:r>
    </w:p>
    <w:p w14:paraId="4C9F12C5">
      <w:pPr>
        <w:widowControl w:val="0"/>
        <w:adjustRightInd w:val="0"/>
        <w:snapToGrid w:val="0"/>
        <w:spacing w:line="360" w:lineRule="auto"/>
        <w:rPr>
          <w:rFonts w:eastAsia="黑体"/>
          <w:bCs/>
        </w:rPr>
      </w:pPr>
      <w:r>
        <w:rPr>
          <w:rFonts w:eastAsia="黑体"/>
          <w:bCs/>
        </w:rPr>
        <w:t xml:space="preserve">Species-level biological datasets are often described by their nominal number of species, but shared evolutionary history can make species within an evaluation set internally dependent. Such non-independence may inflate uncertainty in predictive performance evaluation because internally dependent species contribute less independent information than their nominal count suggests. To examine these issues, we constructed dispersed, random, and clustered subsets from a 512-species empirical Cricetidae candidate pools and used correlation-based diagnostics derived from subset-specific phylogenetic covariance matrices to quantify internal dependence. Across the subset sizes examined, phylogenetically dispersed subsets showed lower internal dependence than random and clustered subsets. These favorable low-dependence subsets were then used to assess how much effective information remained after reducing within-subset dependence. Even under this favorable configuration, dispersed subsets retained substantial phylogenetic dependence. For the 64-species dispersed subset selected from the 512-species pool under a Brownian-motion covariance structure, the mean-based independence-equivalent sample size (MIESS) and the prediction-metric-based independence-equivalent sample size (PIESS) estimates for root mean squared error (RMSE), mean absolute error (MAE), and </w:t>
      </w:r>
      <w:r>
        <w:rPr>
          <w:rFonts w:eastAsia="黑体"/>
          <w:bCs/>
          <w:i/>
          <w:iCs/>
        </w:rPr>
        <w:t>R</w:t>
      </w:r>
      <w:r>
        <w:rPr>
          <w:rFonts w:eastAsia="黑体"/>
          <w:bCs/>
        </w:rPr>
        <w:t>² were broadly similar in magnitude, amounting to only a small fraction of the nominal subset size, approximately 14</w:t>
      </w:r>
      <w:bookmarkStart w:id="0" w:name="_Hlk232351388"/>
      <w:r>
        <w:rPr>
          <w:rFonts w:eastAsia="黑体"/>
          <w:bCs/>
        </w:rPr>
        <w:t>–</w:t>
      </w:r>
      <w:bookmarkEnd w:id="0"/>
      <w:r>
        <w:rPr>
          <w:rFonts w:eastAsia="黑体"/>
          <w:bCs/>
        </w:rPr>
        <w:t>24%. Thus, covariance-based and prediction-metric-based diagnostics converged on the same qualitative conclusion: effective information was far below the nominal species count. Together with the idealized-tree examples, sensitivity analyses across nested pools and alternative covariance assumptions showed that the internal dependence and effective information depended jointly on tree geometry, subset size, sampling fraction, and the evolutionary model used. These results indicate that species counts can strongly overestimate the independent information available for statistical inference and predictive evaluation. Phylogenetic dispersion provides stricter and more reproducible evaluation subsets, but it cannot by itself eliminate internal dependence or fully recover effective information.</w:t>
      </w:r>
    </w:p>
    <w:p w14:paraId="439F44BA">
      <w:pPr>
        <w:widowControl w:val="0"/>
        <w:adjustRightInd w:val="0"/>
        <w:snapToGrid w:val="0"/>
        <w:spacing w:line="360" w:lineRule="auto"/>
        <w:rPr>
          <w:rFonts w:eastAsia="黑体"/>
          <w:bCs/>
        </w:rPr>
      </w:pPr>
    </w:p>
    <w:p w14:paraId="1381782F">
      <w:pPr>
        <w:widowControl w:val="0"/>
        <w:adjustRightInd w:val="0"/>
        <w:snapToGrid w:val="0"/>
        <w:spacing w:line="360" w:lineRule="auto"/>
        <w:rPr>
          <w:rFonts w:eastAsiaTheme="minorEastAsia"/>
          <w:b/>
          <w:bCs/>
          <w:smallCaps/>
        </w:rPr>
      </w:pPr>
      <w:r>
        <w:rPr>
          <w:rFonts w:eastAsia="黑体"/>
          <w:bCs/>
        </w:rPr>
        <w:t>Key words</w:t>
      </w:r>
      <w:r>
        <w:rPr>
          <w:rFonts w:eastAsiaTheme="minorEastAsia"/>
          <w:smallCaps/>
        </w:rPr>
        <w:t>:</w:t>
      </w:r>
      <w:r>
        <w:rPr>
          <w:rFonts w:eastAsiaTheme="minorEastAsia"/>
          <w:b/>
          <w:bCs/>
          <w:smallCaps/>
        </w:rPr>
        <w:t xml:space="preserve"> </w:t>
      </w:r>
      <w:r>
        <w:rPr>
          <w:rFonts w:eastAsiaTheme="minorEastAsia"/>
        </w:rPr>
        <w:t>effective sample size; phylogenetic autocorrelation; phylogenetic dependence; species-level data; dependence-aware validation; machine learning; patristic distance; phylogenetic dispersion</w:t>
      </w:r>
      <w:r>
        <w:rPr>
          <w:rFonts w:hint="eastAsia" w:eastAsiaTheme="minorEastAsia"/>
          <w:b/>
          <w:bCs/>
          <w:smallCaps/>
        </w:rPr>
        <w:t>.</w:t>
      </w:r>
      <w:r>
        <w:rPr>
          <w:rFonts w:eastAsia="黑体"/>
          <w:bCs/>
        </w:rPr>
        <w:br w:type="page"/>
      </w:r>
    </w:p>
    <w:p w14:paraId="114AB0FB">
      <w:pPr>
        <w:widowControl w:val="0"/>
        <w:adjustRightInd w:val="0"/>
        <w:snapToGrid w:val="0"/>
        <w:spacing w:line="360" w:lineRule="auto"/>
        <w:rPr>
          <w:rFonts w:eastAsia="黑体"/>
          <w:bCs/>
        </w:rPr>
      </w:pPr>
      <w:r>
        <w:rPr>
          <w:rFonts w:eastAsia="黑体"/>
          <w:bCs/>
        </w:rPr>
        <w:t xml:space="preserve">Species-level biological datasets are often described by their nominal number of species, yet shared evolutionary history can make species within an evaluation set internally dependent </w:t>
      </w:r>
      <w:r>
        <w:rPr>
          <w:rFonts w:eastAsia="黑体"/>
          <w:bCs/>
        </w:rPr>
        <w:fldChar w:fldCharType="begin"/>
      </w:r>
      <w:r>
        <w:rPr>
          <w:rFonts w:eastAsia="黑体"/>
          <w:bCs/>
        </w:rPr>
        <w:instrText xml:space="preserve"> ADDIN EN.CITE &lt;EndNote&gt;&lt;Cite&gt;&lt;Author&gt;Felsenstein&lt;/Author&gt;&lt;Year&gt;1985&lt;/Year&gt;&lt;RecNum&gt;5393&lt;/RecNum&gt;&lt;DisplayText&gt;(Felsenstein 1985)&lt;/DisplayText&gt;&lt;record&gt;&lt;rec-number&gt;5393&lt;/rec-number&gt;&lt;foreign-keys&gt;&lt;key app="EN" db-id="5tsvsseeuefw27e9zx352xrpxvvtws9rxxpe" timestamp="0"&gt;5393&lt;/key&gt;&lt;/foreign-keys&gt;&lt;ref-type name="Journal Article"&gt;17&lt;/ref-type&gt;&lt;contributors&gt;&lt;authors&gt;&lt;author&gt;Felsenstein, Joseph&lt;/author&gt;&lt;/authors&gt;&lt;/contributors&gt;&lt;titles&gt;&lt;title&gt;Phylogenies and the comparative method&lt;/title&gt;&lt;secondary-title&gt;The American Naturalist&lt;/secondary-title&gt;&lt;/titles&gt;&lt;periodical&gt;&lt;full-title&gt;The American Naturalist&lt;/full-title&gt;&lt;abbr-1&gt;Amer. Natur.&lt;/abbr-1&gt;&lt;/periodical&gt;&lt;pages&gt;1-15&lt;/pages&gt;&lt;volume&gt;125&lt;/volume&gt;&lt;number&gt;1&lt;/number&gt;&lt;dates&gt;&lt;year&gt;1985&lt;/year&gt;&lt;/dates&gt;&lt;urls&gt;&lt;related-urls&gt;&lt;url&gt;http://www.journals.uchicago.edu/doi/abs/10.1086/284325 &lt;/url&gt;&lt;url&gt;http://www.jstor.org/stable/pdfplus/2461605.pdf?acceptTC=true&lt;/url&gt;&lt;/related-urls&gt;&lt;/urls&gt;&lt;electronic-resource-num&gt;10.1086/284325&lt;/electronic-resource-num&gt;&lt;/record&gt;&lt;/Cite&gt;&lt;/EndNote&gt;</w:instrText>
      </w:r>
      <w:r>
        <w:rPr>
          <w:rFonts w:eastAsia="黑体"/>
          <w:bCs/>
        </w:rPr>
        <w:fldChar w:fldCharType="separate"/>
      </w:r>
      <w:r>
        <w:rPr>
          <w:rFonts w:eastAsia="黑体"/>
          <w:bCs/>
        </w:rPr>
        <w:t>(Felsenstein 1985)</w:t>
      </w:r>
      <w:r>
        <w:rPr>
          <w:rFonts w:eastAsia="黑体"/>
          <w:bCs/>
        </w:rPr>
        <w:fldChar w:fldCharType="end"/>
      </w:r>
      <w:r>
        <w:rPr>
          <w:rFonts w:eastAsia="黑体"/>
          <w:bCs/>
        </w:rPr>
        <w:t xml:space="preserve">. This internal dependence complicates the interpretation of predictive performance in species-level machine learning </w:t>
      </w:r>
      <w:r>
        <w:rPr>
          <w:rFonts w:eastAsia="黑体"/>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dXJjZS1udW0+PC9yZWNvcmQ+PC9DaXRlPjwvRW5kTm90ZT5AAA==
</w:fldData>
        </w:fldChar>
      </w:r>
      <w:r>
        <w:rPr>
          <w:rFonts w:eastAsia="黑体"/>
          <w:bCs/>
        </w:rPr>
        <w:instrText xml:space="preserve"> ADDIN EN.CITE </w:instrText>
      </w:r>
      <w:r>
        <w:rPr>
          <w:rFonts w:eastAsia="黑体"/>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dXJjZS1udW0+PC9yZWNvcmQ+PC9DaXRlPjwvRW5kTm90ZT5AAA==
</w:fldData>
        </w:fldChar>
      </w:r>
      <w:r>
        <w:rPr>
          <w:rFonts w:eastAsia="黑体"/>
          <w:bCs/>
        </w:rPr>
        <w:instrText xml:space="preserve"> ADDIN EN.CITE.DATA </w:instrText>
      </w:r>
      <w:r>
        <w:rPr>
          <w:rFonts w:eastAsia="黑体"/>
          <w:bCs/>
        </w:rPr>
        <w:fldChar w:fldCharType="end"/>
      </w:r>
      <w:r>
        <w:rPr>
          <w:rFonts w:eastAsia="黑体"/>
          <w:bCs/>
        </w:rPr>
        <w:fldChar w:fldCharType="separate"/>
      </w:r>
      <w:r>
        <w:rPr>
          <w:rFonts w:eastAsia="黑体"/>
          <w:bCs/>
        </w:rPr>
        <w:t>(Alam et al. 2025, Yu et al. 2025)</w:t>
      </w:r>
      <w:r>
        <w:rPr>
          <w:rFonts w:eastAsia="黑体"/>
          <w:bCs/>
        </w:rPr>
        <w:fldChar w:fldCharType="end"/>
      </w:r>
      <w:r>
        <w:rPr>
          <w:rFonts w:eastAsia="黑体"/>
          <w:bCs/>
        </w:rPr>
        <w:t xml:space="preserve">, where evaluation metrics such as root mean squared error (RMSE), mean absolute error (MAE), and </w:t>
      </w:r>
      <w:r>
        <w:rPr>
          <w:rFonts w:eastAsia="黑体"/>
          <w:bCs/>
          <w:i/>
          <w:iCs/>
        </w:rPr>
        <w:t>R</w:t>
      </w:r>
      <w:r>
        <w:rPr>
          <w:rFonts w:eastAsia="黑体"/>
          <w:bCs/>
        </w:rPr>
        <w:t xml:space="preserve">² are commonly treated as if derived from independent samples. Phylogenetically informed evaluation designs are increasingly used to reduce training–test leakage by assigning related species to separate blocks and by keeping species closely related to the test set out of the training data </w:t>
      </w:r>
      <w:r>
        <w:rPr>
          <w:rFonts w:eastAsia="黑体"/>
          <w:bCs/>
        </w:rPr>
        <w:fldChar w:fldCharType="begin"/>
      </w:r>
      <w:r>
        <w:rPr>
          <w:rFonts w:eastAsia="黑体"/>
          <w:bCs/>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黑体"/>
          <w:bCs/>
        </w:rPr>
        <w:fldChar w:fldCharType="separate"/>
      </w:r>
      <w:r>
        <w:rPr>
          <w:rFonts w:eastAsia="黑体"/>
          <w:bCs/>
        </w:rPr>
        <w:t>(Roberts et al. 2017)</w:t>
      </w:r>
      <w:r>
        <w:rPr>
          <w:rFonts w:eastAsia="黑体"/>
          <w:bCs/>
        </w:rPr>
        <w:fldChar w:fldCharType="end"/>
      </w:r>
      <w:r>
        <w:rPr>
          <w:rFonts w:eastAsia="黑体"/>
          <w:bCs/>
        </w:rPr>
        <w:t xml:space="preserve">. For example, in the OGTFinder project, test sets were constructed to exclude genera present in the training set, thereby reducing genus-level overlap between training and evaluation data </w:t>
      </w:r>
      <w:r>
        <w:rPr>
          <w:rFonts w:eastAsia="黑体"/>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黑体"/>
          <w:bCs/>
        </w:rPr>
        <w:instrText xml:space="preserve"> ADDIN EN.CITE </w:instrText>
      </w:r>
      <w:r>
        <w:rPr>
          <w:rFonts w:eastAsia="黑体"/>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黑体"/>
          <w:bCs/>
        </w:rPr>
        <w:instrText xml:space="preserve"> ADDIN EN.CITE.DATA </w:instrText>
      </w:r>
      <w:r>
        <w:rPr>
          <w:rFonts w:eastAsia="黑体"/>
          <w:bCs/>
        </w:rPr>
        <w:fldChar w:fldCharType="end"/>
      </w:r>
      <w:r>
        <w:rPr>
          <w:rFonts w:eastAsia="黑体"/>
          <w:bCs/>
        </w:rPr>
        <w:fldChar w:fldCharType="separate"/>
      </w:r>
      <w:r>
        <w:rPr>
          <w:rFonts w:eastAsia="黑体"/>
          <w:bCs/>
        </w:rPr>
        <w:t>(Colette et al. 2026)</w:t>
      </w:r>
      <w:r>
        <w:rPr>
          <w:rFonts w:eastAsia="黑体"/>
          <w:bCs/>
        </w:rPr>
        <w:fldChar w:fldCharType="end"/>
      </w:r>
      <w:r>
        <w:rPr>
          <w:rFonts w:eastAsia="黑体"/>
          <w:bCs/>
        </w:rPr>
        <w:t>. However, such blocking primarily addresses dependence between training and test sets; it does not by itself ensure that species within the evaluation set provide independent evaluation points. Strong internal dependence may therefore remain if the evaluation subset is drawn from a narrow phylogenetic neighborhood.</w:t>
      </w:r>
    </w:p>
    <w:p w14:paraId="1D079B9E">
      <w:pPr>
        <w:widowControl w:val="0"/>
        <w:adjustRightInd w:val="0"/>
        <w:snapToGrid w:val="0"/>
        <w:spacing w:line="360" w:lineRule="auto"/>
        <w:rPr>
          <w:rFonts w:eastAsia="黑体"/>
          <w:bCs/>
        </w:rPr>
      </w:pPr>
      <w:r>
        <w:rPr>
          <w:rFonts w:eastAsia="黑体"/>
          <w:bCs/>
        </w:rPr>
        <w:tab/>
      </w:r>
      <w:r>
        <w:rPr>
          <w:rFonts w:eastAsia="黑体"/>
          <w:bCs/>
        </w:rPr>
        <w:t>Such non-independence can substantially reduce the effective information content of an evaluation set. When species within a subset are phylogenetically dependent, the nominal species count may considerably overstate the number of effectively independent evaluation points. This loss of effective information can increase the uncertainty of predictive performance evaluation by making performance metrics more sensitive to the particular subset selected. Consequently, predictive performance estimated from species-level evaluation sets may partly reflect similarities arising from shared ancestry rather than independent evidence contributed by distinct evolutionary lineages.</w:t>
      </w:r>
    </w:p>
    <w:p w14:paraId="60D5118D">
      <w:pPr>
        <w:widowControl w:val="0"/>
        <w:adjustRightInd w:val="0"/>
        <w:snapToGrid w:val="0"/>
        <w:spacing w:line="360" w:lineRule="auto"/>
        <w:rPr>
          <w:rFonts w:eastAsia="黑体"/>
          <w:bCs/>
        </w:rPr>
      </w:pPr>
      <w:r>
        <w:rPr>
          <w:rFonts w:eastAsia="黑体"/>
          <w:bCs/>
        </w:rPr>
        <w:tab/>
      </w:r>
      <w:r>
        <w:rPr>
          <w:rFonts w:eastAsia="黑体"/>
          <w:bCs/>
        </w:rPr>
        <w:t>To address these challenges, evaluation subsets should be designed and interpreted with both internal dependence and effective information content in mind. One practical approach is to select species that are widely separated on the phylogeny, thereby constructing phylogenetically dispersed subsets intended to reduce internal dependence. Building on this idea, we developed a phylogeny-based subsetting framework that adapts subset-selection logic from related fields to the problem of dependence-aware evaluation in species-level machine learning.</w:t>
      </w:r>
    </w:p>
    <w:p w14:paraId="3143E4F4">
      <w:pPr>
        <w:widowControl w:val="0"/>
        <w:adjustRightInd w:val="0"/>
        <w:snapToGrid w:val="0"/>
        <w:spacing w:line="360" w:lineRule="auto"/>
        <w:rPr>
          <w:rFonts w:eastAsia="黑体"/>
          <w:bCs/>
        </w:rPr>
      </w:pPr>
      <w:r>
        <w:rPr>
          <w:rFonts w:eastAsia="黑体"/>
          <w:bCs/>
        </w:rPr>
        <w:tab/>
      </w:r>
      <w:r>
        <w:rPr>
          <w:rFonts w:eastAsia="黑体"/>
          <w:bCs/>
        </w:rPr>
        <w:t xml:space="preserve">The conceptual basis for this subsetting framework draws on prior work in conservation biology, community phylogenetics, and sequence-based studies, where phylogeny-based subset selection has been applied to retain evolutionary history or to choose representative taxa when comprehensive sampling is impractical </w:t>
      </w:r>
      <w:r>
        <w:rPr>
          <w:rFonts w:eastAsia="黑体"/>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黑体"/>
          <w:bCs/>
        </w:rPr>
        <w:instrText xml:space="preserve"> ADDIN EN.CITE </w:instrText>
      </w:r>
      <w:r>
        <w:rPr>
          <w:rFonts w:eastAsia="黑体"/>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黑体"/>
          <w:bCs/>
        </w:rPr>
        <w:instrText xml:space="preserve"> ADDIN EN.CITE.DATA </w:instrText>
      </w:r>
      <w:r>
        <w:rPr>
          <w:rFonts w:eastAsia="黑体"/>
          <w:bCs/>
        </w:rPr>
        <w:fldChar w:fldCharType="end"/>
      </w:r>
      <w:r>
        <w:rPr>
          <w:rFonts w:eastAsia="黑体"/>
          <w:bCs/>
        </w:rPr>
        <w:fldChar w:fldCharType="separate"/>
      </w:r>
      <w:r>
        <w:rPr>
          <w:rFonts w:eastAsia="黑体"/>
          <w:bCs/>
        </w:rPr>
        <w:t>(Faith 1992, Bordewich et al. 2008, Matsen et al. 2013, Markin et al. 2023)</w:t>
      </w:r>
      <w:r>
        <w:rPr>
          <w:rFonts w:eastAsia="黑体"/>
          <w:bCs/>
        </w:rPr>
        <w:fldChar w:fldCharType="end"/>
      </w:r>
      <w:r>
        <w:rPr>
          <w:rFonts w:eastAsia="黑体"/>
          <w:bCs/>
        </w:rPr>
        <w:t xml:space="preserve">. Distance-based metrics such as mean pairwise distance and mean nearest-neighbor distance have been used to characterize phylogenetic clustering or overdispersion </w:t>
      </w:r>
      <w:r>
        <w:rPr>
          <w:rFonts w:eastAsia="黑体"/>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PjxhdXRob3JzPjxhdXRob3I+U2hhbmtlciwgS2FydGlrPC9hdXRob3I+PGF1dGhvcj5Ub3JzZWth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</w:fldData>
        </w:fldChar>
      </w:r>
      <w:r>
        <w:rPr>
          <w:rFonts w:eastAsia="黑体"/>
          <w:bCs/>
        </w:rPr>
        <w:instrText xml:space="preserve"> ADDIN EN.CITE </w:instrText>
      </w:r>
      <w:r>
        <w:rPr>
          <w:rFonts w:eastAsia="黑体"/>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PjxhdXRob3JzPjxhdXRob3I+U2hhbmtlciwgS2FydGlrPC9hdXRob3I+PGF1dGhvcj5Ub3JzZWth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</w:fldData>
        </w:fldChar>
      </w:r>
      <w:r>
        <w:rPr>
          <w:rFonts w:eastAsia="黑体"/>
          <w:bCs/>
        </w:rPr>
        <w:instrText xml:space="preserve"> ADDIN EN.CITE.DATA </w:instrText>
      </w:r>
      <w:r>
        <w:rPr>
          <w:rFonts w:eastAsia="黑体"/>
          <w:bCs/>
        </w:rPr>
        <w:fldChar w:fldCharType="end"/>
      </w:r>
      <w:r>
        <w:rPr>
          <w:rFonts w:eastAsia="黑体"/>
          <w:bCs/>
        </w:rPr>
        <w:fldChar w:fldCharType="separate"/>
      </w:r>
      <w:r>
        <w:rPr>
          <w:rFonts w:eastAsia="黑体"/>
          <w:bCs/>
        </w:rPr>
        <w:t>(Tucker et al. 2017, Shanker et al. 2026)</w:t>
      </w:r>
      <w:r>
        <w:rPr>
          <w:rFonts w:eastAsia="黑体"/>
          <w:bCs/>
        </w:rPr>
        <w:fldChar w:fldCharType="end"/>
      </w:r>
      <w:r>
        <w:rPr>
          <w:rFonts w:eastAsia="黑体"/>
          <w:bCs/>
        </w:rPr>
        <w:t>, guiding the construction of dispersed or clustered reference subsets. Here, we adapt this logic to a different purpose: to construct evaluation subsets that can be compared in terms of internal dependence and effective information content.</w:t>
      </w:r>
    </w:p>
    <w:p w14:paraId="45604486">
      <w:pPr>
        <w:widowControl w:val="0"/>
        <w:adjustRightInd w:val="0"/>
        <w:snapToGrid w:val="0"/>
        <w:spacing w:line="360" w:lineRule="auto"/>
        <w:rPr>
          <w:rFonts w:eastAsia="黑体"/>
          <w:bCs/>
        </w:rPr>
      </w:pPr>
      <w:r>
        <w:rPr>
          <w:rFonts w:eastAsia="黑体"/>
          <w:bCs/>
        </w:rPr>
        <w:tab/>
      </w:r>
      <w:r>
        <w:rPr>
          <w:rFonts w:eastAsia="黑体"/>
          <w:bCs/>
        </w:rPr>
        <w:t>We present this framework as a dependence-aware evaluation strategy for species-level datasets with phylogenetic structure. The framework combines phylogeny-based subset construction with distance-based metrics, correlation-based diagnostics of internal dependence, and prediction-metric-based independence-equivalent sample size (PIESS). Specifically, we compare dispersed, clustered, and random subsets to evaluate how subset design and alternative covariance assumptions influence within-subset dependence, effective information content, and uncertainty in predictive performance metrics.</w:t>
      </w:r>
    </w:p>
    <w:p w14:paraId="05147CAE">
      <w:pPr>
        <w:widowControl w:val="0"/>
        <w:adjustRightInd w:val="0"/>
        <w:snapToGrid w:val="0"/>
        <w:spacing w:line="360" w:lineRule="auto"/>
        <w:rPr>
          <w:rFonts w:eastAsia="黑体"/>
          <w:bCs/>
        </w:rPr>
      </w:pPr>
    </w:p>
    <w:p w14:paraId="37C2907E">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Materials and Methods</w:t>
      </w:r>
    </w:p>
    <w:p w14:paraId="63C6BB3E">
      <w:pPr>
        <w:adjustRightInd w:val="0"/>
        <w:snapToGrid w:val="0"/>
        <w:spacing w:line="360" w:lineRule="auto"/>
        <w:jc w:val="center"/>
        <w:rPr>
          <w:b/>
          <w:bCs/>
          <w:i/>
          <w:iCs/>
        </w:rPr>
      </w:pPr>
      <w:bookmarkStart w:id="1" w:name="_Hlk184309553"/>
      <w:r>
        <w:rPr>
          <w:b/>
          <w:bCs/>
          <w:i/>
          <w:iCs/>
        </w:rPr>
        <w:t>Subset Design for Dependence-Aware Evaluation</w:t>
      </w:r>
    </w:p>
    <w:p w14:paraId="2A05CA86">
      <w:pPr>
        <w:adjustRightInd w:val="0"/>
        <w:snapToGrid w:val="0"/>
        <w:spacing w:line="360" w:lineRule="auto"/>
      </w:pPr>
      <w:r>
        <w:t xml:space="preserve">We constructed fixed-size evaluation subsets from a phylogenetically defined candidate pool. For a candidate pool </w:t>
      </w:r>
      <w:r>
        <w:rPr>
          <w:i/>
          <w:iCs/>
        </w:rPr>
        <w:t>C</w:t>
      </w:r>
      <w:r>
        <w:t xml:space="preserve"> containing </w:t>
      </w:r>
      <w:r>
        <w:rPr>
          <w:i/>
          <w:iCs/>
        </w:rPr>
        <w:t>N</w:t>
      </w:r>
      <w:r>
        <w:t xml:space="preserve"> species, each selected subset was denoted by </w:t>
      </w:r>
      <m:oMath>
        <m:r>
          <m:rPr/>
          <w:rPr>
            <w:rFonts w:ascii="Cambria Math" w:hAnsi="Cambria Math"/>
          </w:rPr>
          <m:t xml:space="preserve">S </m:t>
        </m:r>
        <m:r>
          <m:rPr>
            <m:sty m:val="p"/>
          </m:rPr>
          <w:rPr>
            <w:rFonts w:ascii="Cambria Math" w:hAnsi="Cambria Math"/>
          </w:rPr>
          <m:t>⊂</m:t>
        </m:r>
        <m:r>
          <m:rPr/>
          <w:rPr>
            <w:rFonts w:ascii="Cambria Math" w:hAnsi="Cambria Math"/>
          </w:rPr>
          <m:t>C</m:t>
        </m:r>
      </m:oMath>
      <w:r>
        <w:t xml:space="preserve">, with target subset size </w:t>
      </w:r>
      <m:oMath>
        <m:d>
          <m:dPr>
            <m:begChr m:val="|"/>
            <m:endChr m:val="|"/>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=s</m:t>
        </m:r>
      </m:oMath>
      <w:r>
        <w:t>. The same candidate pool was used for all subset types so that distance-based dispersion, clustering, and effective information could be interpreted relative to the phylogenetic structure actually available for sampling.</w:t>
      </w:r>
    </w:p>
    <w:p w14:paraId="7B1A7100">
      <w:pPr>
        <w:adjustRightInd w:val="0"/>
        <w:snapToGrid w:val="0"/>
        <w:spacing w:line="360" w:lineRule="auto"/>
      </w:pPr>
      <w:r>
        <w:tab/>
      </w:r>
      <w:r>
        <w:t>We compared three subset types. Phylogenetically dispersed subsets were constructed by selecting species from widely separated regions of the phylogeny and were used as favorable low-dependence evaluation subsets. Random subsets of the same size served as empirical baselines representing ordinary sampling from the candidate pool. Phylogenetically clustered subsets were constructed as high-dependence contrast sets, providing reference cases from the opposite end of the dependence gradient.</w:t>
      </w:r>
    </w:p>
    <w:p w14:paraId="0FFCD66F">
      <w:pPr>
        <w:adjustRightInd w:val="0"/>
        <w:snapToGrid w:val="0"/>
        <w:spacing w:line="360" w:lineRule="auto"/>
      </w:pPr>
      <w:r>
        <w:tab/>
      </w:r>
      <w:r>
        <w:t xml:space="preserve">This design allowed distance-based subset structure and model-implied dependence to be evaluated within the same sampling frame. Specifically, dispersed, clustered, and random subsets were compared under the same </w:t>
      </w:r>
      <w:r>
        <w:rPr>
          <w:i/>
          <w:iCs/>
        </w:rPr>
        <w:t>C</w:t>
      </w:r>
      <w:r>
        <w:t xml:space="preserve">, </w:t>
      </w:r>
      <w:r>
        <w:rPr>
          <w:i/>
          <w:iCs/>
        </w:rPr>
        <w:t>N</w:t>
      </w:r>
      <w:r>
        <w:t xml:space="preserve">, and </w:t>
      </w:r>
      <w:r>
        <w:rPr>
          <w:i/>
          <w:iCs/>
        </w:rPr>
        <w:t>s</w:t>
      </w:r>
      <w:r>
        <w:t>, so that differences among subset types reflected subset composition rather than changes in candidate-pool size or sampling fraction.</w:t>
      </w:r>
    </w:p>
    <w:p w14:paraId="186F0B91">
      <w:pPr>
        <w:adjustRightInd w:val="0"/>
        <w:snapToGrid w:val="0"/>
        <w:spacing w:line="360" w:lineRule="auto"/>
      </w:pPr>
    </w:p>
    <w:p w14:paraId="2F19F6CF">
      <w:pPr>
        <w:adjustRightInd w:val="0"/>
        <w:snapToGrid w:val="0"/>
        <w:spacing w:line="360" w:lineRule="auto"/>
        <w:jc w:val="center"/>
        <w:rPr>
          <w:b/>
          <w:bCs/>
          <w:i/>
          <w:iCs/>
        </w:rPr>
      </w:pPr>
      <w:r>
        <w:rPr>
          <w:b/>
          <w:bCs/>
          <w:i/>
          <w:iCs/>
        </w:rPr>
        <w:t>Phylogenies and Empirical Candidate Pools</w:t>
      </w:r>
    </w:p>
    <w:p w14:paraId="54464294">
      <w:pPr>
        <w:adjustRightInd w:val="0"/>
        <w:snapToGrid w:val="0"/>
        <w:spacing w:line="360" w:lineRule="auto"/>
      </w:pPr>
      <w:r>
        <w:t>We used both idealized and empirical phylogenetic settings to evaluate how tree topology, candidate-pool size, and subset size influence phylogenetic dispersion, internal dependence, and effective information content in species-level evaluation subsets. As idealized reference cases, we first considered two 32-species ultrametric phylogenies with contrasting topologies: a fully balanced tree and a fully pectinate tree, hereafter referred to as the ladder-like tree. These trees were used to illustrate how subset placement and tree topology influence phylogenetic dispersion and dependence under controlled conditions.</w:t>
      </w:r>
    </w:p>
    <w:p w14:paraId="798E66EF">
      <w:pPr>
        <w:adjustRightInd w:val="0"/>
        <w:snapToGrid w:val="0"/>
        <w:spacing w:line="360" w:lineRule="auto"/>
      </w:pPr>
      <w:r>
        <w:tab/>
      </w:r>
      <w:r>
        <w:t xml:space="preserve">For the empirical analyses, we used Cricetidae as the focal clade. Cricetidae was selected because it provides a moderately large empirical mammalian clade with substantial internal phylogenetic structure, allowing candidate-pool size and subset size to be varied while retaining realistic evolutionary relationships. The clade, containing 528 extant species, was extracted from the DNA-based 4098-species mammalian phylogeny of Upham et al. </w:t>
      </w:r>
      <w:r>
        <w:rPr>
          <w:rFonts w:eastAsia="等线"/>
        </w:rPr>
        <w:fldChar w:fldCharType="begin"/>
      </w:r>
      <w:r>
        <w:rPr>
          <w:rFonts w:eastAsia="等线"/>
        </w:rPr>
        <w:instrText xml:space="preserve"> ADDIN EN.CITE &lt;EndNote&gt;&lt;Cite ExcludeAuth="1"&gt;&lt;Author&gt;Upham&lt;/Author&gt;&lt;Year&gt;2019&lt;/Year&gt;&lt;RecNum&gt;22301&lt;/RecNum&gt;&lt;DisplayText&gt;(2019)&lt;/DisplayText&gt;&lt;record&gt;&lt;rec-number&gt;22301&lt;/rec-number&gt;&lt;foreign-keys&gt;&lt;key app="EN" db-id="5tsvsseeuefw27e9zx352xrpxvvtws9rxxpe" timestamp="1749614351"&gt;22301&lt;/key&gt;&lt;/foreign-keys&gt;&lt;ref-type name="Journal Article"&gt;17&lt;/ref-type&gt;&lt;contributors&gt;&lt;authors&gt;&lt;author&gt;Upham, Nathan S.&lt;/author&gt;&lt;author&gt;Esselstyn, Jacob A.&lt;/author&gt;&lt;author&gt;Jetz, Walter&lt;/author&gt;&lt;/authors&gt;&lt;/contributors&gt;&lt;titles&gt;&lt;title&gt;Inferring the mammal tree: Species-level sets of phylogenies for questions in ecology, evolution, and conservation&lt;/title&gt;&lt;secondary-title&gt;PLOS Biology&lt;/secondary-title&gt;&lt;/titles&gt;&lt;periodical&gt;&lt;full-title&gt;Plos Biology&lt;/full-title&gt;&lt;abbr-1&gt;PLoS Biol.&lt;/abbr-1&gt;&lt;/periodical&gt;&lt;pages&gt;e3000494&lt;/pages&gt;&lt;volume&gt;17&lt;/volume&gt;&lt;number&gt;12&lt;/number&gt;&lt;dates&gt;&lt;year&gt;2019&lt;/year&gt;&lt;/dates&gt;&lt;publisher&gt;Public Library of Science&lt;/publisher&gt;&lt;urls&gt;&lt;related-urls&gt;&lt;url&gt;https://doi.org/10.1371/journal.pbio.3000494&lt;/url&gt;&lt;/related-urls&gt;&lt;pdf-urls&gt;&lt;url&gt;file://D:\D-All\Author_information\Endnote-Data\Libraries\niu_X9-Converted.Data\PDF\Newly\file (3).pdf&lt;/url&gt;&lt;/pdf-urls&gt;&lt;/urls&gt;&lt;electronic-resource-num&gt;10.1371/journal.pbio.3000494&lt;/electronic-resource-num&gt;&lt;/record&gt;&lt;/Cite&gt;&lt;/EndNote&gt;</w:instrText>
      </w:r>
      <w:r>
        <w:rPr>
          <w:rFonts w:eastAsia="等线"/>
        </w:rPr>
        <w:fldChar w:fldCharType="separate"/>
      </w:r>
      <w:r>
        <w:rPr>
          <w:rFonts w:eastAsia="等线"/>
        </w:rPr>
        <w:t>(2019)</w:t>
      </w:r>
      <w:r>
        <w:rPr>
          <w:rFonts w:eastAsia="等线"/>
        </w:rPr>
        <w:fldChar w:fldCharType="end"/>
      </w:r>
      <w:r>
        <w:rPr>
          <w:rFonts w:eastAsia="等线"/>
        </w:rPr>
        <w:t>,</w:t>
      </w:r>
      <w:r>
        <w:t xml:space="preserve"> accessed through the VertLife mammal tree data portal. From this clade, we randomly selected 512 species to form the largest empirical candidate pool used in the main analysis.</w:t>
      </w:r>
    </w:p>
    <w:p w14:paraId="794638CF">
      <w:pPr>
        <w:adjustRightInd w:val="0"/>
        <w:snapToGrid w:val="0"/>
        <w:spacing w:line="360" w:lineRule="auto"/>
      </w:pPr>
      <w:r>
        <w:tab/>
      </w:r>
      <w:r>
        <w:t>To evaluate the effect of candidate-pool size while preserving a shared empirical phylogenetic context, we constructed a series of nested candidate pools by random down-sampling from the 512-species pool:</w:t>
      </w:r>
    </w:p>
    <w:p w14:paraId="6A343CB0">
      <w:pPr>
        <w:adjustRightInd w:val="0"/>
        <w:snapToGrid w:val="0"/>
        <w:spacing w:line="360" w:lineRule="auto"/>
        <w:jc w:val="center"/>
      </w:pPr>
      <w:r>
        <w:rPr>
          <w:i/>
          <w:iCs/>
        </w:rPr>
        <w:t>C</w:t>
      </w:r>
      <w:r>
        <w:rPr>
          <w:vertAlign w:val="subscript"/>
        </w:rPr>
        <w:t>32</w:t>
      </w:r>
      <w:r>
        <w:t xml:space="preserve"> </w:t>
      </w:r>
      <w:r>
        <w:rPr/>
        <w:sym w:font="Symbol" w:char="F0CC"/>
      </w:r>
      <w:r>
        <w:t xml:space="preserve"> </w:t>
      </w:r>
      <w:r>
        <w:rPr>
          <w:i/>
          <w:iCs/>
        </w:rPr>
        <w:t>C</w:t>
      </w:r>
      <w:r>
        <w:rPr>
          <w:vertAlign w:val="subscript"/>
        </w:rPr>
        <w:t>64</w:t>
      </w:r>
      <w:r>
        <w:t xml:space="preserve"> </w:t>
      </w:r>
      <w:r>
        <w:rPr/>
        <w:sym w:font="Symbol" w:char="F0CC"/>
      </w:r>
      <w:r>
        <w:t xml:space="preserve"> </w:t>
      </w:r>
      <w:r>
        <w:rPr>
          <w:i/>
          <w:iCs/>
        </w:rPr>
        <w:t>C</w:t>
      </w:r>
      <w:r>
        <w:rPr>
          <w:vertAlign w:val="subscript"/>
        </w:rPr>
        <w:t>128</w:t>
      </w:r>
      <w:r>
        <w:t xml:space="preserve"> </w:t>
      </w:r>
      <w:r>
        <w:rPr/>
        <w:sym w:font="Symbol" w:char="F0CC"/>
      </w:r>
      <w:r>
        <w:t xml:space="preserve"> </w:t>
      </w:r>
      <w:r>
        <w:rPr>
          <w:i/>
          <w:iCs/>
        </w:rPr>
        <w:t>C</w:t>
      </w:r>
      <w:r>
        <w:rPr>
          <w:vertAlign w:val="subscript"/>
        </w:rPr>
        <w:t xml:space="preserve">256 </w:t>
      </w:r>
      <w:r>
        <w:rPr/>
        <w:sym w:font="Symbol" w:char="F0CC"/>
      </w:r>
      <w:r>
        <w:t xml:space="preserve"> </w:t>
      </w:r>
      <w:r>
        <w:rPr>
          <w:i/>
          <w:iCs/>
        </w:rPr>
        <w:t>C</w:t>
      </w:r>
      <w:r>
        <w:rPr>
          <w:vertAlign w:val="subscript"/>
        </w:rPr>
        <w:t>512</w:t>
      </w:r>
      <w:r>
        <w:t>.</w:t>
      </w:r>
    </w:p>
    <w:p w14:paraId="0D3AFF6F">
      <w:pPr>
        <w:adjustRightInd w:val="0"/>
        <w:snapToGrid w:val="0"/>
        <w:spacing w:line="360" w:lineRule="auto"/>
      </w:pPr>
      <w:r>
        <w:t>This nested design ensured that smaller candidate pools were contained within larger ones, so that differences among candidate-pool sizes could be interpreted without introducing entirely independent sets of species at each scale.</w:t>
      </w:r>
    </w:p>
    <w:p w14:paraId="484CBADF">
      <w:pPr>
        <w:adjustRightInd w:val="0"/>
        <w:snapToGrid w:val="0"/>
        <w:spacing w:line="360" w:lineRule="auto"/>
      </w:pPr>
      <w:r>
        <w:tab/>
      </w:r>
      <w:r>
        <w:t xml:space="preserve">For each empirical candidate pool, we constructed phylogenetically dispersed subsets and phylogenetically clustered subsets for target subset sizes </w:t>
      </w:r>
      <w:r>
        <w:rPr>
          <w:i/>
          <w:iCs/>
        </w:rPr>
        <w:t>s</w:t>
      </w:r>
      <w:r>
        <w:t xml:space="preserve"> = 8, 16, 32, and 64, retaining only combinations for which </w:t>
      </w:r>
      <w:r>
        <w:rPr>
          <w:i/>
          <w:iCs/>
        </w:rPr>
        <w:t>s</w:t>
      </w:r>
      <w:r>
        <w:t xml:space="preserve"> &lt; </w:t>
      </w:r>
      <w:r>
        <w:rPr>
          <w:i/>
          <w:iCs/>
        </w:rPr>
        <w:t>N</w:t>
      </w:r>
      <w:r>
        <w:t xml:space="preserve">. For each </w:t>
      </w:r>
      <w:r>
        <w:rPr>
          <w:i/>
          <w:iCs/>
        </w:rPr>
        <w:t>N</w:t>
      </w:r>
      <w:r>
        <w:t xml:space="preserve"> – </w:t>
      </w:r>
      <w:r>
        <w:rPr>
          <w:i/>
          <w:iCs/>
        </w:rPr>
        <w:t>s</w:t>
      </w:r>
      <w:r>
        <w:t xml:space="preserve"> combination, we also generated 1000 random subsets of the same size as empirical baselines. Species names and subset memberships for the main empirical subsets are provided in Supplementary Table S1.</w:t>
      </w:r>
    </w:p>
    <w:p w14:paraId="2083F47A">
      <w:pPr>
        <w:adjustRightInd w:val="0"/>
        <w:snapToGrid w:val="0"/>
        <w:spacing w:line="360" w:lineRule="auto"/>
      </w:pPr>
    </w:p>
    <w:p w14:paraId="2EE66381">
      <w:pPr>
        <w:adjustRightInd w:val="0"/>
        <w:snapToGrid w:val="0"/>
        <w:spacing w:line="360" w:lineRule="auto"/>
        <w:jc w:val="center"/>
        <w:rPr>
          <w:b/>
          <w:bCs/>
          <w:i/>
          <w:iCs/>
        </w:rPr>
      </w:pPr>
      <w:r>
        <w:rPr>
          <w:b/>
          <w:bCs/>
          <w:i/>
          <w:iCs/>
        </w:rPr>
        <w:t>Distance-Based Construction of Dispersed and Clustered Subsets</w:t>
      </w:r>
    </w:p>
    <w:p w14:paraId="3C7D2C90">
      <w:pPr>
        <w:adjustRightInd w:val="0"/>
        <w:snapToGrid w:val="0"/>
        <w:spacing w:line="360" w:lineRule="auto"/>
      </w:pPr>
      <w:r>
        <w:t xml:space="preserve">For each candidate pool </w:t>
      </w:r>
      <w:r>
        <w:rPr>
          <w:i/>
          <w:iCs/>
        </w:rPr>
        <w:t>C</w:t>
      </w:r>
      <w:r>
        <w:t xml:space="preserve">, we constructed subsets using patristic distances among species. Let </w:t>
      </w:r>
      <w:r>
        <w:rPr>
          <w:i/>
          <w:iCs/>
        </w:rPr>
        <w:t>D</w:t>
      </w:r>
      <w:r>
        <w:t xml:space="preserve"> = </w:t>
      </w:r>
      <w:r>
        <w:rPr>
          <w:i/>
          <w:iCs/>
        </w:rPr>
        <w:t>d</w:t>
      </w:r>
      <w:r>
        <w:rPr>
          <w:i/>
          <w:iCs/>
          <w:vertAlign w:val="subscript"/>
        </w:rPr>
        <w:t>ij</w:t>
      </w:r>
      <w:r>
        <w:t xml:space="preserve"> denote the patristic distance matrix, where </w:t>
      </w:r>
      <w:r>
        <w:rPr>
          <w:i/>
          <w:iCs/>
        </w:rPr>
        <w:t>d</w:t>
      </w:r>
      <w:r>
        <w:rPr>
          <w:i/>
          <w:iCs/>
          <w:vertAlign w:val="subscript"/>
        </w:rPr>
        <w:t>ij</w:t>
      </w:r>
      <w:r>
        <w:t xml:space="preserve"> is the total branch length connecting species </w:t>
      </w:r>
      <w:r>
        <w:rPr>
          <w:i/>
          <w:iCs/>
        </w:rPr>
        <w:t>i</w:t>
      </w:r>
      <w:r>
        <w:t xml:space="preserve"> and </w:t>
      </w:r>
      <w:r>
        <w:rPr>
          <w:i/>
          <w:iCs/>
        </w:rPr>
        <w:t>j</w:t>
      </w:r>
      <w:r>
        <w:t>. Because dispersed and clustered subsets represent opposite ends of the phylogenetic-spacing gradient, they were constructed using related but direction-specific distance criteria.</w:t>
      </w:r>
    </w:p>
    <w:p w14:paraId="40797108">
      <w:pPr>
        <w:adjustRightInd w:val="0"/>
        <w:snapToGrid w:val="0"/>
        <w:spacing w:line="360" w:lineRule="auto"/>
      </w:pPr>
      <w:r>
        <w:tab/>
      </w:r>
      <w:r>
        <w:t>For dispersed subset construction, we summarized within-subset phylogenetic dispersion using three distance-based criteria: the minimum pairwise patristic distance (MinPD), the mean pairwise patristic distance (MeanPD), and the mean nearest-neighbor phylogenetic distance (MeanNND). MinPD captures the distance between the closest pair of species in a subset and is therefore sensitive to local crowding. MeanPD summarizes the overall phylogenetic spread of the subset. MeanNND measures the average distance from each selected species to its nearest selected neighbor and therefore reflects local spacing around selected tips. Together, these criteria describe complementary aspects of dispersion: avoiding extremely close species pairs, maximizing overall spread, and maintaining local separation among selected species.</w:t>
      </w:r>
    </w:p>
    <w:p w14:paraId="5C995DD4">
      <w:pPr>
        <w:adjustRightInd w:val="0"/>
        <w:snapToGrid w:val="0"/>
        <w:spacing w:line="360" w:lineRule="auto"/>
      </w:pPr>
      <w:r>
        <w:tab/>
      </w:r>
      <w:r>
        <w:t>Phylogenetically dispersed subsets were constructed by prioritizing larger MinPD, with larger MeanPD and larger MeanNND used as secondary and tertiary criteria, respectively. This ordered criterion was chosen because the primary goal of dispersed subset construction was to reduce local phylogenetic redundancy while still favoring subsets broadly distributed across the candidate-pool tree. Subset construction was implemented using a heuristic search procedure consisting of greedy initialization followed by local swap-based refinement, as described in Supplementary Methods Section S1.</w:t>
      </w:r>
    </w:p>
    <w:p w14:paraId="21350BBA">
      <w:pPr>
        <w:adjustRightInd w:val="0"/>
        <w:snapToGrid w:val="0"/>
        <w:spacing w:line="360" w:lineRule="auto"/>
      </w:pPr>
      <w:r>
        <w:tab/>
      </w:r>
      <w:r>
        <w:t>Phylogenetically clustered subsets were constructed as high-dependence contrast sets rather than as the primary target of the framework. Because clustered subset construction is inherently tree-local rather than globally dispersive, clustered subsets were not generated by simply reversing the dispersed-subset algorithm. Instead, clustered subsets were constructed using a clustering-oriented distance criterion. Candidate clustered subsets were ranked by smaller MeanPD, with smaller MeanNND and smaller MaxPD used as secondary and tertiary criteria, respectively. Here, MaxPD denotes the maximum pairwise patristic distance within the subset and serves as a boundary-distance criterion, limiting how far apart the most distant selected species can be.</w:t>
      </w:r>
    </w:p>
    <w:p w14:paraId="3EFA6429">
      <w:pPr>
        <w:adjustRightInd w:val="0"/>
        <w:snapToGrid w:val="0"/>
        <w:spacing w:line="360" w:lineRule="auto"/>
      </w:pPr>
    </w:p>
    <w:bookmarkEnd w:id="1"/>
    <w:p w14:paraId="2EFD64EF">
      <w:pPr>
        <w:adjustRightInd w:val="0"/>
        <w:snapToGrid w:val="0"/>
        <w:spacing w:line="360" w:lineRule="auto"/>
        <w:jc w:val="center"/>
        <w:rPr>
          <w:b/>
          <w:bCs/>
          <w:i/>
          <w:iCs/>
        </w:rPr>
      </w:pPr>
      <w:r>
        <w:rPr>
          <w:b/>
          <w:bCs/>
          <w:i/>
          <w:iCs/>
        </w:rPr>
        <w:t>Random Baselines and Empirical Tail Probabilities</w:t>
      </w:r>
    </w:p>
    <w:p w14:paraId="2A6AF3D9">
      <w:pPr>
        <w:adjustRightInd w:val="0"/>
        <w:snapToGrid w:val="0"/>
        <w:spacing w:line="360" w:lineRule="auto"/>
      </w:pPr>
      <w:r>
        <w:t xml:space="preserve">We evaluated the selected subsets relative to random baselines defined separately for each candidate pool </w:t>
      </w:r>
      <w:r>
        <w:rPr>
          <w:i/>
          <w:iCs/>
        </w:rPr>
        <w:t>C</w:t>
      </w:r>
      <w:r>
        <w:t xml:space="preserve"> and target subset size </w:t>
      </w:r>
      <w:r>
        <w:rPr>
          <w:i/>
          <w:iCs/>
        </w:rPr>
        <w:t>s</w:t>
      </w:r>
      <w:r>
        <w:t xml:space="preserve">. For each </w:t>
      </w:r>
      <w:r>
        <w:rPr>
          <w:i/>
          <w:iCs/>
        </w:rPr>
        <w:t>N</w:t>
      </w:r>
      <w:r>
        <w:t>–</w:t>
      </w:r>
      <w:r>
        <w:rPr>
          <w:i/>
          <w:iCs/>
        </w:rPr>
        <w:t>s</w:t>
      </w:r>
      <w:r>
        <w:t xml:space="preserve"> combination, we generated 1000 random subsets of size </w:t>
      </w:r>
      <w:r>
        <w:rPr>
          <w:i/>
          <w:iCs/>
        </w:rPr>
        <w:t>s</w:t>
      </w:r>
      <w:r>
        <w:t xml:space="preserve">. Each random subset was formed by uniformly sampling </w:t>
      </w:r>
      <w:r>
        <w:rPr>
          <w:i/>
          <w:iCs/>
        </w:rPr>
        <w:t>s</w:t>
      </w:r>
      <w:r>
        <w:t xml:space="preserve"> distinct species from </w:t>
      </w:r>
      <w:r>
        <w:rPr>
          <w:i/>
          <w:iCs/>
        </w:rPr>
        <w:t>C</w:t>
      </w:r>
      <w:r>
        <w:t>, while species were allowed to appear in multiple random subsets across repeated draws.</w:t>
      </w:r>
    </w:p>
    <w:p w14:paraId="3DAA603C">
      <w:pPr>
        <w:adjustRightInd w:val="0"/>
        <w:snapToGrid w:val="0"/>
        <w:spacing w:line="360" w:lineRule="auto"/>
      </w:pPr>
      <w:r>
        <w:tab/>
      </w:r>
      <w:r>
        <w:t>For selected dispersed and clustered subsets, empirical one-sided tail probabilities were calculated as (</w:t>
      </w:r>
      <w:r>
        <w:rPr>
          <w:i/>
          <w:iCs/>
        </w:rPr>
        <w:t>b</w:t>
      </w:r>
      <w:r>
        <w:t xml:space="preserve"> + 1)/(</w:t>
      </w:r>
      <w:r>
        <w:rPr>
          <w:i/>
          <w:iCs/>
        </w:rPr>
        <w:t>B</w:t>
      </w:r>
      <w:r>
        <w:t xml:space="preserve"> + 1), where </w:t>
      </w:r>
      <w:r>
        <w:rPr>
          <w:i/>
          <w:iCs/>
        </w:rPr>
        <w:t>B</w:t>
      </w:r>
      <w:r>
        <w:t xml:space="preserve"> = 1000 is the number of random subsets and </w:t>
      </w:r>
      <w:r>
        <w:rPr>
          <w:i/>
          <w:iCs/>
        </w:rPr>
        <w:t>b</w:t>
      </w:r>
      <w:r>
        <w:t xml:space="preserve"> is the number of random subsets at least as extreme as the selected subset in the expected direction. The +1 correction avoids reporting zero probabilities when the selected subset is more extreme than all random subsets. For dispersed subsets, larger MinPD, MeanPD, and MeanNND values indicate stronger phylogenetic dispersion; therefore, </w:t>
      </w:r>
      <w:r>
        <w:rPr>
          <w:i/>
          <w:iCs/>
        </w:rPr>
        <w:t>b</w:t>
      </w:r>
      <w:r>
        <w:t xml:space="preserve"> was defined as the number of random subsets with values greater than or equal to the observed value of the dispersed subset. For clustered subsets, smaller MeanPD, MeanNND, and MaxPD values indicate stronger phylogenetic clustering; therefore, </w:t>
      </w:r>
      <w:r>
        <w:rPr>
          <w:i/>
          <w:iCs/>
        </w:rPr>
        <w:t>b</w:t>
      </w:r>
      <w:r>
        <w:t xml:space="preserve"> was defined as the number of random subsets with values less than or equal to the observed value of the clustered subset. These empirical tail probabilities quantified the deviation of each selected subset from its corresponding random baseline.</w:t>
      </w:r>
    </w:p>
    <w:p w14:paraId="7FFB3BB5">
      <w:pPr>
        <w:adjustRightInd w:val="0"/>
        <w:snapToGrid w:val="0"/>
        <w:spacing w:line="360" w:lineRule="auto"/>
      </w:pPr>
    </w:p>
    <w:p w14:paraId="131C039C">
      <w:pPr>
        <w:adjustRightInd w:val="0"/>
        <w:snapToGrid w:val="0"/>
        <w:spacing w:line="360" w:lineRule="auto"/>
        <w:jc w:val="center"/>
        <w:rPr>
          <w:b/>
          <w:bCs/>
          <w:i/>
          <w:iCs/>
        </w:rPr>
      </w:pPr>
      <w:r>
        <w:rPr>
          <w:b/>
          <w:bCs/>
          <w:i/>
          <w:iCs/>
        </w:rPr>
        <w:t>Correlation-Based Dependence Diagnostics and Mean-Based Information Content</w:t>
      </w:r>
    </w:p>
    <w:p w14:paraId="7C3B9411">
      <w:pPr>
        <w:adjustRightInd w:val="0"/>
        <w:snapToGrid w:val="0"/>
        <w:spacing w:line="360" w:lineRule="auto"/>
      </w:pPr>
      <w:r>
        <w:t xml:space="preserve">For a subset </w:t>
      </w:r>
      <w:r>
        <w:rPr>
          <w:i/>
          <w:iCs/>
        </w:rPr>
        <w:t>S</w:t>
      </w:r>
      <w:r>
        <w:t xml:space="preserve"> of size </w:t>
      </w:r>
      <w:r>
        <w:rPr>
          <w:i/>
          <w:iCs/>
        </w:rPr>
        <w:t>s</w:t>
      </w:r>
      <w:r>
        <w:t xml:space="preserve">, let </w:t>
      </w:r>
      <w:r>
        <w:rPr>
          <w:i/>
          <w:iCs/>
        </w:rPr>
        <w:t>V</w:t>
      </w:r>
      <w:r>
        <w:rPr>
          <w:i/>
          <w:iCs/>
          <w:vertAlign w:val="subscript"/>
        </w:rPr>
        <w:t>S</w:t>
      </w:r>
      <w:r>
        <w:t xml:space="preserve"> denote the phylogenetic covariance matrix for the species in </w:t>
      </w:r>
      <w:r>
        <w:rPr>
          <w:i/>
          <w:iCs/>
        </w:rPr>
        <w:t>S</w:t>
      </w:r>
      <w:r>
        <w:t xml:space="preserve"> under a specified evolutionary covariance model. This matrix contains the marginal variance of each species on its diagonal and the covariances between species in its off-diagonal entries. To express these covariances on a standardized correlation scale, we converted </w:t>
      </w:r>
      <w:r>
        <w:rPr>
          <w:i/>
          <w:iCs/>
        </w:rPr>
        <w:t>V</w:t>
      </w:r>
      <w:r>
        <w:rPr>
          <w:i/>
          <w:iCs/>
          <w:vertAlign w:val="subscript"/>
        </w:rPr>
        <w:t>S</w:t>
      </w:r>
      <w:r>
        <w:t xml:space="preserve"> to the corresponding correlation matrix </w:t>
      </w:r>
      <w:r>
        <w:rPr>
          <w:i/>
          <w:iCs/>
        </w:rPr>
        <w:t>R</w:t>
      </w:r>
      <w:r>
        <w:rPr>
          <w:i/>
          <w:iCs/>
          <w:vertAlign w:val="subscript"/>
        </w:rPr>
        <w:t>S</w:t>
      </w:r>
      <w:r>
        <w:t>, in which the diagonal entries are normalized to one and the off-diagonal entries represent pairwise phylogenetic correlations:</w:t>
      </w:r>
    </w:p>
    <w:p w14:paraId="4855B9F6">
      <w:pPr>
        <w:adjustRightInd w:val="0"/>
        <w:snapToGrid w:val="0"/>
        <w:spacing w:line="360" w:lineRule="auto"/>
        <w:jc w:val="center"/>
      </w:pP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m:t>
        </m:r>
        <m:sSup>
          <m:sSupPr>
            <m:ctrlPr>
              <w:rPr>
                <w:rFonts w:ascii="Cambria Math" w:hAnsi="Cambria Math"/>
                <w:i/>
              </w:rPr>
            </m:ctrlPr>
          </m:sSupPr>
          <m:e>
            <m:r>
              <m:rPr>
                <m:sty m:val="p"/>
              </m:rPr>
              <w:rPr>
                <w:rFonts w:ascii="Cambria Math" w:hAnsi="Cambria Math"/>
              </w:rPr>
              <m:t>∆</m:t>
            </m:r>
            <m:ctrlPr>
              <w:rPr>
                <w:rFonts w:ascii="Cambria Math" w:hAnsi="Cambria Math"/>
                <w:i/>
              </w:rPr>
            </m:ctrlPr>
          </m:e>
          <m:sup>
            <m:r>
              <m:rPr/>
              <w:rPr>
                <w:rFonts w:ascii="Cambria Math" w:hAnsi="Cambria Math"/>
              </w:rPr>
              <m:t>−1</m:t>
            </m:r>
            <m:r>
              <m:rPr>
                <m:lit/>
                <m:sty m:val="p"/>
              </m:rPr>
              <w:rPr>
                <w:rFonts w:ascii="Cambria Math" w:hAnsi="Cambria Math"/>
              </w:rPr>
              <m:t>/</m:t>
            </m:r>
            <m:r>
              <m:rPr>
                <m:sty m:val="p"/>
              </m:rPr>
              <w:rPr>
                <w:rFonts w:ascii="Cambria Math" w:hAnsi="Cambria Math"/>
              </w:rPr>
              <m:t>2</m:t>
            </m:r>
            <m:ctrlPr>
              <w:rPr>
                <w:rFonts w:ascii="Cambria Math" w:hAnsi="Cambria Math"/>
                <w:i/>
              </w:rPr>
            </m:ctrlPr>
          </m:sup>
        </m:sSup>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S</m:t>
            </m:r>
            <m:ctrlPr>
              <w:rPr>
                <w:rFonts w:ascii="Cambria Math" w:hAnsi="Cambria Math"/>
                <w:i/>
              </w:rPr>
            </m:ctrlPr>
          </m:sub>
        </m:sSub>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−1</m:t>
            </m:r>
            <m:r>
              <m:rPr>
                <m:lit/>
                <m:sty m:val="p"/>
              </m:rPr>
              <w:rPr>
                <w:rFonts w:ascii="Cambria Math" w:hAnsi="Cambria Math"/>
              </w:rPr>
              <m:t>/</m:t>
            </m:r>
            <m:r>
              <m:rPr>
                <m:sty m:val="p"/>
              </m:rPr>
              <w:rPr>
                <w:rFonts w:ascii="Cambria Math" w:hAnsi="Cambria Math"/>
              </w:rPr>
              <m:t>2</m:t>
            </m:r>
            <m:ctrlPr>
              <w:rPr>
                <w:rFonts w:ascii="Cambria Math" w:hAnsi="Cambria Math"/>
                <w:i/>
              </w:rPr>
            </m:ctrlPr>
          </m:sup>
        </m:sSup>
      </m:oMath>
      <w:r>
        <w:t>,</w:t>
      </w:r>
    </w:p>
    <w:p w14:paraId="5F78A9CE">
      <w:pPr>
        <w:adjustRightInd w:val="0"/>
        <w:snapToGrid w:val="0"/>
        <w:spacing w:line="360" w:lineRule="auto"/>
      </w:pPr>
      <w:r>
        <w:t xml:space="preserve">where </w:t>
      </w:r>
      <m:oMath>
        <m:r>
          <m:rPr/>
          <w:rPr>
            <w:rFonts w:ascii="Cambria Math" w:hAnsi="Cambria Math"/>
          </w:rPr>
          <m:t>∆</m:t>
        </m:r>
      </m:oMath>
      <w:r>
        <w:t xml:space="preserve"> is the diagonal matrix of marginal variances in </w:t>
      </w:r>
      <w:r>
        <w:rPr>
          <w:i/>
          <w:iCs/>
        </w:rPr>
        <w:t>V</w:t>
      </w:r>
      <w:r>
        <w:rPr>
          <w:i/>
          <w:iCs/>
          <w:vertAlign w:val="subscript"/>
        </w:rPr>
        <w:t>S</w:t>
      </w:r>
      <w:r>
        <w:t xml:space="preserve">. Following the tip-to-tip covariance matrix formulation </w:t>
      </w:r>
      <w:r>
        <w:rPr>
          <w:rFonts w:eastAsiaTheme="minorEastAsia"/>
        </w:rPr>
        <w:t xml:space="preserve">used in phylogenetic generalized least squares </w:t>
      </w:r>
      <w:r>
        <w:fldChar w:fldCharType="begin"/>
      </w:r>
      <w:r>
        <w:instrText xml:space="preserve"> ADDIN EN.CITE &lt;EndNote&gt;&lt;Cite&gt;&lt;Author&gt;Symonds&lt;/Author&gt;&lt;Year&gt;2014&lt;/Year&gt;&lt;RecNum&gt;14460&lt;/RecNum&gt;&lt;Prefix&gt;PGLS`, &lt;/Prefix&gt;&lt;DisplayText&gt;(PGLS, Symonds and Blomberg 2014)&lt;/DisplayText&gt;&lt;record&gt;&lt;rec-number&gt;14460&lt;/rec-number&gt;&lt;foreign-keys&gt;&lt;key app="EN" db-id="5tsvsseeuefw27e9zx352xrpxvvtws9rxxpe" timestamp="1499413782"&gt;14460&lt;/key&gt;&lt;/foreign-keys&gt;&lt;ref-type name="Book Section"&gt;5&lt;/ref-type&gt;&lt;contributors&gt;&lt;authors&gt;&lt;author&gt;Symonds, Matthew R. E.&lt;/author&gt;&lt;author&gt;Blomberg, Simon P.&lt;/author&gt;&lt;/authors&gt;&lt;secondary-authors&gt;&lt;author&gt;Garamszegi, László Zsolt&lt;/author&gt;&lt;/secondary-authors&gt;&lt;/contributors&gt;&lt;titles&gt;&lt;title&gt;A primer on phylogenetic generalised least squares&lt;/title&gt;&lt;secondary-title&gt;Modern Phylogenetic Comparative Methods and Their Application in Evolutionary Biology: Concepts and Practice&lt;/secondary-title&gt;&lt;/titles&gt;&lt;pages&gt;105-130&lt;/pages&gt;&lt;dates&gt;&lt;year&gt;2014&lt;/year&gt;&lt;/dates&gt;&lt;pub-location&gt;Berlin, Heidelberg&lt;/pub-location&gt;&lt;publisher&gt;Springer Berlin Heidelberg&lt;/publisher&gt;&lt;isbn&gt;978-3-662-43550-2&lt;/isbn&gt;&lt;label&gt;Symonds2014&lt;/label&gt;&lt;urls&gt;&lt;related-urls&gt;&lt;url&gt;http://dx.doi.org/10.1007/978-3-662-43550-2_5&lt;/url&gt;&lt;url&gt;http://download.springer.com/static/pdf/249/chp%253A10.1007%252F978-3-662-43550-2_5.pdf?originUrl=https%3A%2F%2Flink.springer.com%2Fchapter%2F10.1007%2F978-3-662-43550-2_5&amp;amp;token2=exp=1499415009~acl=%2Fstatic%2Fpdf%2F249%2Fchp%25253A10.1007%25252F978-3-662-43550-2_5.pdf%3ForiginUrl%3Dhttps%253A%252F%252Flink.springer.com%252Fchapter%252F10.1007%252F978-3-662-43550-2_5*~hmac=41ce0d7acbaaaaa95a8daa6b3042ab11c12cbaaab5b90cf24509c50823343cc3&lt;/url&gt;&lt;/related-urls&gt;&lt;/urls&gt;&lt;electronic-resource-num&gt;10.1007/978-3-662-43550-2_5&lt;/electronic-resource-num&gt;&lt;/record&gt;&lt;/Cite&gt;&lt;/EndNote&gt;</w:instrText>
      </w:r>
      <w:r>
        <w:fldChar w:fldCharType="separate"/>
      </w:r>
      <w:r>
        <w:t>(PGLS, Symonds and Blomberg 2014)</w:t>
      </w:r>
      <w:r>
        <w:fldChar w:fldCharType="end"/>
      </w:r>
      <w:r>
        <w:rPr>
          <w:rFonts w:eastAsiaTheme="minorEastAsia"/>
        </w:rPr>
        <w:t>, this correlation matrix provides a direct summary of tree-induced dependence among the species in the subset.</w:t>
      </w:r>
    </w:p>
    <w:p w14:paraId="06EDF03E">
      <w:pPr>
        <w:adjustRightInd w:val="0"/>
        <w:snapToGrid w:val="0"/>
        <w:spacing w:line="360" w:lineRule="auto"/>
      </w:pPr>
      <w:r>
        <w:tab/>
      </w:r>
      <w:r>
        <w:t xml:space="preserve">Brownian motion (BM) was used as the default covariance structure in the main analyses. Under BM, </w:t>
      </w:r>
      <w:r>
        <w:rPr>
          <w:i/>
          <w:iCs/>
        </w:rPr>
        <w:t>V</w:t>
      </w:r>
      <w:r>
        <w:rPr>
          <w:i/>
          <w:iCs/>
          <w:vertAlign w:val="subscript"/>
        </w:rPr>
        <w:t>S</w:t>
      </w:r>
      <w:r>
        <w:t xml:space="preserve"> is determined by shared ancestral branch lengths among species. To assess whether the resulting diagnostics were sensitive to covariance assumptions, selected analyses were repeated under </w:t>
      </w:r>
      <w:r>
        <w:rPr>
          <w:i/>
          <w:iCs/>
        </w:rPr>
        <w:t>λ</w:t>
      </w:r>
      <w:r>
        <w:t xml:space="preserve">-transformed BM, Ornstein–Uhlenbeck (OU), and early-burst (EB) covariance structures </w: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 </w:instrTex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EN.CITE.DATA </w:instrText>
      </w:r>
      <w:r>
        <w:fldChar w:fldCharType="end"/>
      </w:r>
      <w:r>
        <w:fldChar w:fldCharType="separate"/>
      </w:r>
      <w:r>
        <w:t>(Pagel 1999, Harmon et al. 2010, Paradis 2014)</w:t>
      </w:r>
      <w:r>
        <w:fldChar w:fldCharType="end"/>
      </w:r>
      <w:r>
        <w:t xml:space="preserve">. Pagel’s </w:t>
      </w:r>
      <w:r>
        <w:rPr>
          <w:i/>
          <w:iCs/>
        </w:rPr>
        <w:t>λ</w:t>
      </w:r>
      <w:r>
        <w:t xml:space="preserve"> transformation rescales the off-diagonal elements of the BM covariance matrix, OU models define covariance through attraction toward an optimum over evolutionary time, and EB models define covariance under a time-varying evolutionary rate. The same diagnostic framework can be applied to any model-implied covariance matrix </w:t>
      </w:r>
      <w:r>
        <w:rPr>
          <w:i/>
          <w:iCs/>
        </w:rPr>
        <w:t>V</w:t>
      </w:r>
      <w:r>
        <w:rPr>
          <w:i/>
          <w:iCs/>
          <w:vertAlign w:val="subscript"/>
        </w:rPr>
        <w:t>S</w:t>
      </w:r>
      <w:r>
        <w:t xml:space="preserve">; these alternative models therefore affect the diagnostics only through their implied correlation matrix </w:t>
      </w:r>
      <w:r>
        <w:rPr>
          <w:i/>
          <w:iCs/>
        </w:rPr>
        <w:t>R</w:t>
      </w:r>
      <w:r>
        <w:rPr>
          <w:i/>
          <w:iCs/>
          <w:vertAlign w:val="subscript"/>
        </w:rPr>
        <w:t>S</w:t>
      </w:r>
      <w:r>
        <w:t>.</w:t>
      </w:r>
    </w:p>
    <w:p w14:paraId="6A28DE5D">
      <w:pPr>
        <w:adjustRightInd w:val="0"/>
        <w:snapToGrid w:val="0"/>
        <w:spacing w:line="360" w:lineRule="auto"/>
      </w:pPr>
      <w:r>
        <w:tab/>
      </w:r>
      <w:r>
        <w:t>We calculated three phylogenetic-correlation-based diagnostics for each subset. The first diagnostic is the mean off-diagonal correlation,</w:t>
      </w:r>
    </w:p>
    <w:p w14:paraId="0901254F">
      <w:pPr>
        <w:adjustRightInd w:val="0"/>
        <w:snapToGrid w:val="0"/>
        <w:spacing w:line="360" w:lineRule="auto"/>
        <w:jc w:val="center"/>
      </w:pPr>
      <m:oMath>
        <m:r>
          <m:rPr>
            <m:nor/>
            <m:sty m:val="p"/>
          </m:rPr>
          <w:rPr>
            <w:rFonts w:ascii="Cambria Math" w:hAnsi="Cambria Math"/>
          </w:rPr>
          <m:t>MeanOffCor</m:t>
        </m:r>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i/>
              </w:rPr>
            </m:ctrlPr>
          </m:num>
          <m:den>
            <m:r>
              <m:rPr/>
              <w:rPr>
                <w:rFonts w:ascii="Cambria Math" w:hAnsi="Cambria Math"/>
              </w:rPr>
              <m:t>s</m:t>
            </m:r>
            <m:d>
              <m:dPr>
                <m:ctrlPr>
                  <w:rPr>
                    <w:rFonts w:ascii="Cambria Math" w:hAnsi="Cambria Math"/>
                    <w:i/>
                  </w:rPr>
                </m:ctrlPr>
              </m:dPr>
              <m:e>
                <m:r>
                  <m:rPr/>
                  <w:rPr>
                    <w:rFonts w:ascii="Cambria Math" w:hAnsi="Cambria Math"/>
                  </w:rPr>
                  <m:t>s−1</m:t>
                </m:r>
                <m:ctrlPr>
                  <w:rPr>
                    <w:rFonts w:ascii="Cambria Math" w:hAnsi="Cambria Math"/>
                    <w:i/>
                  </w:rPr>
                </m:ctrlPr>
              </m:e>
            </m:d>
            <m:ctrlPr>
              <w:rPr>
                <w:rFonts w:ascii="Cambria Math" w:hAnsi="Cambria Math"/>
                <w:i/>
              </w:rPr>
            </m:ctrlPr>
          </m:den>
        </m:f>
        <m:nary>
          <m:naryPr>
            <m:chr m:val="∑"/>
            <m:supHide m:val="1"/>
            <m:ctrlPr>
              <w:rPr>
                <w:rFonts w:ascii="Cambria Math" w:hAnsi="Cambria Math"/>
              </w:rPr>
            </m:ctrlPr>
          </m:naryPr>
          <m:sub>
            <m:r>
              <m:rPr/>
              <w:rPr>
                <w:rFonts w:ascii="Cambria Math" w:hAnsi="Cambria Math"/>
              </w:rPr>
              <m:t>i&lt;j</m:t>
            </m:r>
            <m:ctrlPr>
              <w:rPr>
                <w:rFonts w:ascii="Cambria Math" w:hAnsi="Cambria Math"/>
                <w:i/>
              </w:rPr>
            </m:ctrlPr>
          </m:sub>
          <m:sup>
            <m:ctrlPr>
              <w:rPr>
                <w:rFonts w:ascii="Cambria Math" w:hAnsi="Cambria Math"/>
                <w:i/>
              </w:rPr>
            </m:ctrlPr>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S</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oMath>
      <w:r>
        <w:t>,</w:t>
      </w:r>
    </w:p>
    <w:p w14:paraId="12628FC2">
      <w:pPr>
        <w:adjustRightInd w:val="0"/>
        <w:snapToGrid w:val="0"/>
        <w:spacing w:line="360" w:lineRule="auto"/>
      </w:pPr>
      <w:r>
        <w:t>which summarizes the average pairwise correlation induced by shared ancestry within the subset. The second is the maximum off-diagonal correlation,</w:t>
      </w:r>
    </w:p>
    <w:p w14:paraId="6420AE9D">
      <w:pPr>
        <w:adjustRightInd w:val="0"/>
        <w:snapToGrid w:val="0"/>
        <w:spacing w:line="360" w:lineRule="auto"/>
        <w:jc w:val="center"/>
      </w:pPr>
      <m:oMath>
        <m:r>
          <m:rPr>
            <m:sty m:val="p"/>
          </m:rPr>
          <w:rPr>
            <w:rFonts w:ascii="Cambria Math" w:hAnsi="Cambria Math"/>
          </w:rPr>
          <m:t>MaxOffCor</m:t>
        </m:r>
        <m:r>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i/>
                  </w:rPr>
                </m:ctrlPr>
              </m:e>
              <m:lim>
                <m:r>
                  <m:rPr/>
                  <w:rPr>
                    <w:rFonts w:ascii="Cambria Math" w:hAnsi="Cambria Math"/>
                  </w:rPr>
                  <m:t>i</m:t>
                </m:r>
                <m:r>
                  <m:rPr/>
                  <w:rPr>
                    <w:rFonts w:ascii="Cambria Math" w:hAnsi="Cambria Math" w:eastAsia="宋体" w:cs="宋体"/>
                  </w:rPr>
                  <m:t>&lt;j</m:t>
                </m:r>
                <m:ctrlPr>
                  <w:rPr>
                    <w:rFonts w:ascii="Cambria Math" w:hAnsi="Cambria Math"/>
                    <w:i/>
                  </w:rPr>
                </m:ctrlPr>
              </m:lim>
            </m:limLow>
            <m:ctrlPr>
              <w:rPr>
                <w:rFonts w:ascii="Cambria Math" w:hAnsi="Cambria Math"/>
                <w:i/>
              </w:rPr>
            </m:ctrlPr>
          </m:fName>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S</m:t>
                        </m:r>
                        <m:ctrlPr>
                          <w:rPr>
                            <w:rFonts w:ascii="Cambria Math" w:hAnsi="Cambria Math"/>
                            <w:i/>
                          </w:rPr>
                        </m:ctrlPr>
                      </m:sub>
                    </m:sSub>
                    <m:ctrlPr>
                      <w:rPr>
                        <w:rFonts w:ascii="Cambria Math" w:hAnsi="Cambria Math"/>
                        <w:i/>
                      </w:rPr>
                    </m:ctrlPr>
                  </m:e>
                </m:d>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func>
      </m:oMath>
      <w:r>
        <w:t>,</w:t>
      </w:r>
    </w:p>
    <w:p w14:paraId="66BF2486">
      <w:pPr>
        <w:adjustRightInd w:val="0"/>
        <w:snapToGrid w:val="0"/>
        <w:spacing w:line="360" w:lineRule="auto"/>
      </w:pPr>
      <w:r>
        <w:t>which captures the strongest remaining local dependence. Lower values of both quantities indicate weaker tree-induced dependence. The third diagnostic was the mean-based independence-equivalent sample size,</w:t>
      </w:r>
    </w:p>
    <w:p w14:paraId="15514925">
      <w:pPr>
        <w:adjustRightInd w:val="0"/>
        <w:snapToGrid w:val="0"/>
        <w:spacing w:line="360" w:lineRule="auto"/>
        <w:jc w:val="center"/>
      </w:pPr>
      <m:oMath>
        <m:r>
          <m:rPr/>
          <w:rPr>
            <w:rFonts w:ascii="Cambria Math" w:hAnsi="Cambria Math"/>
          </w:rPr>
          <m:t>MIESS=</m:t>
        </m:r>
        <m:sSup>
          <m:sSupPr>
            <m:ctrlPr>
              <w:rPr>
                <w:rFonts w:ascii="Cambria Math" w:hAnsi="Cambria Math"/>
                <w:i/>
              </w:rPr>
            </m:ctrlPr>
          </m:sSupPr>
          <m:e>
            <m:r>
              <m:rPr>
                <m:sty m:val="bi"/>
              </m:rPr>
              <w:rPr>
                <w:rFonts w:ascii="Cambria Math" w:hAnsi="Cambria Math"/>
              </w:rPr>
              <m:t>1</m:t>
            </m:r>
            <m:ctrlPr>
              <w:rPr>
                <w:rFonts w:ascii="Cambria Math" w:hAnsi="Cambria Math"/>
                <w:i/>
              </w:rPr>
            </m:ctrlPr>
          </m:e>
          <m:sup>
            <m:r>
              <m:rPr/>
              <w:rPr>
                <w:rFonts w:ascii="Cambria Math" w:hAnsi="Cambria Math"/>
              </w:rPr>
              <m:t>T</m:t>
            </m:r>
            <m:ctrlPr>
              <w:rPr>
                <w:rFonts w:ascii="Cambria Math" w:hAnsi="Cambria Math"/>
                <w:i/>
              </w:rPr>
            </m:ctrlPr>
          </m:sup>
        </m:sSup>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S</m:t>
            </m:r>
            <m:ctrlPr>
              <w:rPr>
                <w:rFonts w:ascii="Cambria Math" w:hAnsi="Cambria Math"/>
                <w:i/>
              </w:rPr>
            </m:ctrlPr>
          </m:sub>
          <m:sup>
            <m:r>
              <m:rPr/>
              <w:rPr>
                <w:rFonts w:ascii="Cambria Math" w:hAnsi="Cambria Math"/>
              </w:rPr>
              <m:t>−1</m:t>
            </m:r>
            <m:ctrlPr>
              <w:rPr>
                <w:rFonts w:ascii="Cambria Math" w:hAnsi="Cambria Math"/>
                <w:i/>
              </w:rPr>
            </m:ctrlPr>
          </m:sup>
        </m:sSubSup>
        <m:r>
          <m:rPr>
            <m:sty m:val="bi"/>
          </m:rPr>
          <w:rPr>
            <w:rFonts w:ascii="Cambria Math" w:hAnsi="Cambria Math"/>
          </w:rPr>
          <m:t>1</m:t>
        </m:r>
      </m:oMath>
      <w:r>
        <w:rPr>
          <w:bCs/>
        </w:rPr>
        <w:t>,</w:t>
      </w:r>
    </w:p>
    <w:p w14:paraId="3C262983">
      <w:pPr>
        <w:adjustRightInd w:val="0"/>
        <w:snapToGrid w:val="0"/>
        <w:spacing w:line="360" w:lineRule="auto"/>
      </w:pPr>
      <w:r>
        <w:t xml:space="preserve">where </w:t>
      </w:r>
      <w:r>
        <w:rPr>
          <w:b/>
          <w:bCs/>
        </w:rPr>
        <w:t>1</w:t>
      </w:r>
      <w:r>
        <w:t xml:space="preserve"> is a vector of ones. MIESS serves two related purposes in this study. First, it functions as a dependence diagnostic: smaller MIESS values indicate stronger within-subset phylogenetic dependence among species. Second, it translates this dependence into an information-content scale by expressing the subset as the size of an independent sample that would provide the same precision for estimating an overall mean under a generalized least-squares framework with correlation matrix </w:t>
      </w:r>
      <w:r>
        <w:rPr>
          <w:i/>
          <w:iCs/>
        </w:rPr>
        <w:t>R</w:t>
      </w:r>
      <w:r>
        <w:rPr>
          <w:i/>
          <w:iCs/>
          <w:vertAlign w:val="subscript"/>
        </w:rPr>
        <w:t>S</w:t>
      </w:r>
      <w:r>
        <w:t xml:space="preserve"> </w: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bD48L3BkZi11cmxzPjwvdXJscz48L3JlY29yZD48L0NpdGU+PC9FbmROb3RlPgBAAA==
</w:fldData>
        </w:fldChar>
      </w:r>
      <w:r>
        <w:instrText xml:space="preserve"> ADDIN EN.CITE </w:instrTex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bD48L3BkZi11cmxzPjwvdXJscz48L3JlY29yZD48L0NpdGU+PC9FbmROb3RlPgBAAA==
</w:fldData>
        </w:fldChar>
      </w:r>
      <w:r>
        <w:instrText xml:space="preserve"> ADDIN EN.CITE.DATA </w:instrText>
      </w:r>
      <w:r>
        <w:fldChar w:fldCharType="end"/>
      </w:r>
      <w:r>
        <w:fldChar w:fldCharType="separate"/>
      </w:r>
      <w:r>
        <w:t>(Aitken 1936, Faes et al. 2009)</w:t>
      </w:r>
      <w:r>
        <w:fldChar w:fldCharType="end"/>
      </w:r>
      <w:r>
        <w:t>. The derivation and interpretation of MIESS are provided in Appendix 1.</w:t>
      </w:r>
    </w:p>
    <w:p w14:paraId="3CF98E7C">
      <w:pPr>
        <w:adjustRightInd w:val="0"/>
        <w:snapToGrid w:val="0"/>
        <w:spacing w:line="360" w:lineRule="auto"/>
      </w:pPr>
      <w:r>
        <w:tab/>
      </w:r>
      <w:r>
        <w:t xml:space="preserve">These diagnostics were applied to dispersed, clustered, and random subsets to compare model-implied dependence and mean-based information content across subset types. Trait-level phylogenetic signal metrics such as Pagel’s </w:t>
      </w:r>
      <w:r>
        <w:rPr>
          <w:rFonts w:eastAsia="等线"/>
          <w:i/>
          <w:iCs/>
        </w:rPr>
        <w:t>λ</w:t>
      </w:r>
      <w:r>
        <w:t xml:space="preserve"> and Blomberg’s </w:t>
      </w:r>
      <w:r>
        <w:rPr>
          <w:i/>
          <w:iCs/>
        </w:rPr>
        <w:t xml:space="preserve">K </w:t>
      </w:r>
      <w:r>
        <w:rPr>
          <w:rFonts w:eastAsia="等线"/>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等线"/>
        </w:rPr>
        <w:instrText xml:space="preserve"> ADDIN EN.CITE </w:instrText>
      </w:r>
      <w:r>
        <w:rPr>
          <w:rFonts w:eastAsia="等线"/>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等线"/>
        </w:rPr>
        <w:instrText xml:space="preserve"> ADDIN EN.CITE.DATA </w:instrText>
      </w:r>
      <w:r>
        <w:rPr>
          <w:rFonts w:eastAsia="等线"/>
        </w:rPr>
        <w:fldChar w:fldCharType="end"/>
      </w:r>
      <w:r>
        <w:rPr>
          <w:rFonts w:eastAsia="等线"/>
        </w:rPr>
        <w:fldChar w:fldCharType="separate"/>
      </w:r>
      <w:r>
        <w:rPr>
          <w:rFonts w:eastAsia="等线"/>
        </w:rPr>
        <w:t>(Pagel 1999, Blomberg et al. 2003)</w:t>
      </w:r>
      <w:r>
        <w:rPr>
          <w:rFonts w:eastAsia="等线"/>
        </w:rPr>
        <w:fldChar w:fldCharType="end"/>
      </w:r>
      <w:r>
        <w:t xml:space="preserve"> were not used as within-subset dependence diagnostics because they evaluate how strongly a particular trait conforms to phylogenetic covariance expectations on a given tree rather than quantify the dependence among the species in the subset; this distinction is discussed in Appendix 1.</w:t>
      </w:r>
    </w:p>
    <w:p w14:paraId="52372EF6">
      <w:pPr>
        <w:adjustRightInd w:val="0"/>
        <w:snapToGrid w:val="0"/>
        <w:spacing w:line="360" w:lineRule="auto"/>
        <w:rPr>
          <w:rFonts w:eastAsia="等线"/>
        </w:rPr>
      </w:pPr>
    </w:p>
    <w:p w14:paraId="5DAF4A96">
      <w:pPr>
        <w:adjustRightInd w:val="0"/>
        <w:snapToGrid w:val="0"/>
        <w:spacing w:line="360" w:lineRule="auto"/>
        <w:jc w:val="center"/>
        <w:rPr>
          <w:b/>
          <w:bCs/>
          <w:i/>
          <w:iCs/>
        </w:rPr>
      </w:pPr>
      <w:r>
        <w:rPr>
          <w:b/>
          <w:bCs/>
          <w:i/>
          <w:iCs/>
        </w:rPr>
        <w:t>Prediction-Metric-Based Independence-Equivalent Sample Size</w:t>
      </w:r>
    </w:p>
    <w:p w14:paraId="76E42311">
      <w:pPr>
        <w:adjustRightInd w:val="0"/>
        <w:snapToGrid w:val="0"/>
        <w:spacing w:line="360" w:lineRule="auto"/>
      </w:pPr>
      <w:r>
        <w:t xml:space="preserve">We performed prediction-metric-based calibration to quantify the effective information available for RMSE, MAE, and predictive </w:t>
      </w:r>
      <w:r>
        <w:rPr>
          <w:i/>
          <w:iCs/>
        </w:rPr>
        <w:t>R</w:t>
      </w:r>
      <w:r>
        <w:rPr>
          <w:vertAlign w:val="superscript"/>
        </w:rPr>
        <w:t>2</w:t>
      </w:r>
      <w:r>
        <w:t xml:space="preserve"> for the selected Cricetidae subsets. Starting from the BM correlation matrix for the 512-species candidate pool, we extracted the rows and columns corresponding to each selected subset, including subsets drawn from nested candidate pools, to obtain the subset-specific correlation matrix used in the simulations. Under the multivariate normal model, this extraction gives the same marginal distribution as simulating the full 512-species tree and retaining only the selected species.</w:t>
      </w:r>
    </w:p>
    <w:p w14:paraId="2F6E3A06">
      <w:pPr>
        <w:adjustRightInd w:val="0"/>
        <w:snapToGrid w:val="0"/>
        <w:spacing w:line="360" w:lineRule="auto"/>
      </w:pPr>
      <w:r>
        <w:tab/>
      </w:r>
      <w:bookmarkStart w:id="2" w:name="_Hlk232352962"/>
      <w:r>
        <w:t xml:space="preserve">Using the subset-specific BM correlation structure, we simulated true values and prediction errors. True values were generated with marginal variance 1, and prediction errors with marginal variance 0.1, so that prediction performance was neither trivially perfect nor dominated by error variance. </w:t>
      </w:r>
      <w:bookmarkEnd w:id="2"/>
      <w:r>
        <w:t xml:space="preserve">Predicted values were defined as the sum of the true values and prediction errors. Each simulation was repeated 10,000 times, and RMSE, MAE, and predictive </w:t>
      </w:r>
      <w:r>
        <w:rPr>
          <w:i/>
          <w:iCs/>
        </w:rPr>
        <w:t>R</w:t>
      </w:r>
      <w:r>
        <w:rPr>
          <w:vertAlign w:val="superscript"/>
        </w:rPr>
        <w:t>2</w:t>
      </w:r>
      <w:r>
        <w:t xml:space="preserve"> were calculated for every replicate. The uncertainty of each metric was summarized as the width of its 95% empirical interval across simulation replicates. Full details of the simulation procedure are provided in Supplementary Methods Section S2.</w:t>
      </w:r>
    </w:p>
    <w:p w14:paraId="41A3D0D6">
      <w:pPr>
        <w:adjustRightInd w:val="0"/>
        <w:snapToGrid w:val="0"/>
        <w:spacing w:line="360" w:lineRule="auto"/>
      </w:pPr>
      <w:r>
        <w:tab/>
      </w:r>
      <w:r>
        <w:t xml:space="preserve">To convert this metric uncertainty into an independence-equivalent sample size, we constructed </w:t>
      </w:r>
      <w:r>
        <w:rPr>
          <w:i/>
          <w:iCs/>
        </w:rPr>
        <w:t>λ</w:t>
      </w:r>
      <w:r>
        <w:t xml:space="preserve"> = 0 benchmarks using independent samples of size </w:t>
      </w:r>
      <w:r>
        <w:rPr>
          <w:i/>
          <w:iCs/>
        </w:rPr>
        <w:t>n</w:t>
      </w:r>
      <w:r>
        <w:t xml:space="preserve"> = 4, 5, …, 32. These benchmark simulations used the same error variance, number of replicates, and sampling procedure as the phylogenetically structured subset simulations, differing only in the absence of phylogenetic correlation. This matching made the </w:t>
      </w:r>
      <w:r>
        <w:rPr>
          <w:i/>
          <w:iCs/>
        </w:rPr>
        <w:t>λ</w:t>
      </w:r>
      <w:r>
        <w:t xml:space="preserve"> = 0 simulations suitable benchmarks for translating metric uncertainty under phylogenetic dependence into an independence-equivalent sample size. The PIESS for a subset was then defined as the independent-sample size whose interval width most closely matched that of the subset under the BM correlation structure. This procedure was applied separately to dispersed, clustered, and random subsets.</w:t>
      </w:r>
    </w:p>
    <w:p w14:paraId="0BD9517D">
      <w:pPr>
        <w:adjustRightInd w:val="0"/>
        <w:snapToGrid w:val="0"/>
        <w:spacing w:line="360" w:lineRule="auto"/>
      </w:pPr>
      <w:r>
        <w:tab/>
      </w:r>
      <w:r>
        <w:t>After PIESS values had been calculated, the random subsets were used as the empirical baseline for evaluating whether the selected dispersed or clustered subset had unusually high or low metric-specific effective information. For dispersed subsets, empirical one-sided tail probabilities were calculated in the direction of higher PIESS than random subsets; for clustered subsets, they were calculated in the direction of lower PIESS than random subsets.</w:t>
      </w:r>
    </w:p>
    <w:p w14:paraId="4056CDB5">
      <w:pPr>
        <w:adjustRightInd w:val="0"/>
        <w:snapToGrid w:val="0"/>
        <w:spacing w:line="360" w:lineRule="auto"/>
      </w:pPr>
    </w:p>
    <w:p w14:paraId="64FF8B18">
      <w:pPr>
        <w:adjustRightInd w:val="0"/>
        <w:snapToGrid w:val="0"/>
        <w:spacing w:line="360" w:lineRule="auto"/>
        <w:jc w:val="center"/>
        <w:rPr>
          <w:b/>
          <w:bCs/>
          <w:i/>
          <w:iCs/>
        </w:rPr>
      </w:pPr>
      <w:r>
        <w:rPr>
          <w:b/>
          <w:bCs/>
          <w:i/>
          <w:iCs/>
        </w:rPr>
        <w:t>Sensitivity Analysis under Alternative Covariance Assumptions</w:t>
      </w:r>
    </w:p>
    <w:p w14:paraId="2EE81040">
      <w:pPr>
        <w:adjustRightInd w:val="0"/>
        <w:snapToGrid w:val="0"/>
        <w:spacing w:line="360" w:lineRule="auto"/>
      </w:pPr>
      <w:r>
        <w:t>Under the primary BM covariance structure (</w:t>
      </w:r>
      <w:r>
        <w:rPr>
          <w:rFonts w:eastAsia="等线"/>
          <w:i/>
          <w:iCs/>
        </w:rPr>
        <w:t>λ</w:t>
      </w:r>
      <w:r>
        <w:t xml:space="preserve"> = 1), we evaluated all empirical </w:t>
      </w:r>
      <w:r>
        <w:rPr>
          <w:i/>
          <w:iCs/>
        </w:rPr>
        <w:t>N</w:t>
      </w:r>
      <w:r>
        <w:t xml:space="preserve"> – </w:t>
      </w:r>
      <w:r>
        <w:rPr>
          <w:i/>
          <w:iCs/>
        </w:rPr>
        <w:t>s</w:t>
      </w:r>
      <w:r>
        <w:t xml:space="preserve"> combinations to examine whether the three correlation-based dependence diagnostics and PIESS showed consistent qualitative patterns among dispersed, clustered, and random subsets across candidate-pool and subset sizes. To assess robustness to alternative covariance assumptions, we further evaluated four representative </w:t>
      </w:r>
      <w:r>
        <w:rPr>
          <w:i/>
          <w:iCs/>
        </w:rPr>
        <w:t>N</w:t>
      </w:r>
      <w:r>
        <w:t xml:space="preserve"> – </w:t>
      </w:r>
      <w:r>
        <w:rPr>
          <w:i/>
          <w:iCs/>
        </w:rPr>
        <w:t>s</w:t>
      </w:r>
      <w:r>
        <w:t xml:space="preserve"> combinations—</w:t>
      </w:r>
      <w:r>
        <w:rPr>
          <w:i/>
          <w:iCs/>
        </w:rPr>
        <w:t>N</w:t>
      </w:r>
      <w:r>
        <w:t xml:space="preserve"> = 128, </w:t>
      </w:r>
      <w:r>
        <w:rPr>
          <w:i/>
          <w:iCs/>
        </w:rPr>
        <w:t>s</w:t>
      </w:r>
      <w:r>
        <w:t xml:space="preserve"> = 8; </w:t>
      </w:r>
      <w:r>
        <w:rPr>
          <w:i/>
          <w:iCs/>
        </w:rPr>
        <w:t>N</w:t>
      </w:r>
      <w:r>
        <w:t xml:space="preserve"> = 128, </w:t>
      </w:r>
      <w:r>
        <w:rPr>
          <w:i/>
          <w:iCs/>
        </w:rPr>
        <w:t>s</w:t>
      </w:r>
      <w:r>
        <w:t xml:space="preserve"> = 64; </w:t>
      </w:r>
      <w:r>
        <w:rPr>
          <w:i/>
          <w:iCs/>
        </w:rPr>
        <w:t>N</w:t>
      </w:r>
      <w:r>
        <w:t xml:space="preserve"> = 512, </w:t>
      </w:r>
      <w:r>
        <w:rPr>
          <w:i/>
          <w:iCs/>
        </w:rPr>
        <w:t>s</w:t>
      </w:r>
      <w:r>
        <w:t xml:space="preserve"> = 8; and </w:t>
      </w:r>
      <w:r>
        <w:rPr>
          <w:i/>
          <w:iCs/>
        </w:rPr>
        <w:t>N</w:t>
      </w:r>
      <w:r>
        <w:t xml:space="preserve"> = 512, </w:t>
      </w:r>
      <w:r>
        <w:rPr>
          <w:i/>
          <w:iCs/>
        </w:rPr>
        <w:t>s</w:t>
      </w:r>
      <w:r>
        <w:t xml:space="preserve"> = 64—under alternative phylogenetic covariance structures, treating these analyses as robustness checks rather than a second full factorial comparison.</w:t>
      </w:r>
    </w:p>
    <w:p w14:paraId="1426641C">
      <w:pPr>
        <w:adjustRightInd w:val="0"/>
        <w:snapToGrid w:val="0"/>
        <w:spacing w:line="360" w:lineRule="auto"/>
      </w:pPr>
      <w:r>
        <w:tab/>
      </w:r>
      <w:r>
        <w:t xml:space="preserve">For these four representative </w:t>
      </w:r>
      <w:r>
        <w:rPr>
          <w:i/>
          <w:iCs/>
        </w:rPr>
        <w:t>N</w:t>
      </w:r>
      <w:r>
        <w:t xml:space="preserve"> – </w:t>
      </w:r>
      <w:r>
        <w:rPr>
          <w:i/>
          <w:iCs/>
        </w:rPr>
        <w:t>s</w:t>
      </w:r>
      <w:r>
        <w:t xml:space="preserve"> combinations, sensitivity analyses were conducted under alternative phylogenetic covariance structures, including λ-transformed BM, OU, and EB evolutionary models. Analyses were applied to both (i) the correlation-based dependence diagnostics, including MIESS, and (ii) PIESS derived from RMSE, MAE, and predictive </w:t>
      </w:r>
      <w:r>
        <w:rPr>
          <w:i/>
          <w:iCs/>
        </w:rPr>
        <w:t>R</w:t>
      </w:r>
      <w:r>
        <w:t>², quantifying uncertainty in these prediction metrics.</w:t>
      </w:r>
    </w:p>
    <w:p w14:paraId="7D9422F6">
      <w:pPr>
        <w:adjustRightInd w:val="0"/>
        <w:snapToGrid w:val="0"/>
        <w:spacing w:line="360" w:lineRule="auto"/>
      </w:pPr>
      <w:r>
        <w:tab/>
      </w:r>
      <w:r>
        <w:t xml:space="preserve">In the </w:t>
      </w:r>
      <w:r>
        <w:rPr>
          <w:i/>
          <w:iCs/>
        </w:rPr>
        <w:t>λ</w:t>
      </w:r>
      <w:r>
        <w:t xml:space="preserve">-transformed BM analyses, </w:t>
      </w:r>
      <w:r>
        <w:rPr>
          <w:i/>
          <w:iCs/>
        </w:rPr>
        <w:t>λ</w:t>
      </w:r>
      <w:r>
        <w:t xml:space="preserve"> rescales the off-diagonal elements of the Brownian-motion covariance matrix while leaving marginal variances unchanged; </w:t>
      </w:r>
      <w:r>
        <w:rPr>
          <w:i/>
          <w:iCs/>
        </w:rPr>
        <w:t>λ</w:t>
      </w:r>
      <w:r>
        <w:t xml:space="preserve"> = 1 corresponds to the original BM covariance structure, whereas </w:t>
      </w:r>
      <w:r>
        <w:rPr>
          <w:i/>
          <w:iCs/>
        </w:rPr>
        <w:t>λ</w:t>
      </w:r>
      <w:r>
        <w:t xml:space="preserve"> = 0 yields a diagonal covariance matrix representing phylogenetically independent tips. Importantly, all covariance models in this study are evaluated relative to this shared independence benchmark (λ = 0), rather than relative to their own model-specific limiting or null configurations. In OU analyses, covariance structure was governed by the strength of stabilizing selection, parameterized through the relative phylogenetic half-life (</w:t>
      </w:r>
      <w:r>
        <w:rPr>
          <w:i/>
          <w:iCs/>
        </w:rPr>
        <w:t>h</w:t>
      </w:r>
      <w:r>
        <w:t>/</w:t>
      </w:r>
      <w:r>
        <w:rPr>
          <w:i/>
          <w:iCs/>
        </w:rPr>
        <w:t>H</w:t>
      </w:r>
      <w:r>
        <w:t>), where smaller values indicate faster decay of phylogenetic signal and a corresponding approach toward the shared independence benchmark through diminishing off-diagonal covariance, whereas larger values approach Brownian-motion-like covariance with stronger phylogenetic dependence. In EB model, evolutionary rates change exponentially through time via a rate-shift parameter (</w:t>
      </w:r>
      <w:r>
        <w:rPr>
          <w:i/>
          <w:iCs/>
        </w:rPr>
        <w:t>α</w:t>
      </w:r>
      <w:r>
        <w:t xml:space="preserve">), such that evolutionary change is concentrated toward early or late branches depending on the sign of </w:t>
      </w:r>
      <w:r>
        <w:rPr>
          <w:i/>
          <w:iCs/>
        </w:rPr>
        <w:t>α</w:t>
      </w:r>
      <w:r>
        <w:t>; increasing |</w:t>
      </w:r>
      <w:r>
        <w:rPr>
          <w:i/>
          <w:iCs/>
        </w:rPr>
        <w:t>α</w:t>
      </w:r>
      <w:r>
        <w:t xml:space="preserve">| produces stronger temporal heterogeneity in evolutionary rates and a progressive reduction in effective phylogenetic covariance relative to the same independence benchmark, while </w:t>
      </w:r>
      <w:r>
        <w:rPr>
          <w:i/>
          <w:iCs/>
        </w:rPr>
        <w:t>α</w:t>
      </w:r>
      <w:r>
        <w:t xml:space="preserve"> → 0 recovers the Brownian-motion covariance structure. Unlike </w:t>
      </w:r>
      <w:r>
        <w:rPr>
          <w:i/>
          <w:iCs/>
        </w:rPr>
        <w:t>λ</w:t>
      </w:r>
      <w:r>
        <w:t xml:space="preserve">-transformed BM, OU and EB do not possess an exact analytical </w:t>
      </w:r>
      <w:r>
        <w:rPr>
          <w:i/>
          <w:iCs/>
        </w:rPr>
        <w:t>λ</w:t>
      </w:r>
      <w:r>
        <w:t xml:space="preserve"> = 0 analogue, but both can approximate this shared independence regime under extreme parameter values through rapid decay of phylogenetic signal or extreme temporal concentration of evolutionary change.</w:t>
      </w:r>
    </w:p>
    <w:p w14:paraId="1FEC1201">
      <w:pPr>
        <w:adjustRightInd w:val="0"/>
        <w:snapToGrid w:val="0"/>
        <w:spacing w:line="360" w:lineRule="auto"/>
      </w:pPr>
    </w:p>
    <w:p w14:paraId="734CF73A">
      <w:pPr>
        <w:adjustRightInd w:val="0"/>
        <w:snapToGrid w:val="0"/>
        <w:spacing w:line="360" w:lineRule="auto"/>
        <w:jc w:val="center"/>
        <w:rPr>
          <w:b/>
          <w:bCs/>
          <w:i/>
          <w:iCs/>
        </w:rPr>
      </w:pPr>
      <w:r>
        <w:rPr>
          <w:b/>
          <w:bCs/>
          <w:i/>
          <w:iCs/>
        </w:rPr>
        <w:t>Software implementation and reproducibility</w:t>
      </w:r>
    </w:p>
    <w:p w14:paraId="491EB543">
      <w:pPr>
        <w:adjustRightInd w:val="0"/>
        <w:snapToGrid w:val="0"/>
        <w:spacing w:line="360" w:lineRule="auto"/>
      </w:pPr>
      <w:r>
        <w:t xml:space="preserve">All simulations and analyses were performed in R version 4.1.3 </w:t>
      </w:r>
      <w:r>
        <w:fldChar w:fldCharType="begin"/>
      </w:r>
      <w:r>
        <w:instrText xml:space="preserve"> ADDIN EN.CITE &lt;EndNote&gt;&lt;Cite&gt;&lt;Author&gt;R Core Team&lt;/Author&gt;&lt;Year&gt;2022&lt;/Year&gt;&lt;RecNum&gt;21677&lt;/RecNum&gt;&lt;DisplayText&gt;(R Core Team 2022)&lt;/DisplayText&gt;&lt;record&gt;&lt;rec-number&gt;21677&lt;/rec-number&gt;&lt;foreign-keys&gt;&lt;key app="EN" db-id="5tsvsseeuefw27e9zx352xrpxvvtws9rxxpe" timestamp="1718202075"&gt;21677&lt;/key&gt;&lt;/foreign-keys&gt;&lt;ref-type name="Computer Program"&gt;9&lt;/ref-type&gt;&lt;contributors&gt;&lt;authors&gt;&lt;author&gt;R Core Team,&lt;/author&gt;&lt;/authors&gt;&lt;/contributors&gt;&lt;titles&gt;&lt;title&gt;R: A language and environment for statistical computing. R Foundation for Statistical Computing, Vienna, Austria. https://www.R-project.org/.&lt;/title&gt;&lt;/titles&gt;&lt;dates&gt;&lt;year&gt;2022&lt;/year&gt;&lt;/dates&gt;&lt;urls&gt;&lt;/urls&gt;&lt;/record&gt;&lt;/Cite&gt;&lt;/EndNote&gt;</w:instrText>
      </w:r>
      <w:r>
        <w:fldChar w:fldCharType="separate"/>
      </w:r>
      <w:r>
        <w:t>(R Core Team 2022)</w:t>
      </w:r>
      <w:r>
        <w:fldChar w:fldCharType="end"/>
      </w:r>
      <w:r>
        <w:t xml:space="preserve"> on a Linux system. The proposed phylogenetically informed evaluation workflow was implemented in the PhyloTestESS package version 0.1.0. In this study, the package was used to construct phylogenetically dispersed subsets and clustered reference subsets, generate candidate-pool-constrained random baselines, calculate empirical one-sided </w:t>
      </w:r>
      <w:r>
        <w:rPr>
          <w:i/>
          <w:iCs/>
        </w:rPr>
        <w:t>p</w:t>
      </w:r>
      <w:r>
        <w:t>-values, compute distance-based subset descriptors, and evaluate covariance-based within-subset dependence diagnostics. The implemented effective-information metrics included MIESS for covariance-based within-subset dependence and PIESS for uncertainty in predictive performance metrics. Details of subset construction and effective-information estimation are provided in Supplementary Methods.</w:t>
      </w:r>
    </w:p>
    <w:p w14:paraId="7FBA0A24">
      <w:pPr>
        <w:adjustRightInd w:val="0"/>
        <w:snapToGrid w:val="0"/>
        <w:spacing w:line="360" w:lineRule="auto"/>
      </w:pPr>
      <w:r>
        <w:tab/>
      </w:r>
      <w:r>
        <w:t xml:space="preserve">Phylogenetic-tree manipulation and BM covariance calculations were performed using the ape package version 5.8.1 </w:t>
      </w:r>
      <w:r>
        <w:fldChar w:fldCharType="begin"/>
      </w:r>
      <w:r>
        <w:instrText xml:space="preserve"> ADDIN EN.CITE &lt;EndNote&gt;&lt;Cite&gt;&lt;Author&gt;Paradis&lt;/Author&gt;&lt;Year&gt;2019&lt;/Year&gt;&lt;RecNum&gt;16882&lt;/RecNum&gt;&lt;DisplayText&gt;(Paradis and Schliep 2019)&lt;/DisplayText&gt;&lt;record&gt;&lt;rec-number&gt;16882&lt;/rec-number&gt;&lt;foreign-keys&gt;&lt;key app="EN" db-id="5tsvsseeuefw27e9zx352xrpxvvtws9rxxpe" timestamp="1542263025"&gt;16882&lt;/key&gt;&lt;/foreign-keys&gt;&lt;ref-type name="Journal Article"&gt;17&lt;/ref-type&gt;&lt;contributors&gt;&lt;authors&gt;&lt;author&gt;Paradis, Emmanuel&lt;/author&gt;&lt;author&gt;Schliep, K.&lt;/author&gt;&lt;/authors&gt;&lt;/contributors&gt;&lt;auth-address&gt;ISEM, IRD, Univ. Montpellier, CNRS, EPHE, Montpellier, France.&amp;#xD;Department of Biology, University of Massachusetts Boston, Boston, MA, USA.&lt;/auth-address&gt;&lt;titles&gt;&lt;title&gt;ape 5.0: an environment for modern phylogenetics and evolutionary analyses in R&lt;/title&gt;&lt;secondary-title&gt;Bioinformatics&lt;/secondary-title&gt;&lt;/titles&gt;&lt;periodical&gt;&lt;full-title&gt;Bioinformatics&lt;/full-title&gt;&lt;abbr-1&gt;Bioinformatics&lt;/abbr-1&gt;&lt;/periodical&gt;&lt;pages&gt;526-528&lt;/pages&gt;&lt;volume&gt;35&lt;/volume&gt;&lt;number&gt;3&lt;/number&gt;&lt;edition&gt;2018/07/18&lt;/edition&gt;&lt;keywords&gt;&lt;keyword&gt;*Biodiversity&lt;/keyword&gt;&lt;keyword&gt;*Biological Evolution&lt;/keyword&gt;&lt;keyword&gt;*Phylogeny&lt;/keyword&gt;&lt;keyword&gt;*Software&lt;/keyword&gt;&lt;/keywords&gt;&lt;dates&gt;&lt;year&gt;2019&lt;/year&gt;&lt;pub-dates&gt;&lt;date&gt;Feb 1&lt;/date&gt;&lt;/pub-dates&gt;&lt;/dates&gt;&lt;isbn&gt;1367-4811 (Electronic)&amp;#xD;1367-4803 (Linking)&lt;/isbn&gt;&lt;accession-num&gt;30016406&lt;/accession-num&gt;&lt;urls&gt;&lt;related-urls&gt;&lt;url&gt;https://www.ncbi.nlm.nih.gov/pubmed/30016406&lt;/url&gt;&lt;/related-urls&gt;&lt;/urls&gt;&lt;electronic-resource-num&gt;10.1093/bioinformatics/bty633&lt;/electronic-resource-num&gt;&lt;/record&gt;&lt;/Cite&gt;&lt;/EndNote&gt;</w:instrText>
      </w:r>
      <w:r>
        <w:fldChar w:fldCharType="separate"/>
      </w:r>
      <w:r>
        <w:t>(Paradis and Schliep 2019)</w:t>
      </w:r>
      <w:r>
        <w:fldChar w:fldCharType="end"/>
      </w:r>
      <w:r>
        <w:t>. Specifically, ape was used to read phylogenetic trees, prune trees to candidate species pools, extract tip numbers, calculate patristic-distance matrices, and construct BM variance-covariance matrices. Principal ape functions used in the workflow included read.nexus(), drop.tip(), Ntip(), cophenetic.phylo(), and vcv.phylo(). Pagel’s λ-transformed, OU, and EB covariance structures were implemented within PhyloTestESS by applying the corresponding covariance transformations to the tree-derived covariance matrix.</w:t>
      </w:r>
    </w:p>
    <w:p w14:paraId="3427222C">
      <w:pPr>
        <w:adjustRightInd w:val="0"/>
        <w:snapToGrid w:val="0"/>
        <w:spacing w:line="360" w:lineRule="auto"/>
      </w:pPr>
      <w:r>
        <w:tab/>
      </w:r>
      <w:r>
        <w:t>Standard R packages distributed with R version 4.1.3 were used for routine numerical and graphical operations, including random sampling, seed control, quantile calculation, numerical optimization, matrix-to-correlation conversion, base plotting, and graphical-device control.</w:t>
      </w:r>
    </w:p>
    <w:p w14:paraId="4F947875">
      <w:pPr>
        <w:adjustRightInd w:val="0"/>
        <w:snapToGrid w:val="0"/>
        <w:spacing w:line="360" w:lineRule="auto"/>
      </w:pPr>
    </w:p>
    <w:p w14:paraId="463467D3">
      <w:pPr>
        <w:widowControl w:val="0"/>
        <w:adjustRightInd w:val="0"/>
        <w:snapToGrid w:val="0"/>
        <w:spacing w:line="360" w:lineRule="auto"/>
        <w:jc w:val="center"/>
        <w:rPr>
          <w:rFonts w:eastAsiaTheme="minorEastAsia"/>
          <w:b/>
          <w:bCs/>
          <w:smallCaps/>
          <w:sz w:val="28"/>
          <w:szCs w:val="28"/>
        </w:rPr>
      </w:pPr>
      <w:bookmarkStart w:id="3" w:name="_Hlk231484667"/>
      <w:r>
        <w:rPr>
          <w:rFonts w:eastAsiaTheme="minorEastAsia"/>
          <w:b/>
          <w:bCs/>
          <w:smallCaps/>
          <w:sz w:val="28"/>
          <w:szCs w:val="28"/>
        </w:rPr>
        <w:t>Results</w:t>
      </w:r>
    </w:p>
    <w:p w14:paraId="5DCEFEF9">
      <w:pPr>
        <w:adjustRightInd w:val="0"/>
        <w:snapToGrid w:val="0"/>
        <w:spacing w:line="360" w:lineRule="auto"/>
        <w:jc w:val="center"/>
        <w:rPr>
          <w:b/>
          <w:bCs/>
          <w:i/>
          <w:iCs/>
        </w:rPr>
      </w:pPr>
      <w:r>
        <w:rPr>
          <w:b/>
          <w:bCs/>
          <w:i/>
          <w:iCs/>
        </w:rPr>
        <w:t>Illustrative subset configurations on idealized phylogenies</w:t>
      </w:r>
    </w:p>
    <w:p w14:paraId="2BB35E11">
      <w:pPr>
        <w:adjustRightInd w:val="0"/>
        <w:snapToGrid w:val="0"/>
        <w:spacing w:line="360" w:lineRule="auto"/>
      </w:pPr>
      <w:r>
        <w:t xml:space="preserve">As an illustrative sanity check, we applied the subset-construction procedures to two idealized ultrametric 32-tip phylogenies with clear expected outcomes: a strictly balanced tree and a ladder-like tree. These examples were not intended to represent realistic empirical tree shapes, but to show the qualitative behavior of the dispersed and clustered subset definitions under simple and fully interpretable conditions. On a strictly balanced tree, the dispersed 8-species subset selected one representative from each of the eight major 4-tip clades (Fig. 1a), whereas the clustered reference subset selected species within a single local 8-tip clade (Fig. 1b). In the idealized ladder-like tree, the dispersed subset selected the eight earliest-diverging species along the backbone (Fig. 1c), whereas the clustered reference subset selected the eight most recently diverged terminal species (Fig. 1d). These patterns illustrate that the procedures recover the intended broad-coverage and local-neighborhood configurations under contrasting tree geometries. They also produced the expected differences in information content: under the BM covariance structure with </w:t>
      </w:r>
      <w:r>
        <w:rPr>
          <w:i/>
          <w:iCs/>
        </w:rPr>
        <w:t>λ</w:t>
      </w:r>
      <w:r>
        <w:t xml:space="preserve"> = 1, MIESS was higher for dispersed subsets than for clustered subsets on both tree geometries (balanced tree: 4.44 vs.1.74; ladder-like tree: 5.70 vs. 1.19).</w:t>
      </w:r>
    </w:p>
    <w:p w14:paraId="52634949">
      <w:pPr>
        <w:adjustRightInd w:val="0"/>
        <w:snapToGrid w:val="0"/>
        <w:spacing w:line="360" w:lineRule="auto"/>
      </w:pPr>
      <w:r>
        <w:drawing>
          <wp:inline distT="0" distB="0" distL="0" distR="0">
            <wp:extent cx="5723890" cy="179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3890" cy="1797050"/>
                    </a:xfrm>
                    <a:prstGeom prst="rect">
                      <a:avLst/>
                    </a:prstGeom>
                  </pic:spPr>
                </pic:pic>
              </a:graphicData>
            </a:graphic>
          </wp:inline>
        </w:drawing>
      </w:r>
    </w:p>
    <w:p w14:paraId="602FF372">
      <w:pPr>
        <w:adjustRightInd w:val="0"/>
        <w:snapToGrid w:val="0"/>
        <w:spacing w:line="360" w:lineRule="auto"/>
      </w:pPr>
      <w:r>
        <w:t xml:space="preserve">Figure 1. Illustrative subset configurations on idealized phylogenies. Subset-construction procedures were applied to idealized ultrametric 32-tip candidate pools with a target subset size of </w:t>
      </w:r>
      <w:r>
        <w:rPr>
          <w:i/>
          <w:iCs/>
        </w:rPr>
        <w:t>s</w:t>
      </w:r>
      <w:r>
        <w:t xml:space="preserve"> = 8. The four panels show dispersed and clustered subsets constructed on two contrasting tree geometries: a strictly balanced tree in panels (a) and (b), and a ladder-like tree in panels (c) and (d). Highlighted tips indicate selected species. Values shown in each panel indicate mean-based independence-equivalent sample size (MIESS) calculated from the subset correlation matrix under the Brownian motion covariance structure with </w:t>
      </w:r>
      <w:r>
        <w:rPr>
          <w:i/>
          <w:iCs/>
        </w:rPr>
        <w:t>λ</w:t>
      </w:r>
      <w:r>
        <w:t xml:space="preserve"> = 1. Graphical layouts are for visualization only; subset construction and evaluation used patristic distances from the underlying trees.</w:t>
      </w:r>
    </w:p>
    <w:p w14:paraId="6F888242">
      <w:pPr>
        <w:adjustRightInd w:val="0"/>
        <w:snapToGrid w:val="0"/>
        <w:spacing w:line="360" w:lineRule="auto"/>
      </w:pPr>
    </w:p>
    <w:p w14:paraId="5D1562D3">
      <w:pPr>
        <w:adjustRightInd w:val="0"/>
        <w:snapToGrid w:val="0"/>
        <w:spacing w:line="360" w:lineRule="auto"/>
      </w:pPr>
      <w:r>
        <w:tab/>
      </w:r>
      <w:r>
        <w:t xml:space="preserve">When phylogenetic structure is highly imbalanced or approximates a ladder-like topology, or when early-diverging lineages are sparsely sampled, phylogenetically dispersed subsets tend to converge toward selections of early-diverging taxa along the backbone, making root-proximal sampling a reasonable approximation of maximal phylogenetic coverage in such extreme cases. This behavior is illustrated by the ladder-like tree in Figure 1c, where dispersed sampling reduces to selecting basal lineages along the main evolutionary backbone. Such patterns are most plausibly encountered in systems characterized by strong lineage turnover and serial replacement dynamics, including rapidly evolving viral populations, where RNA virus phylogenies (e.g., influenza A virus and HIV) often exhibit highly unbalanced, ladder-like structures driven by continuous antigenic evolution and selective sweeps </w: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VW5pZnlpbmcgdGhlIEVwaWRlbWlvbG9naWNhbCBhbmQgRXZvbHV0aW9uYXJ5IER5bmFtaWNzIG9m
IFBhdGhvZ2VuczwvdGl0bGU+PHNlY29uZGFyeS10aXRsZT5TY2llbmNlPC9zZWNvbmRhcnktdGl0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cmxzPjwvdXJscz48ZWxlY3Ryb25pYy1yZXNvdXJjZS1udW0+ZG9pOjEwLjExMjYvc2NpZW5jZS4x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</w:fldData>
        </w:fldChar>
      </w:r>
      <w:r>
        <w:instrText xml:space="preserve"> ADDIN EN.CITE </w:instrTex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VW5pZnlpbmcgdGhlIEVwaWRlbWlvbG9naWNhbCBhbmQgRXZvbHV0aW9uYXJ5IER5bmFtaWNzIG9m
IFBhdGhvZ2VuczwvdGl0bGU+PHNlY29uZGFyeS10aXRsZT5TY2llbmNlPC9zZWNvbmRhcnktdGl0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cmxzPjwvdXJscz48ZWxlY3Ryb25pYy1yZXNvdXJjZS1udW0+ZG9pOjEwLjExMjYvc2NpZW5jZS4x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</w:fldData>
        </w:fldChar>
      </w:r>
      <w:r>
        <w:instrText xml:space="preserve"> ADDIN EN.CITE.DATA </w:instrText>
      </w:r>
      <w:r>
        <w:fldChar w:fldCharType="end"/>
      </w:r>
      <w:r>
        <w:fldChar w:fldCharType="separate"/>
      </w:r>
      <w:r>
        <w:t>(Fitch et al. 1997, Grenfell et al. 2004, Bedford et al. 2012)</w:t>
      </w:r>
      <w:r>
        <w:fldChar w:fldCharType="end"/>
      </w:r>
      <w:r>
        <w:t>.</w:t>
      </w:r>
    </w:p>
    <w:p w14:paraId="4A8F323C">
      <w:pPr>
        <w:adjustRightInd w:val="0"/>
        <w:snapToGrid w:val="0"/>
        <w:spacing w:line="360" w:lineRule="auto"/>
      </w:pPr>
    </w:p>
    <w:p w14:paraId="0D9A6511">
      <w:pPr>
        <w:adjustRightInd w:val="0"/>
        <w:snapToGrid w:val="0"/>
        <w:spacing w:line="360" w:lineRule="auto"/>
        <w:jc w:val="center"/>
        <w:rPr>
          <w:b/>
          <w:bCs/>
          <w:i/>
          <w:iCs/>
        </w:rPr>
      </w:pPr>
      <w:r>
        <w:rPr>
          <w:b/>
          <w:bCs/>
          <w:i/>
          <w:iCs/>
        </w:rPr>
        <w:t>Distance-Based Validation of Dispersed and Clustered Subsets</w:t>
      </w:r>
    </w:p>
    <w:p w14:paraId="05CBEEF9">
      <w:pPr>
        <w:adjustRightInd w:val="0"/>
        <w:snapToGrid w:val="0"/>
        <w:spacing w:line="360" w:lineRule="auto"/>
      </w:pPr>
      <w:r>
        <w:t xml:space="preserve">In the empirical Cricetidae candidate pool, the selected subsets showed the intended contrast in phylogenetic configuration. The dispersed subset was distributed across widely separated regions of the Cricetidae phylogeny, whereas the clustered reference subset was concentrated within a narrow region of the same phylogeny (Supplementary Fig. S1). Specifically, the clustered reference subset selected 64 of the 66 species in </w:t>
      </w:r>
      <w:bookmarkStart w:id="4" w:name="_Hlk231466702"/>
      <w:r>
        <w:t>an unnamed local subclade within Arvicolinae.</w:t>
      </w:r>
      <w:bookmarkEnd w:id="4"/>
      <w:r>
        <w:t xml:space="preserve"> This local subclade showed an approximately ladder-like topology, and the selected species almost completely occupied its most recently diverged portion, closely resembling the behavior observed on the idealized ladder phylogeny in Fig. 1d.</w:t>
      </w:r>
    </w:p>
    <w:p w14:paraId="217B9018">
      <w:pPr>
        <w:adjustRightInd w:val="0"/>
        <w:snapToGrid w:val="0"/>
        <w:spacing w:line="360" w:lineRule="auto"/>
      </w:pPr>
      <w:r>
        <w:tab/>
      </w:r>
      <w:r>
        <w:t xml:space="preserve">This visual contrast was supported by distance-based comparisons with 1000 random subsets of the same size (Supplementary Fig. S2). The dispersed subset occupied the upper tails of dispersion-oriented criteria, whereas the clustered reference subset occupied the lower tails of clustering-oriented criteria. Thus, the selected subsets provided suitable low- and high-dependence reference configurations for assessing the consequences of phylogenetic dependence. Detailed metric values, empirical tail probabilities, and distributional comparisons are provided in Supplementary Results </w:t>
      </w:r>
      <w:bookmarkStart w:id="5" w:name="_Hlk231338167"/>
      <w:r>
        <w:t>Section S1</w:t>
      </w:r>
      <w:bookmarkEnd w:id="5"/>
      <w:r>
        <w:t>.</w:t>
      </w:r>
    </w:p>
    <w:p w14:paraId="5BB811B9">
      <w:pPr>
        <w:adjustRightInd w:val="0"/>
        <w:snapToGrid w:val="0"/>
        <w:spacing w:line="360" w:lineRule="auto"/>
      </w:pPr>
    </w:p>
    <w:p w14:paraId="29DDD8D9">
      <w:pPr>
        <w:adjustRightInd w:val="0"/>
        <w:snapToGrid w:val="0"/>
        <w:spacing w:line="360" w:lineRule="auto"/>
        <w:jc w:val="center"/>
        <w:rPr>
          <w:b/>
          <w:bCs/>
          <w:i/>
          <w:iCs/>
        </w:rPr>
      </w:pPr>
      <w:r>
        <w:rPr>
          <w:b/>
          <w:bCs/>
          <w:i/>
          <w:iCs/>
        </w:rPr>
        <w:t>Dispersed Subsets Reduce Dependence but Retain Limited Effective Information</w:t>
      </w:r>
    </w:p>
    <w:p w14:paraId="51BDFAF7">
      <w:pPr>
        <w:adjustRightInd w:val="0"/>
        <w:snapToGrid w:val="0"/>
        <w:spacing w:line="360" w:lineRule="auto"/>
        <w:rPr>
          <w:rFonts w:eastAsia="等线"/>
        </w:rPr>
      </w:pPr>
      <w:r>
        <w:rPr>
          <w:rFonts w:eastAsia="等线"/>
        </w:rPr>
        <w:t xml:space="preserve">Having established that dispersed subsetting produced a distance-based reduction in phylogenetic redundancy, we next asked whether this reduction also translated into weaker covariance-based dependence and greater effective information in the selected evaluation subsets. For each selected subset and each random subset, we calculated the </w:t>
      </w:r>
      <w:r>
        <w:rPr>
          <w:rFonts w:eastAsia="等线"/>
          <w:i/>
          <w:iCs/>
        </w:rPr>
        <w:t>R</w:t>
      </w:r>
      <w:r>
        <w:rPr>
          <w:rFonts w:eastAsia="等线"/>
          <w:i/>
          <w:iCs/>
          <w:vertAlign w:val="subscript"/>
        </w:rPr>
        <w:t>S</w:t>
      </w:r>
      <w:r>
        <w:rPr>
          <w:rFonts w:eastAsia="等线"/>
        </w:rPr>
        <w:t>-based within-subset dependence diagnostics under a BM covariance structure, including MeanOffCor, MaxOffCor, and MIESS. Lower MeanOffCor and MaxOffCor, together with higher MIESS, indicate weaker within-subset phylogenetic dependence.</w:t>
      </w:r>
    </w:p>
    <w:p w14:paraId="5E7D9C77">
      <w:pPr>
        <w:adjustRightInd w:val="0"/>
        <w:snapToGrid w:val="0"/>
        <w:spacing w:line="360" w:lineRule="auto"/>
        <w:rPr>
          <w:rFonts w:eastAsia="等线"/>
        </w:rPr>
      </w:pPr>
      <w:r>
        <w:rPr>
          <w:rFonts w:eastAsia="等线"/>
        </w:rPr>
        <w:tab/>
      </w:r>
      <w:r>
        <w:rPr>
          <w:rFonts w:eastAsia="等线"/>
        </w:rPr>
        <w:t xml:space="preserve">The dependence diagnostics shown in Figure 2a–c extended the distance-based comparisons by showing that the dispersed subset also had lower covariance-based dependence and higher independence-equivalent information than the random and clustered subsets. The phylogenetically dispersed subset showed lower MeanOffCor than the random-subset baseline (0.17, compared with a random-subset mean of 0.20 and minimum of 0.16) and also lower MaxOffCor (0.69, compared with a random-subset mean of 0.97 and minimum of 0.89). Its MIESS was higher than the random-subset baseline (8.91, compared with a random-subset mean of 6.79 and maximum of 8.28). Relative to the empirical null distributions generated by random sampling, the dispersed subset </w:t>
      </w:r>
      <w:r>
        <w:t xml:space="preserve">fell in the expected tails for all three </w:t>
      </w:r>
      <w:r>
        <w:rPr>
          <w:rFonts w:eastAsia="等线"/>
          <w:i/>
          <w:iCs/>
        </w:rPr>
        <w:t>R</w:t>
      </w:r>
      <w:r>
        <w:rPr>
          <w:rFonts w:eastAsia="等线"/>
          <w:i/>
          <w:iCs/>
          <w:vertAlign w:val="subscript"/>
        </w:rPr>
        <w:t>S</w:t>
      </w:r>
      <w:r>
        <w:rPr>
          <w:rFonts w:eastAsia="等线"/>
        </w:rPr>
        <w:t xml:space="preserve">-based dependence diagnostics, with one-sided empirical </w:t>
      </w:r>
      <w:r>
        <w:rPr>
          <w:rFonts w:eastAsia="等线"/>
          <w:i/>
          <w:iCs/>
        </w:rPr>
        <w:t>p</w:t>
      </w:r>
      <w:r>
        <w:rPr>
          <w:rFonts w:eastAsia="等线"/>
        </w:rPr>
        <w:t>-values of 0.027, 0.001, and 0.001 for MeanOffCor, MaxOffCor, and MIESS, respectively.</w:t>
      </w:r>
    </w:p>
    <w:p w14:paraId="6621F8C1">
      <w:pPr>
        <w:adjustRightInd w:val="0"/>
        <w:snapToGrid w:val="0"/>
        <w:spacing w:line="360" w:lineRule="auto"/>
        <w:rPr>
          <w:rFonts w:eastAsia="等线"/>
        </w:rPr>
      </w:pPr>
      <w:r>
        <w:rPr>
          <w:rFonts w:eastAsia="等线"/>
        </w:rPr>
        <w:tab/>
      </w:r>
      <w:r>
        <w:rPr>
          <w:rFonts w:eastAsia="等线"/>
        </w:rPr>
        <w:t xml:space="preserve">The clustered reference subset showed the opposite pattern under the same BM covariance structure (Fig. 2a–c). It had higher MeanOffCor than the random-subset baseline (0.78, compared with a random-subset mean of 0.20 and maximum of 0.31) and higher MaxOffCor (0.99, compared with a random-subset mean of 0.97 and maximum of 1.00). Its MIESS was lower than the random-subset baseline (1.29, compared with a random-subset mean of 6.79 and minimum of 5.07). The corresponding one-sided empirical </w:t>
      </w:r>
      <w:r>
        <w:rPr>
          <w:rFonts w:eastAsia="等线"/>
          <w:i/>
          <w:iCs/>
        </w:rPr>
        <w:t>p</w:t>
      </w:r>
      <w:r>
        <w:rPr>
          <w:rFonts w:eastAsia="等线"/>
        </w:rPr>
        <w:t>-values were 0.001, 0.008, and 0.001 for MeanOffCor, MaxOffCor, and MIESS, respectively. Thus, the two selected subsets occupied opposite sides of the random-subset distributions not only for patristic-distance metrics, but also for covariance-based summaries of within-subset dependence.</w:t>
      </w:r>
    </w:p>
    <w:p w14:paraId="779E54BA">
      <w:pPr>
        <w:adjustRightInd w:val="0"/>
        <w:snapToGrid w:val="0"/>
        <w:spacing w:line="360" w:lineRule="auto"/>
        <w:rPr>
          <w:rFonts w:eastAsia="等线"/>
        </w:rPr>
      </w:pPr>
      <w:r>
        <w:rPr>
          <w:rFonts w:eastAsia="等线"/>
        </w:rPr>
        <w:tab/>
      </w:r>
      <w:r>
        <w:rPr>
          <w:rFonts w:eastAsia="等线"/>
        </w:rPr>
        <w:t xml:space="preserve">Although the dispersed subset showed weaker within-subset dependence than both the clustered subset and the random-subset baseline, its MIESS under the BM covariance structure remained far below the nominal subset size of 64. We therefore recalculated MIESS for the same 64-species dispersed subset under fixed </w:t>
      </w:r>
      <w:r>
        <w:rPr>
          <w:rFonts w:eastAsia="等线"/>
          <w:i/>
          <w:iCs/>
        </w:rPr>
        <w:t>λ</w:t>
      </w:r>
      <w:r>
        <w:rPr>
          <w:rFonts w:eastAsia="等线"/>
        </w:rPr>
        <w:t xml:space="preserve">-transformed covariance structures (Fig. 2d). MIESS decreased progressively as </w:t>
      </w:r>
      <w:r>
        <w:rPr>
          <w:rFonts w:eastAsia="等线"/>
          <w:i/>
          <w:iCs/>
        </w:rPr>
        <w:t>λ</w:t>
      </w:r>
      <w:r>
        <w:rPr>
          <w:rFonts w:eastAsia="等线"/>
        </w:rPr>
        <w:t xml:space="preserve"> increased, from 64.00 at </w:t>
      </w:r>
      <w:r>
        <w:rPr>
          <w:rFonts w:eastAsia="等线"/>
          <w:i/>
          <w:iCs/>
        </w:rPr>
        <w:t xml:space="preserve">λ </w:t>
      </w:r>
      <w:r>
        <w:rPr>
          <w:rFonts w:eastAsia="等线"/>
        </w:rPr>
        <w:t xml:space="preserve">= 0.0 to 34.14 at </w:t>
      </w:r>
      <w:r>
        <w:rPr>
          <w:rFonts w:eastAsia="等线"/>
          <w:i/>
          <w:iCs/>
        </w:rPr>
        <w:t xml:space="preserve">λ </w:t>
      </w:r>
      <w:r>
        <w:rPr>
          <w:rFonts w:eastAsia="等线"/>
        </w:rPr>
        <w:t xml:space="preserve">= 0.10, and reached 8.91 at </w:t>
      </w:r>
      <w:r>
        <w:rPr>
          <w:rFonts w:eastAsia="等线"/>
          <w:i/>
          <w:iCs/>
        </w:rPr>
        <w:t>λ</w:t>
      </w:r>
      <w:r>
        <w:rPr>
          <w:rFonts w:eastAsia="等线"/>
        </w:rPr>
        <w:t xml:space="preserve"> = 1.0, as expected when the off-diagonal phylogenetic covariance is removed. This limiting case provided an internal consistency check for the calculation. Thus, the effective sample size of the selected dispersed subset depended strongly on the assumed strength of trait-level phylogenetic dependence.</w:t>
      </w:r>
    </w:p>
    <w:p w14:paraId="71F7893D">
      <w:pPr>
        <w:adjustRightInd w:val="0"/>
        <w:snapToGrid w:val="0"/>
        <w:spacing w:line="360" w:lineRule="auto"/>
        <w:rPr>
          <w:rFonts w:eastAsia="等线"/>
        </w:rPr>
      </w:pPr>
      <w:r>
        <w:rPr>
          <w:rFonts w:eastAsia="等线"/>
        </w:rPr>
        <w:tab/>
      </w:r>
      <w:r>
        <w:rPr>
          <w:rFonts w:eastAsia="等线"/>
        </w:rPr>
        <w:t>Together, these results show that distance-based dispersion reduced within-subset phylogenetic dependence and increased effective information relative to random and clustered subsets, but did not eliminate the gap between nominal subset size and independence-equivalent information.</w:t>
      </w:r>
    </w:p>
    <w:p w14:paraId="5E03F565">
      <w:pPr>
        <w:adjustRightInd w:val="0"/>
        <w:snapToGrid w:val="0"/>
        <w:spacing w:line="360" w:lineRule="auto"/>
        <w:rPr>
          <w:rFonts w:eastAsia="等线"/>
        </w:rPr>
      </w:pPr>
      <w:r>
        <w:rPr>
          <w:rFonts w:eastAsia="等线"/>
        </w:rPr>
        <w:drawing>
          <wp:inline distT="0" distB="0" distL="0" distR="0">
            <wp:extent cx="5723890" cy="18046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723890" cy="1804670"/>
                    </a:xfrm>
                    <a:prstGeom prst="rect">
                      <a:avLst/>
                    </a:prstGeom>
                  </pic:spPr>
                </pic:pic>
              </a:graphicData>
            </a:graphic>
          </wp:inline>
        </w:drawing>
      </w:r>
    </w:p>
    <w:p w14:paraId="2340434E">
      <w:pPr>
        <w:adjustRightInd w:val="0"/>
        <w:snapToGrid w:val="0"/>
        <w:spacing w:line="360" w:lineRule="auto"/>
        <w:rPr>
          <w:rFonts w:eastAsia="等线"/>
        </w:rPr>
      </w:pPr>
      <w:r>
        <w:rPr>
          <w:rFonts w:eastAsia="等线"/>
        </w:rPr>
        <w:t>Figure 2. Tree-induced dependence diagnostics for selected Cricetidae subsets. Within-subset dependence diagnostics were calculated from the model-implied correlation matrix under a Brownian-motion (BM) covariance structure and compared with empirical random-subset baselines generated from 1000 random subsets. Panels show (a) mean off-diagonal correlation (MeanOffCor), (b) maximum off-diagonal correlation (MaxOffCor), and (c) mean-based independence-equivalent sample size (MIESS). For MeanOffCor and MaxOffCor, smaller values indicate weaker tree-induced dependence; for MIESS, larger values indicate greater independence-equivalent information. Vertical lines indicate observed values for the selected dispersed and clustered subsets, and density curves show the empirical distributions of the random subsets. Panel (d) shows MIESS of the 64-species dispersed subset under fixed λ-transformed BM covariance structures. The horizontal reference line indicates the nominal subset size.</w:t>
      </w:r>
    </w:p>
    <w:p w14:paraId="4923C3F0">
      <w:pPr>
        <w:adjustRightInd w:val="0"/>
        <w:snapToGrid w:val="0"/>
        <w:spacing w:line="360" w:lineRule="auto"/>
        <w:rPr>
          <w:rFonts w:eastAsia="等线"/>
        </w:rPr>
      </w:pPr>
    </w:p>
    <w:p w14:paraId="7E2FFA91">
      <w:pPr>
        <w:adjustRightInd w:val="0"/>
        <w:snapToGrid w:val="0"/>
        <w:spacing w:line="360" w:lineRule="auto"/>
        <w:jc w:val="center"/>
        <w:rPr>
          <w:b/>
          <w:bCs/>
          <w:i/>
          <w:iCs/>
        </w:rPr>
      </w:pPr>
      <w:r>
        <w:rPr>
          <w:b/>
          <w:bCs/>
          <w:i/>
          <w:iCs/>
        </w:rPr>
        <w:t>Dependence Reduces Effective Information for Predictive Performance Assessment</w:t>
      </w:r>
    </w:p>
    <w:p w14:paraId="50CE3012">
      <w:pPr>
        <w:adjustRightInd w:val="0"/>
        <w:snapToGrid w:val="0"/>
        <w:spacing w:line="360" w:lineRule="auto"/>
        <w:rPr>
          <w:rFonts w:eastAsia="等线"/>
        </w:rPr>
      </w:pPr>
      <w:r>
        <w:rPr>
          <w:rFonts w:eastAsia="等线"/>
        </w:rPr>
        <w:t>The MIESS analyses quantified the effective information content implied by the within-subset correlation structure itself. However, in species-level machine-learning applications, the practical consequence of tree-induced dependence is usually expressed through uncertainty in predictive performance metrics rather than through the covariance matrix alone. We therefore further evaluated the PIESS, asking how many phylogenetically independent samples would be required to produce the same sampling variation in prediction metrics as the selected dispersed evaluation subset.</w:t>
      </w:r>
    </w:p>
    <w:p w14:paraId="7D6FF475">
      <w:pPr>
        <w:adjustRightInd w:val="0"/>
        <w:snapToGrid w:val="0"/>
        <w:spacing w:line="360" w:lineRule="auto"/>
        <w:rPr>
          <w:rFonts w:eastAsia="等线"/>
        </w:rPr>
      </w:pPr>
      <w:r>
        <w:rPr>
          <w:rFonts w:eastAsia="等线"/>
        </w:rPr>
        <w:tab/>
      </w:r>
      <w:r>
        <w:rPr>
          <w:rFonts w:eastAsia="等线"/>
        </w:rPr>
        <w:t xml:space="preserve">For the 64-species dispersed subset, PIESS remained substantially below the nominal test-set size for all three prediction metrics considered (Fig. 3). For RMSE, the observed phylogenetically structured sampling variation corresponded to an independent benchmark sample size of approximately 13.20, indicating that the nominal 64-species evaluation subset provided only a much smaller amount of independent information for estimating RMSE. The same qualitative pattern was observed for MAE, with PIESS of approximately 11.71. </w:t>
      </w:r>
    </w:p>
    <w:p w14:paraId="056D4E7F">
      <w:pPr>
        <w:adjustRightInd w:val="0"/>
        <w:snapToGrid w:val="0"/>
        <w:spacing w:line="360" w:lineRule="auto"/>
        <w:rPr>
          <w:rFonts w:eastAsia="等线"/>
        </w:rPr>
      </w:pPr>
      <w:r>
        <w:rPr>
          <w:rFonts w:eastAsia="等线"/>
        </w:rPr>
        <w:tab/>
      </w:r>
      <w:r>
        <w:rPr>
          <w:rFonts w:eastAsia="等线"/>
        </w:rPr>
        <w:t xml:space="preserve">Among the prediction-metric-based estimates, </w:t>
      </w:r>
      <w:r>
        <w:rPr>
          <w:rFonts w:eastAsia="等线"/>
          <w:i/>
          <w:iCs/>
        </w:rPr>
        <w:t>R</w:t>
      </w:r>
      <w:r>
        <w:rPr>
          <w:rFonts w:eastAsia="等线"/>
        </w:rPr>
        <w:t xml:space="preserve">² produced the largest PIESS, with an estimated value of approximately 15.10. This indicates that the degree of information loss varied among performance metrics, and that </w:t>
      </w:r>
      <w:r>
        <w:rPr>
          <w:rFonts w:eastAsia="等线"/>
          <w:i/>
          <w:iCs/>
        </w:rPr>
        <w:t>R</w:t>
      </w:r>
      <w:r>
        <w:rPr>
          <w:rFonts w:eastAsia="等线"/>
        </w:rPr>
        <w:t>² retained more independence-equivalent information than RMSE and MAE under the present settings. However, even this largest PIESS remained far below the nominal 64-species subset size. Thus, although the precise independence-equivalent sample size was metric-specific, all prediction-metric-based estimates supported the same qualitative conclusion that the dispersed evaluation subset contained substantially less independent information than its nominal size.</w:t>
      </w:r>
    </w:p>
    <w:p w14:paraId="124F4ECF">
      <w:pPr>
        <w:adjustRightInd w:val="0"/>
        <w:snapToGrid w:val="0"/>
        <w:spacing w:line="360" w:lineRule="auto"/>
        <w:rPr>
          <w:rFonts w:eastAsia="等线"/>
        </w:rPr>
      </w:pPr>
      <w:r>
        <w:rPr>
          <w:rFonts w:eastAsia="等线"/>
        </w:rPr>
        <w:tab/>
      </w:r>
      <w:r>
        <w:rPr>
          <w:rFonts w:eastAsia="等线"/>
        </w:rPr>
        <w:t xml:space="preserve">The PIESS values of the clustered subset were recorded as &lt; 4 for RMSE, MAE, and </w:t>
      </w:r>
      <w:r>
        <w:rPr>
          <w:rFonts w:eastAsia="等线"/>
          <w:i/>
          <w:iCs/>
        </w:rPr>
        <w:t>R</w:t>
      </w:r>
      <w:r>
        <w:rPr>
          <w:rFonts w:eastAsia="等线"/>
        </w:rPr>
        <w:t xml:space="preserve">², although </w:t>
      </w:r>
      <w:r>
        <w:rPr>
          <w:rFonts w:eastAsia="等线"/>
          <w:i/>
          <w:iCs/>
        </w:rPr>
        <w:t>R</w:t>
      </w:r>
      <w:r>
        <w:rPr>
          <w:rFonts w:eastAsia="等线"/>
        </w:rPr>
        <w:t>² was closest to this lower benchmark. These results show that dispersed subsetting improved the effective information content of predictive performance assessment relative to the clustered reference configuration, but did not make the evaluation subset equivalent to its nominal sample size. Thus, the gap between nominal and independence-equivalent sample size was not limited to covariance-level diagnostics such as MIESS; it also appeared directly in the evaluation metrics used to assess predictive performance.</w:t>
      </w:r>
    </w:p>
    <w:p w14:paraId="4BFE2F27">
      <w:pPr>
        <w:adjustRightInd w:val="0"/>
        <w:snapToGrid w:val="0"/>
        <w:spacing w:line="360" w:lineRule="auto"/>
        <w:rPr>
          <w:rFonts w:eastAsia="等线"/>
        </w:rPr>
      </w:pPr>
      <w:r>
        <w:rPr>
          <w:rFonts w:eastAsia="等线"/>
        </w:rPr>
        <w:drawing>
          <wp:inline distT="0" distB="0" distL="0" distR="0">
            <wp:extent cx="5723890" cy="2137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23890" cy="2137410"/>
                    </a:xfrm>
                    <a:prstGeom prst="rect">
                      <a:avLst/>
                    </a:prstGeom>
                  </pic:spPr>
                </pic:pic>
              </a:graphicData>
            </a:graphic>
          </wp:inline>
        </w:drawing>
      </w:r>
    </w:p>
    <w:p w14:paraId="43643B44">
      <w:pPr>
        <w:adjustRightInd w:val="0"/>
        <w:snapToGrid w:val="0"/>
        <w:spacing w:line="360" w:lineRule="auto"/>
        <w:rPr>
          <w:rFonts w:eastAsia="等线"/>
        </w:rPr>
      </w:pPr>
      <w:r>
        <w:rPr>
          <w:rFonts w:eastAsia="等线"/>
        </w:rPr>
        <w:t xml:space="preserve">Figure 3. Prediction-metric-based independence-equivalent sample size (PIESS) for selected Cricetidae subsets. Panels show the relationship between independent benchmark sample size and the 95% empirical interval width of three predictive performance metrics: (a) RMSE, (b) MAE, and (c) </w:t>
      </w:r>
      <w:r>
        <w:rPr>
          <w:rFonts w:eastAsia="等线"/>
          <w:i/>
          <w:iCs/>
        </w:rPr>
        <w:t>R</w:t>
      </w:r>
      <w:r>
        <w:rPr>
          <w:rFonts w:eastAsia="等线"/>
        </w:rPr>
        <w:t xml:space="preserve">². The solid black curve shows the interval width expected for independent benchmark test sets of different sizes under </w:t>
      </w:r>
      <w:r>
        <w:rPr>
          <w:rFonts w:eastAsia="等线"/>
          <w:i/>
          <w:iCs/>
        </w:rPr>
        <w:t>λ</w:t>
      </w:r>
      <w:r>
        <w:rPr>
          <w:rFonts w:eastAsia="等线"/>
        </w:rPr>
        <w:t xml:space="preserve"> = 0. Horizontal reference lines indicate the interval widths observed for the dispersed and clustered subsets under the BM covariance structure with </w:t>
      </w:r>
      <w:r>
        <w:rPr>
          <w:rFonts w:eastAsia="等线"/>
          <w:i/>
          <w:iCs/>
        </w:rPr>
        <w:t>λ</w:t>
      </w:r>
      <w:r>
        <w:rPr>
          <w:rFonts w:eastAsia="等线"/>
        </w:rPr>
        <w:t xml:space="preserve"> = 1. For the dispersed subset, the observed interval width was mapped onto the independent benchmark curve and then projected to the horizontal axis to obtain the corresponding PIESS. Vertical reference lines indicate these projected PIESS values. For the clustered subset, the observed interval widths exceeded those of the smallest independent benchmark samples considered; therefore, clustered-subset PIESS values were recorded as &lt; 4 and no vertical reference lines are shown. The independent benchmark started at </w:t>
      </w:r>
      <w:r>
        <w:rPr>
          <w:rFonts w:eastAsia="等线"/>
          <w:i/>
          <w:iCs/>
        </w:rPr>
        <w:t>n</w:t>
      </w:r>
      <w:r>
        <w:rPr>
          <w:rFonts w:eastAsia="等线"/>
        </w:rPr>
        <w:t xml:space="preserve"> = 4, the smallest benchmark sample size used in the prediction-metric simulations.</w:t>
      </w:r>
      <w:bookmarkEnd w:id="3"/>
    </w:p>
    <w:p w14:paraId="41FC1AF0">
      <w:pPr>
        <w:adjustRightInd w:val="0"/>
        <w:snapToGrid w:val="0"/>
        <w:spacing w:line="360" w:lineRule="auto"/>
        <w:rPr>
          <w:sz w:val="22"/>
          <w:szCs w:val="22"/>
        </w:rPr>
      </w:pPr>
    </w:p>
    <w:p w14:paraId="0309AEB8">
      <w:pPr>
        <w:adjustRightInd w:val="0"/>
        <w:snapToGrid w:val="0"/>
        <w:spacing w:line="360" w:lineRule="auto"/>
        <w:jc w:val="center"/>
        <w:rPr>
          <w:b/>
          <w:bCs/>
          <w:i/>
          <w:iCs/>
        </w:rPr>
      </w:pPr>
      <w:r>
        <w:rPr>
          <w:b/>
          <w:bCs/>
          <w:i/>
          <w:iCs/>
        </w:rPr>
        <w:t>Sensitivity of Dependence and Effective Information Across Sampling Designs</w:t>
      </w:r>
    </w:p>
    <w:p w14:paraId="1396FA03">
      <w:pPr>
        <w:adjustRightInd w:val="0"/>
        <w:snapToGrid w:val="0"/>
        <w:spacing w:line="360" w:lineRule="auto"/>
      </w:pPr>
      <w:bookmarkStart w:id="6" w:name="_Hlk231567638"/>
      <w:r>
        <w:t xml:space="preserve">We next used the nested Cricetidae candidate pools to evaluate whether the contrast among phylogenetically dispersed, random, and clustered subsets persisted across different candidate-pool sizes and target subset sizes. In this first set of analyses, the covariance structure was fixed to the default BM model, allowing us to isolate the effect of sampling design before evaluating sensitivity to alternative covariance assumptions. </w:t>
      </w:r>
    </w:p>
    <w:bookmarkEnd w:id="6"/>
    <w:p w14:paraId="6304B766">
      <w:pPr>
        <w:adjustRightInd w:val="0"/>
        <w:snapToGrid w:val="0"/>
        <w:spacing w:line="360" w:lineRule="auto"/>
      </w:pPr>
      <w:r>
        <w:tab/>
      </w:r>
      <w:r>
        <w:t xml:space="preserve">Across all feasible </w:t>
      </w:r>
      <w:r>
        <w:rPr>
          <w:i/>
          <w:iCs/>
        </w:rPr>
        <w:t xml:space="preserve">N </w:t>
      </w:r>
      <w:r>
        <w:t xml:space="preserve">– </w:t>
      </w:r>
      <w:r>
        <w:rPr>
          <w:i/>
          <w:iCs/>
        </w:rPr>
        <w:t>s</w:t>
      </w:r>
      <w:r>
        <w:t xml:space="preserve"> combinations, the distance-based descriptors confirmed that the subset-selection procedure produced the intended phylogenetic contrasts. Phylogenetically dispersed subsets generally showed larger MinPD, MeanPD, and MeanNND than random subsets drawn from the same candidate pool, whereas clustered subsets showed smaller MaxPD, MeanPD, and MeanNND. These patterns were broadly consistent across nested candidate pools and target subset sizes, although the magnitude and statistical strength of the contrasts varied with both absolute subset size and sampling fraction. In particular, gains in MeanPD for dispersed subsets became more constrained when the selected subset represented a large fraction of the candidate pool. Detailed distance-based results are provided in Supplementary Results Section S2 and Supplementary Tables S2–S4.</w:t>
      </w:r>
    </w:p>
    <w:p w14:paraId="1D02C000">
      <w:pPr>
        <w:adjustRightInd w:val="0"/>
        <w:snapToGrid w:val="0"/>
        <w:spacing w:line="360" w:lineRule="auto"/>
      </w:pPr>
      <w:r>
        <w:tab/>
      </w:r>
      <w:r>
        <w:t xml:space="preserve">More importantly for the present study, these distance-based contrasts were broadly mirrored by differences in model-implied dependence and independence-equivalent information under the BM covariance structure. Dispersed subsets generally had lower MeanOffCor and MaxOffCor and higher MIESS than random subsets, whereas clustered subsets generally had higher MeanOffCor and lower MIESS (Table 1 and Supplementary Tables S5–S6). These patterns were strongest and most consistent for MIESS, which differed significantly from the random baseline in the expected direction across all analyzed </w:t>
      </w:r>
      <w:r>
        <w:rPr>
          <w:i/>
          <w:iCs/>
        </w:rPr>
        <w:t xml:space="preserve">N </w:t>
      </w:r>
      <w:r>
        <w:t xml:space="preserve">– </w:t>
      </w:r>
      <w:r>
        <w:rPr>
          <w:i/>
          <w:iCs/>
        </w:rPr>
        <w:t>s</w:t>
      </w:r>
      <w:r>
        <w:t xml:space="preserve"> combinations. MeanOffCor showed the same directional pattern, although some dispersed-subset comparisons were not significant when the selected subset represented a relatively large fraction of the candidate pool. MaxOffCor was less uniformly informative, particularly for clustered subsets, because random subsets could already contain at least one highly correlated species pair. Therefore, the BM-based diagnostics indicate that sampling design affected both within-subset dependence and independence-equivalent information, while also showing that different diagnostics varied in their sensitivity to the dispersed–random–clustered contrast.</w:t>
      </w:r>
    </w:p>
    <w:p w14:paraId="62F58629">
      <w:pPr>
        <w:adjustRightInd w:val="0"/>
        <w:snapToGrid w:val="0"/>
        <w:spacing w:line="360" w:lineRule="auto"/>
      </w:pPr>
      <w:r>
        <w:tab/>
      </w:r>
      <w:r>
        <w:t>The MIESS results are especially relevant to the interpretation of machine-learning evaluation subsets. Although phylogenetic dispersion increased independence-equivalent information relative to random and clustered subsets, the effective information content of dispersed subsets remained below their nominal species count across the nested Cricetidae analyses. Under the BM covariance structure, MIESS varied systematically with both candidate-pool size and target subset size (Table 1). For dispersed subsets, MIESS generally increased when the target subset size was held constant and the candidate pool became larger, reflecting the greater opportunity to select species from widely separated parts of the phylogeny. When candidate-pool size was held constant, MIESS also increased with target subset size, although the increase was much smaller than the corresponding increase in nominal species count. In clustered subsets, by contrast, MIESS generally decreased with increasing candidate-pool size when target subset size was held constant, because larger candidate pools provided more opportunity to select tightly clustered species. When candidate-pool size was held constant, clustered-subset MIESS increased with target subset size, but remained close to the lower bound expected for strongly dependent samples.</w:t>
      </w:r>
    </w:p>
    <w:p w14:paraId="6C5AA49C">
      <w:pPr>
        <w:adjustRightInd w:val="0"/>
        <w:snapToGrid w:val="0"/>
        <w:spacing w:line="360" w:lineRule="auto"/>
      </w:pPr>
      <w:r>
        <w:tab/>
      </w:r>
      <w:r>
        <w:t>Even under one of the most favorable settings for phylogenetic dispersion, where only 8 species were selected from a 512-species candidate pool, the dispersed subset had a MIESS of 6.20, corresponding to 77.5% of its nominal subset size. Thus, strong phylogenetic spacing improved independence-equivalent information, but it did not make the evaluation subset fully equivalent to independent test cases.</w:t>
      </w:r>
    </w:p>
    <w:p w14:paraId="71630EB6">
      <w:pPr>
        <w:adjustRightInd w:val="0"/>
        <w:snapToGrid w:val="0"/>
        <w:spacing w:line="360" w:lineRule="auto"/>
      </w:pPr>
    </w:p>
    <w:p w14:paraId="0238C844">
      <w:pPr>
        <w:adjustRightInd w:val="0"/>
        <w:snapToGrid w:val="0"/>
        <w:spacing w:line="360" w:lineRule="auto"/>
        <w:rPr>
          <w:sz w:val="22"/>
          <w:szCs w:val="22"/>
        </w:rPr>
      </w:pPr>
      <w:bookmarkStart w:id="7" w:name="_Toc231569699"/>
      <w:bookmarkStart w:id="8" w:name="_Hlk231567371"/>
      <w:r>
        <w:rPr>
          <w:sz w:val="22"/>
          <w:szCs w:val="22"/>
        </w:rPr>
        <w:t>Table 1. Mean-based independence-equivalent sample size (MIESS) in the nested Cricetidae sensitivity analysis.</w:t>
      </w:r>
      <w:bookmarkEnd w:id="7"/>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3"/>
        <w:gridCol w:w="636"/>
        <w:gridCol w:w="1359"/>
        <w:gridCol w:w="1359"/>
        <w:gridCol w:w="1359"/>
        <w:gridCol w:w="1359"/>
        <w:gridCol w:w="1355"/>
      </w:tblGrid>
      <w:tr w14:paraId="3C636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Borders>
              <w:top w:val="single" w:color="auto" w:sz="4" w:space="0"/>
              <w:bottom w:val="single" w:color="auto" w:sz="4" w:space="0"/>
            </w:tcBorders>
          </w:tcPr>
          <w:p w14:paraId="1F71D09B">
            <w:pPr>
              <w:adjustRightInd w:val="0"/>
              <w:snapToGrid w:val="0"/>
              <w:spacing w:line="360" w:lineRule="auto"/>
              <w:rPr>
                <w:sz w:val="22"/>
                <w:szCs w:val="22"/>
              </w:rPr>
            </w:pPr>
            <w:r>
              <w:rPr>
                <w:sz w:val="22"/>
                <w:szCs w:val="22"/>
              </w:rPr>
              <w:t>Subset type</w:t>
            </w:r>
          </w:p>
        </w:tc>
        <w:tc>
          <w:tcPr>
            <w:tcW w:w="345" w:type="pct"/>
            <w:tcBorders>
              <w:top w:val="single" w:color="auto" w:sz="4" w:space="0"/>
              <w:bottom w:val="single" w:color="auto" w:sz="4" w:space="0"/>
            </w:tcBorders>
          </w:tcPr>
          <w:p w14:paraId="60DCE374">
            <w:pPr>
              <w:adjustRightInd w:val="0"/>
              <w:snapToGrid w:val="0"/>
              <w:spacing w:line="360" w:lineRule="auto"/>
              <w:rPr>
                <w:i/>
                <w:iCs/>
                <w:sz w:val="22"/>
                <w:szCs w:val="22"/>
              </w:rPr>
            </w:pPr>
            <w:r>
              <w:rPr>
                <w:i/>
                <w:iCs/>
                <w:sz w:val="22"/>
                <w:szCs w:val="22"/>
              </w:rPr>
              <w:t>s</w:t>
            </w:r>
          </w:p>
        </w:tc>
        <w:tc>
          <w:tcPr>
            <w:tcW w:w="736" w:type="pct"/>
            <w:tcBorders>
              <w:top w:val="single" w:color="auto" w:sz="4" w:space="0"/>
              <w:bottom w:val="single" w:color="auto" w:sz="4" w:space="0"/>
            </w:tcBorders>
          </w:tcPr>
          <w:p w14:paraId="4115639E">
            <w:pPr>
              <w:adjustRightInd w:val="0"/>
              <w:snapToGrid w:val="0"/>
              <w:spacing w:line="360" w:lineRule="auto"/>
              <w:rPr>
                <w:sz w:val="22"/>
                <w:szCs w:val="22"/>
              </w:rPr>
            </w:pPr>
            <w:r>
              <w:rPr>
                <w:i/>
                <w:iCs/>
                <w:sz w:val="22"/>
                <w:szCs w:val="22"/>
              </w:rPr>
              <w:t>N</w:t>
            </w:r>
            <w:r>
              <w:rPr>
                <w:sz w:val="22"/>
                <w:szCs w:val="22"/>
              </w:rPr>
              <w:t xml:space="preserve"> = 32</w:t>
            </w:r>
          </w:p>
        </w:tc>
        <w:tc>
          <w:tcPr>
            <w:tcW w:w="736" w:type="pct"/>
            <w:tcBorders>
              <w:top w:val="single" w:color="auto" w:sz="4" w:space="0"/>
              <w:bottom w:val="single" w:color="auto" w:sz="4" w:space="0"/>
            </w:tcBorders>
          </w:tcPr>
          <w:p w14:paraId="0F202A43">
            <w:pPr>
              <w:adjustRightInd w:val="0"/>
              <w:snapToGrid w:val="0"/>
              <w:spacing w:line="360" w:lineRule="auto"/>
              <w:rPr>
                <w:sz w:val="22"/>
                <w:szCs w:val="22"/>
              </w:rPr>
            </w:pPr>
            <w:r>
              <w:rPr>
                <w:i/>
                <w:iCs/>
                <w:sz w:val="22"/>
                <w:szCs w:val="22"/>
              </w:rPr>
              <w:t>N</w:t>
            </w:r>
            <w:r>
              <w:rPr>
                <w:sz w:val="22"/>
                <w:szCs w:val="22"/>
              </w:rPr>
              <w:t xml:space="preserve"> = 64</w:t>
            </w:r>
          </w:p>
        </w:tc>
        <w:tc>
          <w:tcPr>
            <w:tcW w:w="736" w:type="pct"/>
            <w:tcBorders>
              <w:top w:val="single" w:color="auto" w:sz="4" w:space="0"/>
              <w:bottom w:val="single" w:color="auto" w:sz="4" w:space="0"/>
            </w:tcBorders>
          </w:tcPr>
          <w:p w14:paraId="51FF652A">
            <w:pPr>
              <w:adjustRightInd w:val="0"/>
              <w:snapToGrid w:val="0"/>
              <w:spacing w:line="360" w:lineRule="auto"/>
              <w:rPr>
                <w:sz w:val="22"/>
                <w:szCs w:val="22"/>
              </w:rPr>
            </w:pPr>
            <w:r>
              <w:rPr>
                <w:i/>
                <w:iCs/>
                <w:sz w:val="22"/>
                <w:szCs w:val="22"/>
              </w:rPr>
              <w:t>N</w:t>
            </w:r>
            <w:r>
              <w:rPr>
                <w:sz w:val="22"/>
                <w:szCs w:val="22"/>
              </w:rPr>
              <w:t xml:space="preserve"> = 128</w:t>
            </w:r>
          </w:p>
        </w:tc>
        <w:tc>
          <w:tcPr>
            <w:tcW w:w="736" w:type="pct"/>
            <w:tcBorders>
              <w:top w:val="single" w:color="auto" w:sz="4" w:space="0"/>
              <w:bottom w:val="single" w:color="auto" w:sz="4" w:space="0"/>
            </w:tcBorders>
          </w:tcPr>
          <w:p w14:paraId="5D86B4BB">
            <w:pPr>
              <w:adjustRightInd w:val="0"/>
              <w:snapToGrid w:val="0"/>
              <w:spacing w:line="360" w:lineRule="auto"/>
              <w:rPr>
                <w:sz w:val="22"/>
                <w:szCs w:val="22"/>
              </w:rPr>
            </w:pPr>
            <w:r>
              <w:rPr>
                <w:i/>
                <w:iCs/>
                <w:sz w:val="22"/>
                <w:szCs w:val="22"/>
              </w:rPr>
              <w:t>N</w:t>
            </w:r>
            <w:r>
              <w:rPr>
                <w:sz w:val="22"/>
                <w:szCs w:val="22"/>
              </w:rPr>
              <w:t xml:space="preserve"> = 256</w:t>
            </w:r>
          </w:p>
        </w:tc>
        <w:tc>
          <w:tcPr>
            <w:tcW w:w="736" w:type="pct"/>
            <w:tcBorders>
              <w:top w:val="single" w:color="auto" w:sz="4" w:space="0"/>
              <w:bottom w:val="single" w:color="auto" w:sz="4" w:space="0"/>
            </w:tcBorders>
          </w:tcPr>
          <w:p w14:paraId="7226DFDD">
            <w:pPr>
              <w:adjustRightInd w:val="0"/>
              <w:snapToGrid w:val="0"/>
              <w:spacing w:line="360" w:lineRule="auto"/>
              <w:rPr>
                <w:sz w:val="22"/>
                <w:szCs w:val="22"/>
              </w:rPr>
            </w:pPr>
            <w:r>
              <w:rPr>
                <w:i/>
                <w:iCs/>
                <w:sz w:val="22"/>
                <w:szCs w:val="22"/>
              </w:rPr>
              <w:t>N</w:t>
            </w:r>
            <w:r>
              <w:rPr>
                <w:sz w:val="22"/>
                <w:szCs w:val="22"/>
              </w:rPr>
              <w:t xml:space="preserve"> = 512</w:t>
            </w:r>
          </w:p>
        </w:tc>
      </w:tr>
      <w:tr w14:paraId="4F25C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Borders>
              <w:top w:val="single" w:color="auto" w:sz="4" w:space="0"/>
            </w:tcBorders>
          </w:tcPr>
          <w:p w14:paraId="319EFA81">
            <w:pPr>
              <w:adjustRightInd w:val="0"/>
              <w:snapToGrid w:val="0"/>
              <w:spacing w:line="360" w:lineRule="auto"/>
              <w:rPr>
                <w:sz w:val="22"/>
                <w:szCs w:val="22"/>
              </w:rPr>
            </w:pPr>
            <w:r>
              <w:rPr>
                <w:sz w:val="22"/>
                <w:szCs w:val="22"/>
              </w:rPr>
              <w:t>Dispersed</w:t>
            </w:r>
          </w:p>
        </w:tc>
        <w:tc>
          <w:tcPr>
            <w:tcW w:w="345" w:type="pct"/>
            <w:tcBorders>
              <w:top w:val="single" w:color="auto" w:sz="4" w:space="0"/>
            </w:tcBorders>
          </w:tcPr>
          <w:p w14:paraId="0927829D">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bottom"/>
          </w:tcPr>
          <w:p w14:paraId="1DB4853E">
            <w:pPr>
              <w:adjustRightInd w:val="0"/>
              <w:snapToGrid w:val="0"/>
              <w:spacing w:line="360" w:lineRule="auto"/>
              <w:rPr>
                <w:sz w:val="22"/>
                <w:szCs w:val="22"/>
              </w:rPr>
            </w:pPr>
            <w:r>
              <w:rPr>
                <w:sz w:val="22"/>
                <w:szCs w:val="22"/>
              </w:rPr>
              <w:t>5.34***</w:t>
            </w:r>
          </w:p>
        </w:tc>
        <w:tc>
          <w:tcPr>
            <w:tcW w:w="736" w:type="pct"/>
            <w:tcBorders>
              <w:top w:val="nil"/>
              <w:left w:val="nil"/>
              <w:bottom w:val="nil"/>
              <w:right w:val="nil"/>
            </w:tcBorders>
            <w:shd w:val="clear" w:color="auto" w:fill="auto"/>
            <w:vAlign w:val="bottom"/>
          </w:tcPr>
          <w:p w14:paraId="439E0BF2">
            <w:pPr>
              <w:adjustRightInd w:val="0"/>
              <w:snapToGrid w:val="0"/>
              <w:spacing w:line="360" w:lineRule="auto"/>
              <w:rPr>
                <w:sz w:val="22"/>
                <w:szCs w:val="22"/>
              </w:rPr>
            </w:pPr>
            <w:r>
              <w:rPr>
                <w:sz w:val="22"/>
                <w:szCs w:val="22"/>
              </w:rPr>
              <w:t>5.60***</w:t>
            </w:r>
          </w:p>
        </w:tc>
        <w:tc>
          <w:tcPr>
            <w:tcW w:w="736" w:type="pct"/>
            <w:tcBorders>
              <w:top w:val="nil"/>
              <w:left w:val="nil"/>
              <w:bottom w:val="nil"/>
              <w:right w:val="nil"/>
            </w:tcBorders>
            <w:shd w:val="clear" w:color="auto" w:fill="auto"/>
            <w:vAlign w:val="bottom"/>
          </w:tcPr>
          <w:p w14:paraId="666ABD73">
            <w:pPr>
              <w:adjustRightInd w:val="0"/>
              <w:snapToGrid w:val="0"/>
              <w:spacing w:line="360" w:lineRule="auto"/>
              <w:rPr>
                <w:sz w:val="22"/>
                <w:szCs w:val="22"/>
              </w:rPr>
            </w:pPr>
            <w:r>
              <w:rPr>
                <w:sz w:val="22"/>
                <w:szCs w:val="22"/>
              </w:rPr>
              <w:t>6.12***</w:t>
            </w:r>
          </w:p>
        </w:tc>
        <w:tc>
          <w:tcPr>
            <w:tcW w:w="736" w:type="pct"/>
            <w:tcBorders>
              <w:top w:val="nil"/>
              <w:left w:val="nil"/>
              <w:bottom w:val="nil"/>
              <w:right w:val="nil"/>
            </w:tcBorders>
            <w:shd w:val="clear" w:color="auto" w:fill="auto"/>
            <w:vAlign w:val="bottom"/>
          </w:tcPr>
          <w:p w14:paraId="34AA23BA">
            <w:pPr>
              <w:adjustRightInd w:val="0"/>
              <w:snapToGrid w:val="0"/>
              <w:spacing w:line="360" w:lineRule="auto"/>
              <w:rPr>
                <w:sz w:val="22"/>
                <w:szCs w:val="22"/>
              </w:rPr>
            </w:pPr>
            <w:r>
              <w:rPr>
                <w:sz w:val="22"/>
                <w:szCs w:val="22"/>
              </w:rPr>
              <w:t>6.12***</w:t>
            </w:r>
          </w:p>
        </w:tc>
        <w:tc>
          <w:tcPr>
            <w:tcW w:w="736" w:type="pct"/>
            <w:tcBorders>
              <w:top w:val="nil"/>
              <w:left w:val="nil"/>
              <w:bottom w:val="nil"/>
              <w:right w:val="nil"/>
            </w:tcBorders>
            <w:shd w:val="clear" w:color="auto" w:fill="auto"/>
            <w:vAlign w:val="bottom"/>
          </w:tcPr>
          <w:p w14:paraId="406E5050">
            <w:pPr>
              <w:adjustRightInd w:val="0"/>
              <w:snapToGrid w:val="0"/>
              <w:spacing w:line="360" w:lineRule="auto"/>
              <w:rPr>
                <w:sz w:val="22"/>
                <w:szCs w:val="22"/>
              </w:rPr>
            </w:pPr>
            <w:r>
              <w:rPr>
                <w:sz w:val="22"/>
                <w:szCs w:val="22"/>
              </w:rPr>
              <w:t>6.20***</w:t>
            </w:r>
          </w:p>
        </w:tc>
      </w:tr>
      <w:tr w14:paraId="4BB55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39B12711">
            <w:pPr>
              <w:adjustRightInd w:val="0"/>
              <w:snapToGrid w:val="0"/>
              <w:spacing w:line="360" w:lineRule="auto"/>
              <w:rPr>
                <w:sz w:val="22"/>
                <w:szCs w:val="22"/>
              </w:rPr>
            </w:pPr>
            <w:r>
              <w:rPr>
                <w:sz w:val="22"/>
                <w:szCs w:val="22"/>
              </w:rPr>
              <w:t>Dispersed</w:t>
            </w:r>
          </w:p>
        </w:tc>
        <w:tc>
          <w:tcPr>
            <w:tcW w:w="345" w:type="pct"/>
          </w:tcPr>
          <w:p w14:paraId="022F1BEF">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bottom"/>
          </w:tcPr>
          <w:p w14:paraId="79CEB04E">
            <w:pPr>
              <w:adjustRightInd w:val="0"/>
              <w:snapToGrid w:val="0"/>
              <w:spacing w:line="360" w:lineRule="auto"/>
              <w:rPr>
                <w:sz w:val="22"/>
                <w:szCs w:val="22"/>
              </w:rPr>
            </w:pPr>
            <w:r>
              <w:rPr>
                <w:sz w:val="22"/>
                <w:szCs w:val="22"/>
              </w:rPr>
              <w:t>5.98**</w:t>
            </w:r>
          </w:p>
        </w:tc>
        <w:tc>
          <w:tcPr>
            <w:tcW w:w="736" w:type="pct"/>
            <w:tcBorders>
              <w:top w:val="nil"/>
              <w:left w:val="nil"/>
              <w:bottom w:val="nil"/>
              <w:right w:val="nil"/>
            </w:tcBorders>
            <w:shd w:val="clear" w:color="auto" w:fill="auto"/>
            <w:vAlign w:val="bottom"/>
          </w:tcPr>
          <w:p w14:paraId="0E1A030E">
            <w:pPr>
              <w:adjustRightInd w:val="0"/>
              <w:snapToGrid w:val="0"/>
              <w:spacing w:line="360" w:lineRule="auto"/>
              <w:rPr>
                <w:sz w:val="22"/>
                <w:szCs w:val="22"/>
              </w:rPr>
            </w:pPr>
            <w:r>
              <w:rPr>
                <w:sz w:val="22"/>
                <w:szCs w:val="22"/>
              </w:rPr>
              <w:t>6.50***</w:t>
            </w:r>
          </w:p>
        </w:tc>
        <w:tc>
          <w:tcPr>
            <w:tcW w:w="736" w:type="pct"/>
            <w:tcBorders>
              <w:top w:val="nil"/>
              <w:left w:val="nil"/>
              <w:bottom w:val="nil"/>
              <w:right w:val="nil"/>
            </w:tcBorders>
            <w:shd w:val="clear" w:color="auto" w:fill="auto"/>
            <w:vAlign w:val="bottom"/>
          </w:tcPr>
          <w:p w14:paraId="3C82350F">
            <w:pPr>
              <w:adjustRightInd w:val="0"/>
              <w:snapToGrid w:val="0"/>
              <w:spacing w:line="360" w:lineRule="auto"/>
              <w:rPr>
                <w:sz w:val="22"/>
                <w:szCs w:val="22"/>
              </w:rPr>
            </w:pPr>
            <w:r>
              <w:rPr>
                <w:sz w:val="22"/>
                <w:szCs w:val="22"/>
              </w:rPr>
              <w:t>7.13***</w:t>
            </w:r>
          </w:p>
        </w:tc>
        <w:tc>
          <w:tcPr>
            <w:tcW w:w="736" w:type="pct"/>
            <w:tcBorders>
              <w:top w:val="nil"/>
              <w:left w:val="nil"/>
              <w:bottom w:val="nil"/>
              <w:right w:val="nil"/>
            </w:tcBorders>
            <w:shd w:val="clear" w:color="auto" w:fill="auto"/>
            <w:vAlign w:val="bottom"/>
          </w:tcPr>
          <w:p w14:paraId="6D9EC4CD">
            <w:pPr>
              <w:adjustRightInd w:val="0"/>
              <w:snapToGrid w:val="0"/>
              <w:spacing w:line="360" w:lineRule="auto"/>
              <w:rPr>
                <w:sz w:val="22"/>
                <w:szCs w:val="22"/>
              </w:rPr>
            </w:pPr>
            <w:r>
              <w:rPr>
                <w:sz w:val="22"/>
                <w:szCs w:val="22"/>
              </w:rPr>
              <w:t>7.19***</w:t>
            </w:r>
          </w:p>
        </w:tc>
        <w:tc>
          <w:tcPr>
            <w:tcW w:w="736" w:type="pct"/>
            <w:tcBorders>
              <w:top w:val="nil"/>
              <w:left w:val="nil"/>
              <w:bottom w:val="nil"/>
              <w:right w:val="nil"/>
            </w:tcBorders>
            <w:shd w:val="clear" w:color="auto" w:fill="auto"/>
            <w:vAlign w:val="bottom"/>
          </w:tcPr>
          <w:p w14:paraId="55D7DABE">
            <w:pPr>
              <w:adjustRightInd w:val="0"/>
              <w:snapToGrid w:val="0"/>
              <w:spacing w:line="360" w:lineRule="auto"/>
              <w:rPr>
                <w:sz w:val="22"/>
                <w:szCs w:val="22"/>
              </w:rPr>
            </w:pPr>
            <w:r>
              <w:rPr>
                <w:sz w:val="22"/>
                <w:szCs w:val="22"/>
              </w:rPr>
              <w:t>7.78***</w:t>
            </w:r>
          </w:p>
        </w:tc>
      </w:tr>
      <w:tr w14:paraId="1DE98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67A462CC">
            <w:pPr>
              <w:adjustRightInd w:val="0"/>
              <w:snapToGrid w:val="0"/>
              <w:spacing w:line="360" w:lineRule="auto"/>
              <w:rPr>
                <w:sz w:val="22"/>
                <w:szCs w:val="22"/>
              </w:rPr>
            </w:pPr>
            <w:r>
              <w:rPr>
                <w:sz w:val="22"/>
                <w:szCs w:val="22"/>
              </w:rPr>
              <w:t>Dispersed</w:t>
            </w:r>
          </w:p>
        </w:tc>
        <w:tc>
          <w:tcPr>
            <w:tcW w:w="345" w:type="pct"/>
          </w:tcPr>
          <w:p w14:paraId="5BA6CD1D">
            <w:pPr>
              <w:adjustRightInd w:val="0"/>
              <w:snapToGrid w:val="0"/>
              <w:spacing w:line="360" w:lineRule="auto"/>
              <w:rPr>
                <w:sz w:val="22"/>
                <w:szCs w:val="22"/>
              </w:rPr>
            </w:pPr>
            <w:r>
              <w:rPr>
                <w:sz w:val="22"/>
                <w:szCs w:val="22"/>
              </w:rPr>
              <w:t>32</w:t>
            </w:r>
          </w:p>
        </w:tc>
        <w:tc>
          <w:tcPr>
            <w:tcW w:w="736" w:type="pct"/>
            <w:tcBorders>
              <w:top w:val="nil"/>
              <w:left w:val="nil"/>
              <w:bottom w:val="nil"/>
              <w:right w:val="nil"/>
            </w:tcBorders>
            <w:shd w:val="clear" w:color="auto" w:fill="auto"/>
          </w:tcPr>
          <w:p w14:paraId="56A2A734">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14:paraId="08A0C6B4">
            <w:pPr>
              <w:adjustRightInd w:val="0"/>
              <w:snapToGrid w:val="0"/>
              <w:spacing w:line="360" w:lineRule="auto"/>
              <w:rPr>
                <w:sz w:val="22"/>
                <w:szCs w:val="22"/>
              </w:rPr>
            </w:pPr>
            <w:r>
              <w:rPr>
                <w:sz w:val="22"/>
                <w:szCs w:val="22"/>
              </w:rPr>
              <w:t>6.82***</w:t>
            </w:r>
          </w:p>
        </w:tc>
        <w:tc>
          <w:tcPr>
            <w:tcW w:w="736" w:type="pct"/>
            <w:tcBorders>
              <w:top w:val="nil"/>
              <w:left w:val="nil"/>
              <w:bottom w:val="nil"/>
              <w:right w:val="nil"/>
            </w:tcBorders>
            <w:shd w:val="clear" w:color="auto" w:fill="auto"/>
            <w:vAlign w:val="bottom"/>
          </w:tcPr>
          <w:p w14:paraId="624C6404">
            <w:pPr>
              <w:adjustRightInd w:val="0"/>
              <w:snapToGrid w:val="0"/>
              <w:spacing w:line="360" w:lineRule="auto"/>
              <w:rPr>
                <w:sz w:val="22"/>
                <w:szCs w:val="22"/>
              </w:rPr>
            </w:pPr>
            <w:r>
              <w:rPr>
                <w:sz w:val="22"/>
                <w:szCs w:val="22"/>
              </w:rPr>
              <w:t>7.70***</w:t>
            </w:r>
          </w:p>
        </w:tc>
        <w:tc>
          <w:tcPr>
            <w:tcW w:w="736" w:type="pct"/>
            <w:tcBorders>
              <w:top w:val="nil"/>
              <w:left w:val="nil"/>
              <w:bottom w:val="nil"/>
              <w:right w:val="nil"/>
            </w:tcBorders>
            <w:shd w:val="clear" w:color="auto" w:fill="auto"/>
            <w:vAlign w:val="bottom"/>
          </w:tcPr>
          <w:p w14:paraId="077B9A6A">
            <w:pPr>
              <w:adjustRightInd w:val="0"/>
              <w:snapToGrid w:val="0"/>
              <w:spacing w:line="360" w:lineRule="auto"/>
              <w:rPr>
                <w:sz w:val="22"/>
                <w:szCs w:val="22"/>
              </w:rPr>
            </w:pPr>
            <w:r>
              <w:rPr>
                <w:sz w:val="22"/>
                <w:szCs w:val="22"/>
              </w:rPr>
              <w:t>7.80***</w:t>
            </w:r>
          </w:p>
        </w:tc>
        <w:tc>
          <w:tcPr>
            <w:tcW w:w="736" w:type="pct"/>
            <w:tcBorders>
              <w:top w:val="nil"/>
              <w:left w:val="nil"/>
              <w:bottom w:val="nil"/>
              <w:right w:val="nil"/>
            </w:tcBorders>
            <w:shd w:val="clear" w:color="auto" w:fill="auto"/>
            <w:vAlign w:val="bottom"/>
          </w:tcPr>
          <w:p w14:paraId="4F807BF1">
            <w:pPr>
              <w:adjustRightInd w:val="0"/>
              <w:snapToGrid w:val="0"/>
              <w:spacing w:line="360" w:lineRule="auto"/>
              <w:rPr>
                <w:sz w:val="22"/>
                <w:szCs w:val="22"/>
              </w:rPr>
            </w:pPr>
            <w:r>
              <w:rPr>
                <w:sz w:val="22"/>
                <w:szCs w:val="22"/>
              </w:rPr>
              <w:t>8.49***</w:t>
            </w:r>
          </w:p>
        </w:tc>
      </w:tr>
      <w:tr w14:paraId="288FC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6BF7DBB9">
            <w:pPr>
              <w:adjustRightInd w:val="0"/>
              <w:snapToGrid w:val="0"/>
              <w:spacing w:line="360" w:lineRule="auto"/>
              <w:rPr>
                <w:sz w:val="22"/>
                <w:szCs w:val="22"/>
              </w:rPr>
            </w:pPr>
            <w:r>
              <w:rPr>
                <w:sz w:val="22"/>
                <w:szCs w:val="22"/>
              </w:rPr>
              <w:t>Dispersed</w:t>
            </w:r>
          </w:p>
        </w:tc>
        <w:tc>
          <w:tcPr>
            <w:tcW w:w="345" w:type="pct"/>
          </w:tcPr>
          <w:p w14:paraId="33D1C060">
            <w:pPr>
              <w:adjustRightInd w:val="0"/>
              <w:snapToGrid w:val="0"/>
              <w:spacing w:line="360" w:lineRule="auto"/>
              <w:rPr>
                <w:sz w:val="22"/>
                <w:szCs w:val="22"/>
              </w:rPr>
            </w:pPr>
            <w:r>
              <w:rPr>
                <w:sz w:val="22"/>
                <w:szCs w:val="22"/>
              </w:rPr>
              <w:t>64</w:t>
            </w:r>
          </w:p>
        </w:tc>
        <w:tc>
          <w:tcPr>
            <w:tcW w:w="736" w:type="pct"/>
            <w:tcBorders>
              <w:top w:val="nil"/>
              <w:left w:val="nil"/>
              <w:bottom w:val="nil"/>
              <w:right w:val="nil"/>
            </w:tcBorders>
            <w:shd w:val="clear" w:color="auto" w:fill="auto"/>
          </w:tcPr>
          <w:p w14:paraId="1D9328F3">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14:paraId="0DB73705">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14:paraId="16A15E17">
            <w:pPr>
              <w:adjustRightInd w:val="0"/>
              <w:snapToGrid w:val="0"/>
              <w:spacing w:line="360" w:lineRule="auto"/>
              <w:rPr>
                <w:sz w:val="22"/>
                <w:szCs w:val="22"/>
              </w:rPr>
            </w:pPr>
            <w:r>
              <w:rPr>
                <w:sz w:val="22"/>
                <w:szCs w:val="22"/>
              </w:rPr>
              <w:t>7.85***</w:t>
            </w:r>
          </w:p>
        </w:tc>
        <w:tc>
          <w:tcPr>
            <w:tcW w:w="736" w:type="pct"/>
            <w:tcBorders>
              <w:top w:val="nil"/>
              <w:left w:val="nil"/>
              <w:bottom w:val="nil"/>
              <w:right w:val="nil"/>
            </w:tcBorders>
            <w:shd w:val="clear" w:color="auto" w:fill="auto"/>
            <w:vAlign w:val="bottom"/>
          </w:tcPr>
          <w:p w14:paraId="04AB2572">
            <w:pPr>
              <w:adjustRightInd w:val="0"/>
              <w:snapToGrid w:val="0"/>
              <w:spacing w:line="360" w:lineRule="auto"/>
              <w:rPr>
                <w:sz w:val="22"/>
                <w:szCs w:val="22"/>
              </w:rPr>
            </w:pPr>
            <w:r>
              <w:rPr>
                <w:sz w:val="22"/>
                <w:szCs w:val="22"/>
              </w:rPr>
              <w:t>8.03***</w:t>
            </w:r>
          </w:p>
        </w:tc>
        <w:tc>
          <w:tcPr>
            <w:tcW w:w="736" w:type="pct"/>
            <w:tcBorders>
              <w:top w:val="nil"/>
              <w:left w:val="nil"/>
              <w:bottom w:val="nil"/>
              <w:right w:val="nil"/>
            </w:tcBorders>
            <w:shd w:val="clear" w:color="auto" w:fill="auto"/>
            <w:vAlign w:val="bottom"/>
          </w:tcPr>
          <w:p w14:paraId="0F5920EE">
            <w:pPr>
              <w:adjustRightInd w:val="0"/>
              <w:snapToGrid w:val="0"/>
              <w:spacing w:line="360" w:lineRule="auto"/>
              <w:rPr>
                <w:sz w:val="22"/>
                <w:szCs w:val="22"/>
              </w:rPr>
            </w:pPr>
            <w:r>
              <w:rPr>
                <w:sz w:val="22"/>
                <w:szCs w:val="22"/>
              </w:rPr>
              <w:t>8.91***</w:t>
            </w:r>
          </w:p>
        </w:tc>
      </w:tr>
      <w:tr w14:paraId="55A55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35FEF9D1">
            <w:pPr>
              <w:adjustRightInd w:val="0"/>
              <w:snapToGrid w:val="0"/>
              <w:spacing w:line="360" w:lineRule="auto"/>
              <w:rPr>
                <w:sz w:val="22"/>
                <w:szCs w:val="22"/>
              </w:rPr>
            </w:pPr>
            <w:r>
              <w:rPr>
                <w:sz w:val="22"/>
                <w:szCs w:val="22"/>
              </w:rPr>
              <w:t>Clustered</w:t>
            </w:r>
          </w:p>
        </w:tc>
        <w:tc>
          <w:tcPr>
            <w:tcW w:w="345" w:type="pct"/>
          </w:tcPr>
          <w:p w14:paraId="3225825B">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center"/>
          </w:tcPr>
          <w:p w14:paraId="50890392">
            <w:pPr>
              <w:adjustRightInd w:val="0"/>
              <w:snapToGrid w:val="0"/>
              <w:spacing w:line="360" w:lineRule="auto"/>
              <w:rPr>
                <w:sz w:val="22"/>
                <w:szCs w:val="22"/>
              </w:rPr>
            </w:pPr>
            <w:r>
              <w:rPr>
                <w:sz w:val="22"/>
                <w:szCs w:val="22"/>
              </w:rPr>
              <w:t>1.41***</w:t>
            </w:r>
          </w:p>
        </w:tc>
        <w:tc>
          <w:tcPr>
            <w:tcW w:w="736" w:type="pct"/>
            <w:tcBorders>
              <w:top w:val="nil"/>
              <w:left w:val="nil"/>
              <w:bottom w:val="nil"/>
              <w:right w:val="nil"/>
            </w:tcBorders>
            <w:shd w:val="clear" w:color="auto" w:fill="auto"/>
            <w:vAlign w:val="center"/>
          </w:tcPr>
          <w:p w14:paraId="3913BA4B">
            <w:pPr>
              <w:adjustRightInd w:val="0"/>
              <w:snapToGrid w:val="0"/>
              <w:spacing w:line="360" w:lineRule="auto"/>
              <w:rPr>
                <w:sz w:val="22"/>
                <w:szCs w:val="22"/>
              </w:rPr>
            </w:pPr>
            <w:r>
              <w:rPr>
                <w:sz w:val="22"/>
                <w:szCs w:val="22"/>
              </w:rPr>
              <w:t>1.19***</w:t>
            </w:r>
          </w:p>
        </w:tc>
        <w:tc>
          <w:tcPr>
            <w:tcW w:w="736" w:type="pct"/>
            <w:tcBorders>
              <w:top w:val="nil"/>
              <w:left w:val="nil"/>
              <w:bottom w:val="nil"/>
              <w:right w:val="nil"/>
            </w:tcBorders>
            <w:shd w:val="clear" w:color="auto" w:fill="auto"/>
            <w:vAlign w:val="center"/>
          </w:tcPr>
          <w:p w14:paraId="51751E71">
            <w:pPr>
              <w:adjustRightInd w:val="0"/>
              <w:snapToGrid w:val="0"/>
              <w:spacing w:line="360" w:lineRule="auto"/>
              <w:rPr>
                <w:sz w:val="22"/>
                <w:szCs w:val="22"/>
              </w:rPr>
            </w:pPr>
            <w:r>
              <w:rPr>
                <w:sz w:val="22"/>
                <w:szCs w:val="22"/>
              </w:rPr>
              <w:t>1.10***</w:t>
            </w:r>
          </w:p>
        </w:tc>
        <w:tc>
          <w:tcPr>
            <w:tcW w:w="736" w:type="pct"/>
            <w:tcBorders>
              <w:top w:val="nil"/>
              <w:left w:val="nil"/>
              <w:bottom w:val="nil"/>
              <w:right w:val="nil"/>
            </w:tcBorders>
            <w:shd w:val="clear" w:color="auto" w:fill="auto"/>
            <w:vAlign w:val="center"/>
          </w:tcPr>
          <w:p w14:paraId="35ACA464">
            <w:pPr>
              <w:adjustRightInd w:val="0"/>
              <w:snapToGrid w:val="0"/>
              <w:spacing w:line="360" w:lineRule="auto"/>
              <w:rPr>
                <w:sz w:val="22"/>
                <w:szCs w:val="22"/>
              </w:rPr>
            </w:pPr>
            <w:r>
              <w:rPr>
                <w:sz w:val="22"/>
                <w:szCs w:val="22"/>
              </w:rPr>
              <w:t>1.06***</w:t>
            </w:r>
          </w:p>
        </w:tc>
        <w:tc>
          <w:tcPr>
            <w:tcW w:w="736" w:type="pct"/>
            <w:tcBorders>
              <w:top w:val="nil"/>
              <w:left w:val="nil"/>
              <w:bottom w:val="nil"/>
              <w:right w:val="nil"/>
            </w:tcBorders>
            <w:shd w:val="clear" w:color="auto" w:fill="auto"/>
            <w:vAlign w:val="center"/>
          </w:tcPr>
          <w:p w14:paraId="4074533F">
            <w:pPr>
              <w:adjustRightInd w:val="0"/>
              <w:snapToGrid w:val="0"/>
              <w:spacing w:line="360" w:lineRule="auto"/>
              <w:rPr>
                <w:sz w:val="22"/>
                <w:szCs w:val="22"/>
              </w:rPr>
            </w:pPr>
            <w:r>
              <w:rPr>
                <w:sz w:val="22"/>
                <w:szCs w:val="22"/>
              </w:rPr>
              <w:t>1.05***</w:t>
            </w:r>
          </w:p>
        </w:tc>
      </w:tr>
      <w:tr w14:paraId="2EFDF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66DE4A38">
            <w:pPr>
              <w:adjustRightInd w:val="0"/>
              <w:snapToGrid w:val="0"/>
              <w:spacing w:line="360" w:lineRule="auto"/>
              <w:rPr>
                <w:sz w:val="22"/>
                <w:szCs w:val="22"/>
              </w:rPr>
            </w:pPr>
            <w:r>
              <w:rPr>
                <w:sz w:val="22"/>
                <w:szCs w:val="22"/>
              </w:rPr>
              <w:t>Clustered</w:t>
            </w:r>
          </w:p>
        </w:tc>
        <w:tc>
          <w:tcPr>
            <w:tcW w:w="345" w:type="pct"/>
          </w:tcPr>
          <w:p w14:paraId="0E582119">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center"/>
          </w:tcPr>
          <w:p w14:paraId="0D46D5E8">
            <w:pPr>
              <w:adjustRightInd w:val="0"/>
              <w:snapToGrid w:val="0"/>
              <w:spacing w:line="360" w:lineRule="auto"/>
              <w:rPr>
                <w:sz w:val="22"/>
                <w:szCs w:val="22"/>
              </w:rPr>
            </w:pPr>
            <w:r>
              <w:rPr>
                <w:sz w:val="22"/>
                <w:szCs w:val="22"/>
              </w:rPr>
              <w:t>2.06***</w:t>
            </w:r>
          </w:p>
        </w:tc>
        <w:tc>
          <w:tcPr>
            <w:tcW w:w="736" w:type="pct"/>
            <w:tcBorders>
              <w:top w:val="nil"/>
              <w:left w:val="nil"/>
              <w:bottom w:val="nil"/>
              <w:right w:val="nil"/>
            </w:tcBorders>
            <w:shd w:val="clear" w:color="auto" w:fill="auto"/>
            <w:vAlign w:val="center"/>
          </w:tcPr>
          <w:p w14:paraId="7ADAA183">
            <w:pPr>
              <w:adjustRightInd w:val="0"/>
              <w:snapToGrid w:val="0"/>
              <w:spacing w:line="360" w:lineRule="auto"/>
              <w:rPr>
                <w:sz w:val="22"/>
                <w:szCs w:val="22"/>
              </w:rPr>
            </w:pPr>
            <w:r>
              <w:rPr>
                <w:sz w:val="22"/>
                <w:szCs w:val="22"/>
              </w:rPr>
              <w:t>1.47***</w:t>
            </w:r>
          </w:p>
        </w:tc>
        <w:tc>
          <w:tcPr>
            <w:tcW w:w="736" w:type="pct"/>
            <w:tcBorders>
              <w:top w:val="nil"/>
              <w:left w:val="nil"/>
              <w:bottom w:val="nil"/>
              <w:right w:val="nil"/>
            </w:tcBorders>
            <w:shd w:val="clear" w:color="auto" w:fill="auto"/>
            <w:vAlign w:val="center"/>
          </w:tcPr>
          <w:p w14:paraId="2452DAFC">
            <w:pPr>
              <w:adjustRightInd w:val="0"/>
              <w:snapToGrid w:val="0"/>
              <w:spacing w:line="360" w:lineRule="auto"/>
              <w:rPr>
                <w:sz w:val="22"/>
                <w:szCs w:val="22"/>
              </w:rPr>
            </w:pPr>
            <w:r>
              <w:rPr>
                <w:sz w:val="22"/>
                <w:szCs w:val="22"/>
              </w:rPr>
              <w:t>1.27***</w:t>
            </w:r>
          </w:p>
        </w:tc>
        <w:tc>
          <w:tcPr>
            <w:tcW w:w="736" w:type="pct"/>
            <w:tcBorders>
              <w:top w:val="nil"/>
              <w:left w:val="nil"/>
              <w:bottom w:val="nil"/>
              <w:right w:val="nil"/>
            </w:tcBorders>
            <w:shd w:val="clear" w:color="auto" w:fill="auto"/>
            <w:vAlign w:val="center"/>
          </w:tcPr>
          <w:p w14:paraId="3BCB675C">
            <w:pPr>
              <w:adjustRightInd w:val="0"/>
              <w:snapToGrid w:val="0"/>
              <w:spacing w:line="360" w:lineRule="auto"/>
              <w:rPr>
                <w:sz w:val="22"/>
                <w:szCs w:val="22"/>
              </w:rPr>
            </w:pPr>
            <w:r>
              <w:rPr>
                <w:sz w:val="22"/>
                <w:szCs w:val="22"/>
              </w:rPr>
              <w:t>1.13***</w:t>
            </w:r>
          </w:p>
        </w:tc>
        <w:tc>
          <w:tcPr>
            <w:tcW w:w="736" w:type="pct"/>
            <w:tcBorders>
              <w:top w:val="nil"/>
              <w:left w:val="nil"/>
              <w:bottom w:val="nil"/>
              <w:right w:val="nil"/>
            </w:tcBorders>
            <w:shd w:val="clear" w:color="auto" w:fill="auto"/>
            <w:vAlign w:val="center"/>
          </w:tcPr>
          <w:p w14:paraId="3DE4582F">
            <w:pPr>
              <w:adjustRightInd w:val="0"/>
              <w:snapToGrid w:val="0"/>
              <w:spacing w:line="360" w:lineRule="auto"/>
              <w:rPr>
                <w:sz w:val="22"/>
                <w:szCs w:val="22"/>
              </w:rPr>
            </w:pPr>
            <w:r>
              <w:rPr>
                <w:sz w:val="22"/>
                <w:szCs w:val="22"/>
              </w:rPr>
              <w:t>1.09***</w:t>
            </w:r>
          </w:p>
        </w:tc>
      </w:tr>
      <w:tr w14:paraId="5BEBA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Pr>
          <w:p w14:paraId="7C6F7086">
            <w:pPr>
              <w:adjustRightInd w:val="0"/>
              <w:snapToGrid w:val="0"/>
              <w:spacing w:line="360" w:lineRule="auto"/>
              <w:rPr>
                <w:sz w:val="22"/>
                <w:szCs w:val="22"/>
              </w:rPr>
            </w:pPr>
            <w:r>
              <w:rPr>
                <w:sz w:val="22"/>
                <w:szCs w:val="22"/>
              </w:rPr>
              <w:t>Clustered</w:t>
            </w:r>
          </w:p>
        </w:tc>
        <w:tc>
          <w:tcPr>
            <w:tcW w:w="345" w:type="pct"/>
          </w:tcPr>
          <w:p w14:paraId="57B22E6D">
            <w:pPr>
              <w:adjustRightInd w:val="0"/>
              <w:snapToGrid w:val="0"/>
              <w:spacing w:line="360" w:lineRule="auto"/>
              <w:rPr>
                <w:sz w:val="22"/>
                <w:szCs w:val="22"/>
              </w:rPr>
            </w:pPr>
            <w:r>
              <w:rPr>
                <w:sz w:val="22"/>
                <w:szCs w:val="22"/>
              </w:rPr>
              <w:t>32</w:t>
            </w:r>
          </w:p>
        </w:tc>
        <w:tc>
          <w:tcPr>
            <w:tcW w:w="736" w:type="pct"/>
            <w:tcBorders>
              <w:top w:val="nil"/>
              <w:left w:val="nil"/>
              <w:right w:val="nil"/>
            </w:tcBorders>
            <w:shd w:val="clear" w:color="auto" w:fill="auto"/>
            <w:vAlign w:val="center"/>
          </w:tcPr>
          <w:p w14:paraId="1D91C7A9">
            <w:pPr>
              <w:adjustRightInd w:val="0"/>
              <w:snapToGrid w:val="0"/>
              <w:spacing w:line="360" w:lineRule="auto"/>
              <w:rPr>
                <w:sz w:val="22"/>
                <w:szCs w:val="22"/>
              </w:rPr>
            </w:pPr>
            <w:r>
              <w:rPr>
                <w:sz w:val="22"/>
                <w:szCs w:val="22"/>
              </w:rPr>
              <w:t>—</w:t>
            </w:r>
          </w:p>
        </w:tc>
        <w:tc>
          <w:tcPr>
            <w:tcW w:w="736" w:type="pct"/>
            <w:tcBorders>
              <w:top w:val="nil"/>
              <w:left w:val="nil"/>
              <w:right w:val="nil"/>
            </w:tcBorders>
            <w:shd w:val="clear" w:color="auto" w:fill="auto"/>
            <w:vAlign w:val="center"/>
          </w:tcPr>
          <w:p w14:paraId="769BF353">
            <w:pPr>
              <w:adjustRightInd w:val="0"/>
              <w:snapToGrid w:val="0"/>
              <w:spacing w:line="360" w:lineRule="auto"/>
              <w:rPr>
                <w:sz w:val="22"/>
                <w:szCs w:val="22"/>
              </w:rPr>
            </w:pPr>
            <w:r>
              <w:rPr>
                <w:sz w:val="22"/>
                <w:szCs w:val="22"/>
              </w:rPr>
              <w:t>1.92***</w:t>
            </w:r>
          </w:p>
        </w:tc>
        <w:tc>
          <w:tcPr>
            <w:tcW w:w="736" w:type="pct"/>
            <w:tcBorders>
              <w:top w:val="nil"/>
              <w:left w:val="nil"/>
              <w:right w:val="nil"/>
            </w:tcBorders>
            <w:shd w:val="clear" w:color="auto" w:fill="auto"/>
            <w:vAlign w:val="center"/>
          </w:tcPr>
          <w:p w14:paraId="2F1FA16A">
            <w:pPr>
              <w:adjustRightInd w:val="0"/>
              <w:snapToGrid w:val="0"/>
              <w:spacing w:line="360" w:lineRule="auto"/>
              <w:rPr>
                <w:sz w:val="22"/>
                <w:szCs w:val="22"/>
              </w:rPr>
            </w:pPr>
            <w:r>
              <w:rPr>
                <w:sz w:val="22"/>
                <w:szCs w:val="22"/>
              </w:rPr>
              <w:t>1.50***</w:t>
            </w:r>
          </w:p>
        </w:tc>
        <w:tc>
          <w:tcPr>
            <w:tcW w:w="736" w:type="pct"/>
            <w:tcBorders>
              <w:top w:val="nil"/>
              <w:left w:val="nil"/>
              <w:right w:val="nil"/>
            </w:tcBorders>
            <w:shd w:val="clear" w:color="auto" w:fill="auto"/>
            <w:vAlign w:val="center"/>
          </w:tcPr>
          <w:p w14:paraId="2F86D69B">
            <w:pPr>
              <w:adjustRightInd w:val="0"/>
              <w:snapToGrid w:val="0"/>
              <w:spacing w:line="360" w:lineRule="auto"/>
              <w:rPr>
                <w:sz w:val="22"/>
                <w:szCs w:val="22"/>
              </w:rPr>
            </w:pPr>
            <w:r>
              <w:rPr>
                <w:sz w:val="22"/>
                <w:szCs w:val="22"/>
              </w:rPr>
              <w:t>1.27***</w:t>
            </w:r>
          </w:p>
        </w:tc>
        <w:tc>
          <w:tcPr>
            <w:tcW w:w="736" w:type="pct"/>
            <w:tcBorders>
              <w:top w:val="nil"/>
              <w:left w:val="nil"/>
              <w:right w:val="nil"/>
            </w:tcBorders>
            <w:shd w:val="clear" w:color="auto" w:fill="auto"/>
            <w:vAlign w:val="center"/>
          </w:tcPr>
          <w:p w14:paraId="1EBE25B5">
            <w:pPr>
              <w:adjustRightInd w:val="0"/>
              <w:snapToGrid w:val="0"/>
              <w:spacing w:line="360" w:lineRule="auto"/>
              <w:rPr>
                <w:sz w:val="22"/>
                <w:szCs w:val="22"/>
              </w:rPr>
            </w:pPr>
            <w:r>
              <w:rPr>
                <w:sz w:val="22"/>
                <w:szCs w:val="22"/>
              </w:rPr>
              <w:t>1.14***</w:t>
            </w:r>
          </w:p>
        </w:tc>
      </w:tr>
      <w:tr w14:paraId="681B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pct"/>
            <w:tcBorders>
              <w:bottom w:val="single" w:color="auto" w:sz="4" w:space="0"/>
            </w:tcBorders>
          </w:tcPr>
          <w:p w14:paraId="15FE4EBD">
            <w:pPr>
              <w:adjustRightInd w:val="0"/>
              <w:snapToGrid w:val="0"/>
              <w:spacing w:line="360" w:lineRule="auto"/>
              <w:rPr>
                <w:sz w:val="22"/>
                <w:szCs w:val="22"/>
              </w:rPr>
            </w:pPr>
            <w:r>
              <w:rPr>
                <w:sz w:val="22"/>
                <w:szCs w:val="22"/>
              </w:rPr>
              <w:t>Clustered</w:t>
            </w:r>
          </w:p>
        </w:tc>
        <w:tc>
          <w:tcPr>
            <w:tcW w:w="345" w:type="pct"/>
            <w:tcBorders>
              <w:bottom w:val="single" w:color="auto" w:sz="4" w:space="0"/>
            </w:tcBorders>
          </w:tcPr>
          <w:p w14:paraId="47C0974D">
            <w:pPr>
              <w:adjustRightInd w:val="0"/>
              <w:snapToGrid w:val="0"/>
              <w:spacing w:line="360" w:lineRule="auto"/>
              <w:rPr>
                <w:sz w:val="22"/>
                <w:szCs w:val="22"/>
              </w:rPr>
            </w:pPr>
            <w:r>
              <w:rPr>
                <w:sz w:val="22"/>
                <w:szCs w:val="22"/>
              </w:rPr>
              <w:t>64</w:t>
            </w:r>
          </w:p>
        </w:tc>
        <w:tc>
          <w:tcPr>
            <w:tcW w:w="736" w:type="pct"/>
            <w:tcBorders>
              <w:top w:val="nil"/>
              <w:left w:val="nil"/>
              <w:bottom w:val="single" w:color="auto" w:sz="4" w:space="0"/>
              <w:right w:val="nil"/>
            </w:tcBorders>
            <w:shd w:val="clear" w:color="auto" w:fill="auto"/>
            <w:vAlign w:val="center"/>
          </w:tcPr>
          <w:p w14:paraId="59E382A4">
            <w:pPr>
              <w:adjustRightInd w:val="0"/>
              <w:snapToGrid w:val="0"/>
              <w:spacing w:line="360" w:lineRule="auto"/>
              <w:rPr>
                <w:sz w:val="22"/>
                <w:szCs w:val="22"/>
              </w:rPr>
            </w:pPr>
            <w:r>
              <w:rPr>
                <w:sz w:val="22"/>
                <w:szCs w:val="22"/>
              </w:rPr>
              <w:t>—</w:t>
            </w:r>
          </w:p>
        </w:tc>
        <w:tc>
          <w:tcPr>
            <w:tcW w:w="736" w:type="pct"/>
            <w:tcBorders>
              <w:top w:val="nil"/>
              <w:left w:val="nil"/>
              <w:bottom w:val="single" w:color="auto" w:sz="4" w:space="0"/>
              <w:right w:val="nil"/>
            </w:tcBorders>
            <w:shd w:val="clear" w:color="auto" w:fill="auto"/>
            <w:vAlign w:val="center"/>
          </w:tcPr>
          <w:p w14:paraId="2FFDAC2E">
            <w:pPr>
              <w:adjustRightInd w:val="0"/>
              <w:snapToGrid w:val="0"/>
              <w:spacing w:line="360" w:lineRule="auto"/>
              <w:rPr>
                <w:sz w:val="22"/>
                <w:szCs w:val="22"/>
              </w:rPr>
            </w:pPr>
            <w:r>
              <w:rPr>
                <w:sz w:val="22"/>
                <w:szCs w:val="22"/>
              </w:rPr>
              <w:t>—</w:t>
            </w:r>
          </w:p>
        </w:tc>
        <w:tc>
          <w:tcPr>
            <w:tcW w:w="736" w:type="pct"/>
            <w:tcBorders>
              <w:top w:val="nil"/>
              <w:left w:val="nil"/>
              <w:bottom w:val="single" w:color="auto" w:sz="4" w:space="0"/>
              <w:right w:val="nil"/>
            </w:tcBorders>
            <w:shd w:val="clear" w:color="auto" w:fill="auto"/>
            <w:vAlign w:val="center"/>
          </w:tcPr>
          <w:p w14:paraId="6C823AB9">
            <w:pPr>
              <w:adjustRightInd w:val="0"/>
              <w:snapToGrid w:val="0"/>
              <w:spacing w:line="360" w:lineRule="auto"/>
              <w:rPr>
                <w:sz w:val="22"/>
                <w:szCs w:val="22"/>
              </w:rPr>
            </w:pPr>
            <w:r>
              <w:rPr>
                <w:sz w:val="22"/>
                <w:szCs w:val="22"/>
              </w:rPr>
              <w:t>1.96***</w:t>
            </w:r>
          </w:p>
        </w:tc>
        <w:tc>
          <w:tcPr>
            <w:tcW w:w="736" w:type="pct"/>
            <w:tcBorders>
              <w:top w:val="nil"/>
              <w:left w:val="nil"/>
              <w:bottom w:val="single" w:color="auto" w:sz="4" w:space="0"/>
              <w:right w:val="nil"/>
            </w:tcBorders>
            <w:shd w:val="clear" w:color="auto" w:fill="auto"/>
            <w:vAlign w:val="center"/>
          </w:tcPr>
          <w:p w14:paraId="4C33DA08">
            <w:pPr>
              <w:adjustRightInd w:val="0"/>
              <w:snapToGrid w:val="0"/>
              <w:spacing w:line="360" w:lineRule="auto"/>
              <w:rPr>
                <w:sz w:val="22"/>
                <w:szCs w:val="22"/>
              </w:rPr>
            </w:pPr>
            <w:r>
              <w:rPr>
                <w:sz w:val="22"/>
                <w:szCs w:val="22"/>
              </w:rPr>
              <w:t>1.53***</w:t>
            </w:r>
          </w:p>
        </w:tc>
        <w:tc>
          <w:tcPr>
            <w:tcW w:w="736" w:type="pct"/>
            <w:tcBorders>
              <w:top w:val="nil"/>
              <w:left w:val="nil"/>
              <w:bottom w:val="single" w:color="auto" w:sz="4" w:space="0"/>
              <w:right w:val="nil"/>
            </w:tcBorders>
            <w:shd w:val="clear" w:color="auto" w:fill="auto"/>
            <w:vAlign w:val="center"/>
          </w:tcPr>
          <w:p w14:paraId="53D4B2FB">
            <w:pPr>
              <w:adjustRightInd w:val="0"/>
              <w:snapToGrid w:val="0"/>
              <w:spacing w:line="360" w:lineRule="auto"/>
              <w:rPr>
                <w:sz w:val="22"/>
                <w:szCs w:val="22"/>
              </w:rPr>
            </w:pPr>
            <w:r>
              <w:rPr>
                <w:sz w:val="22"/>
                <w:szCs w:val="22"/>
              </w:rPr>
              <w:t>1.29***</w:t>
            </w:r>
          </w:p>
        </w:tc>
      </w:tr>
    </w:tbl>
    <w:p w14:paraId="379B7C55">
      <w:pPr>
        <w:adjustRightInd w:val="0"/>
        <w:snapToGrid w:val="0"/>
        <w:spacing w:line="360" w:lineRule="auto"/>
        <w:rPr>
          <w:sz w:val="22"/>
          <w:szCs w:val="22"/>
        </w:rPr>
      </w:pPr>
      <w:r>
        <w:rPr>
          <w:sz w:val="22"/>
          <w:szCs w:val="22"/>
        </w:rPr>
        <w:t xml:space="preserve">Values are shown as observed MIESS values.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MIESS than random subsets; for clustered subsets, significance was evaluated in the direction of lower MIESS than random subsets. En dashes indicate combinations not analyzed because subset size (</w:t>
      </w:r>
      <w:r>
        <w:rPr>
          <w:i/>
          <w:iCs/>
          <w:sz w:val="22"/>
          <w:szCs w:val="22"/>
        </w:rPr>
        <w:t>s</w:t>
      </w:r>
      <w:r>
        <w:rPr>
          <w:sz w:val="22"/>
          <w:szCs w:val="22"/>
        </w:rPr>
        <w:t xml:space="preserve">) ≥ </w:t>
      </w:r>
      <w:r>
        <w:rPr>
          <w:i/>
          <w:iCs/>
          <w:sz w:val="22"/>
          <w:szCs w:val="22"/>
        </w:rPr>
        <w:t>N</w:t>
      </w:r>
      <w:r>
        <w:rPr>
          <w:sz w:val="22"/>
          <w:szCs w:val="22"/>
        </w:rPr>
        <w:t xml:space="preserve">. The identical dispersed MIESS values for </w:t>
      </w:r>
      <w:r>
        <w:rPr>
          <w:i/>
          <w:iCs/>
          <w:sz w:val="22"/>
          <w:szCs w:val="22"/>
        </w:rPr>
        <w:t>N</w:t>
      </w:r>
      <w:r>
        <w:rPr>
          <w:sz w:val="22"/>
          <w:szCs w:val="22"/>
        </w:rPr>
        <w:t xml:space="preserve"> = 128 and </w:t>
      </w:r>
      <w:r>
        <w:rPr>
          <w:i/>
          <w:iCs/>
          <w:sz w:val="22"/>
          <w:szCs w:val="22"/>
        </w:rPr>
        <w:t>N</w:t>
      </w:r>
      <w:r>
        <w:rPr>
          <w:sz w:val="22"/>
          <w:szCs w:val="22"/>
        </w:rPr>
        <w:t xml:space="preserve"> = 256 at </w:t>
      </w:r>
      <w:r>
        <w:rPr>
          <w:i/>
          <w:iCs/>
          <w:sz w:val="22"/>
          <w:szCs w:val="22"/>
        </w:rPr>
        <w:t>s</w:t>
      </w:r>
      <w:r>
        <w:rPr>
          <w:sz w:val="22"/>
          <w:szCs w:val="22"/>
        </w:rPr>
        <w:t xml:space="preserve"> = 8 reflect recovery of the same selected subset from the nested candidate pools.</w:t>
      </w:r>
    </w:p>
    <w:p w14:paraId="0E3D22F2">
      <w:pPr>
        <w:adjustRightInd w:val="0"/>
        <w:snapToGrid w:val="0"/>
        <w:spacing w:line="360" w:lineRule="auto"/>
      </w:pPr>
    </w:p>
    <w:p w14:paraId="5EE74287">
      <w:pPr>
        <w:adjustRightInd w:val="0"/>
        <w:snapToGrid w:val="0"/>
        <w:spacing w:line="360" w:lineRule="auto"/>
      </w:pPr>
      <w:r>
        <w:tab/>
      </w:r>
      <w:r>
        <w:t xml:space="preserve">We further evaluated whether this reduction in effective information was reflected in prediction-metric uncertainty by calculating PIESS separately for RMSE, MAE, and </w:t>
      </w:r>
      <w:r>
        <w:rPr>
          <w:i/>
          <w:iCs/>
        </w:rPr>
        <w:t>R</w:t>
      </w:r>
      <w:r>
        <w:t xml:space="preserve">² under the same BM covariance structure. These analyses ask a metric-specific question: how many independent test cases would provide a comparable level of uncertainty in the estimated predictive performance? </w:t>
      </w:r>
      <w:r>
        <w:rPr>
          <w:color w:val="FF0000"/>
        </w:rPr>
        <w:t>Table 3 and Supplementary Tables S7–S8 [PIESS</w:t>
      </w:r>
      <w:r>
        <w:rPr>
          <w:rFonts w:hint="eastAsia" w:ascii="宋体" w:hAnsi="宋体" w:eastAsia="宋体" w:cs="宋体"/>
          <w:color w:val="FF0000"/>
        </w:rPr>
        <w:t>开展类似于MIESS的工作。参考MIESS的结果及描述</w:t>
      </w:r>
      <w:r>
        <w:rPr>
          <w:color w:val="FF0000"/>
        </w:rPr>
        <w:t xml:space="preserve">] </w:t>
      </w:r>
      <w:r>
        <w:t xml:space="preserve">Across the representative N–s combinations, PIESS values for RMSE, MAE, and </w:t>
      </w:r>
      <w:r>
        <w:rPr>
          <w:i/>
          <w:iCs/>
        </w:rPr>
        <w:t>R</w:t>
      </w:r>
      <w:r>
        <w:t>² were expected to remain below the nominal subset size when phylogenetic dependence was strong, although the exact magnitude of reduction could differ among metrics. Dispersed subsets are expected to yield higher PIESS than clustered subsets under otherwise identical conditions, but the key question is whether this gain is sufficient to make performance evaluation close to independence-equivalent.</w:t>
      </w:r>
    </w:p>
    <w:p w14:paraId="5BCBCDB3">
      <w:pPr>
        <w:adjustRightInd w:val="0"/>
        <w:snapToGrid w:val="0"/>
        <w:spacing w:line="360" w:lineRule="auto"/>
      </w:pPr>
    </w:p>
    <w:p w14:paraId="7728D5DB">
      <w:pPr>
        <w:adjustRightInd w:val="0"/>
        <w:snapToGrid w:val="0"/>
        <w:spacing w:line="360" w:lineRule="auto"/>
        <w:rPr>
          <w:sz w:val="22"/>
          <w:szCs w:val="22"/>
        </w:rPr>
      </w:pPr>
      <w:bookmarkStart w:id="9" w:name="_Hlk231594066"/>
      <w:r>
        <w:rPr>
          <w:sz w:val="22"/>
          <w:szCs w:val="22"/>
        </w:rPr>
        <w:t xml:space="preserve">Table 2. Prediction-metric-based independence-equivalent sample size (PIESS) for predictive </w:t>
      </w:r>
      <w:r>
        <w:rPr>
          <w:i/>
          <w:iCs/>
          <w:sz w:val="22"/>
          <w:szCs w:val="22"/>
        </w:rPr>
        <w:t>R</w:t>
      </w:r>
      <w:r>
        <w:rPr>
          <w:sz w:val="22"/>
          <w:szCs w:val="22"/>
        </w:rPr>
        <w:t>² in the nested Cricetidae sensitivity analysis.</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635"/>
        <w:gridCol w:w="1359"/>
        <w:gridCol w:w="1359"/>
        <w:gridCol w:w="1359"/>
        <w:gridCol w:w="1359"/>
        <w:gridCol w:w="1357"/>
      </w:tblGrid>
      <w:tr w14:paraId="67BB3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Borders>
              <w:top w:val="single" w:color="auto" w:sz="4" w:space="0"/>
              <w:bottom w:val="single" w:color="auto" w:sz="4" w:space="0"/>
            </w:tcBorders>
          </w:tcPr>
          <w:p w14:paraId="704AAE79">
            <w:pPr>
              <w:adjustRightInd w:val="0"/>
              <w:snapToGrid w:val="0"/>
              <w:spacing w:line="360" w:lineRule="auto"/>
              <w:rPr>
                <w:sz w:val="22"/>
                <w:szCs w:val="22"/>
              </w:rPr>
            </w:pPr>
            <w:r>
              <w:rPr>
                <w:sz w:val="22"/>
                <w:szCs w:val="22"/>
              </w:rPr>
              <w:t>Subset type</w:t>
            </w:r>
          </w:p>
        </w:tc>
        <w:tc>
          <w:tcPr>
            <w:tcW w:w="344" w:type="pct"/>
            <w:tcBorders>
              <w:top w:val="single" w:color="auto" w:sz="4" w:space="0"/>
              <w:bottom w:val="single" w:color="auto" w:sz="4" w:space="0"/>
            </w:tcBorders>
          </w:tcPr>
          <w:p w14:paraId="37690627">
            <w:pPr>
              <w:adjustRightInd w:val="0"/>
              <w:snapToGrid w:val="0"/>
              <w:spacing w:line="360" w:lineRule="auto"/>
              <w:rPr>
                <w:i/>
                <w:iCs/>
                <w:sz w:val="22"/>
                <w:szCs w:val="22"/>
              </w:rPr>
            </w:pPr>
            <w:r>
              <w:rPr>
                <w:i/>
                <w:iCs/>
                <w:sz w:val="22"/>
                <w:szCs w:val="22"/>
              </w:rPr>
              <w:t>s</w:t>
            </w:r>
          </w:p>
        </w:tc>
        <w:tc>
          <w:tcPr>
            <w:tcW w:w="736" w:type="pct"/>
            <w:tcBorders>
              <w:top w:val="single" w:color="auto" w:sz="4" w:space="0"/>
              <w:bottom w:val="single" w:color="auto" w:sz="4" w:space="0"/>
            </w:tcBorders>
          </w:tcPr>
          <w:p w14:paraId="1D81DF0E">
            <w:pPr>
              <w:adjustRightInd w:val="0"/>
              <w:snapToGrid w:val="0"/>
              <w:spacing w:line="360" w:lineRule="auto"/>
              <w:rPr>
                <w:sz w:val="22"/>
                <w:szCs w:val="22"/>
              </w:rPr>
            </w:pPr>
            <w:r>
              <w:rPr>
                <w:i/>
                <w:iCs/>
                <w:sz w:val="22"/>
                <w:szCs w:val="22"/>
              </w:rPr>
              <w:t>N</w:t>
            </w:r>
            <w:r>
              <w:rPr>
                <w:sz w:val="22"/>
                <w:szCs w:val="22"/>
              </w:rPr>
              <w:t xml:space="preserve"> = 32</w:t>
            </w:r>
          </w:p>
        </w:tc>
        <w:tc>
          <w:tcPr>
            <w:tcW w:w="736" w:type="pct"/>
            <w:tcBorders>
              <w:top w:val="single" w:color="auto" w:sz="4" w:space="0"/>
              <w:bottom w:val="single" w:color="auto" w:sz="4" w:space="0"/>
            </w:tcBorders>
          </w:tcPr>
          <w:p w14:paraId="7225CF13">
            <w:pPr>
              <w:adjustRightInd w:val="0"/>
              <w:snapToGrid w:val="0"/>
              <w:spacing w:line="360" w:lineRule="auto"/>
              <w:rPr>
                <w:sz w:val="22"/>
                <w:szCs w:val="22"/>
              </w:rPr>
            </w:pPr>
            <w:r>
              <w:rPr>
                <w:i/>
                <w:iCs/>
                <w:sz w:val="22"/>
                <w:szCs w:val="22"/>
              </w:rPr>
              <w:t>N</w:t>
            </w:r>
            <w:r>
              <w:rPr>
                <w:sz w:val="22"/>
                <w:szCs w:val="22"/>
              </w:rPr>
              <w:t xml:space="preserve"> = 64</w:t>
            </w:r>
          </w:p>
        </w:tc>
        <w:tc>
          <w:tcPr>
            <w:tcW w:w="736" w:type="pct"/>
            <w:tcBorders>
              <w:top w:val="single" w:color="auto" w:sz="4" w:space="0"/>
              <w:bottom w:val="single" w:color="auto" w:sz="4" w:space="0"/>
            </w:tcBorders>
          </w:tcPr>
          <w:p w14:paraId="03C914EE">
            <w:pPr>
              <w:adjustRightInd w:val="0"/>
              <w:snapToGrid w:val="0"/>
              <w:spacing w:line="360" w:lineRule="auto"/>
              <w:rPr>
                <w:sz w:val="22"/>
                <w:szCs w:val="22"/>
              </w:rPr>
            </w:pPr>
            <w:r>
              <w:rPr>
                <w:i/>
                <w:iCs/>
                <w:sz w:val="22"/>
                <w:szCs w:val="22"/>
              </w:rPr>
              <w:t>N</w:t>
            </w:r>
            <w:r>
              <w:rPr>
                <w:sz w:val="22"/>
                <w:szCs w:val="22"/>
              </w:rPr>
              <w:t xml:space="preserve"> = 128</w:t>
            </w:r>
          </w:p>
        </w:tc>
        <w:tc>
          <w:tcPr>
            <w:tcW w:w="736" w:type="pct"/>
            <w:tcBorders>
              <w:top w:val="single" w:color="auto" w:sz="4" w:space="0"/>
              <w:bottom w:val="single" w:color="auto" w:sz="4" w:space="0"/>
            </w:tcBorders>
          </w:tcPr>
          <w:p w14:paraId="1B68DEBB">
            <w:pPr>
              <w:adjustRightInd w:val="0"/>
              <w:snapToGrid w:val="0"/>
              <w:spacing w:line="360" w:lineRule="auto"/>
              <w:rPr>
                <w:sz w:val="22"/>
                <w:szCs w:val="22"/>
              </w:rPr>
            </w:pPr>
            <w:r>
              <w:rPr>
                <w:i/>
                <w:iCs/>
                <w:sz w:val="22"/>
                <w:szCs w:val="22"/>
              </w:rPr>
              <w:t>N</w:t>
            </w:r>
            <w:r>
              <w:rPr>
                <w:sz w:val="22"/>
                <w:szCs w:val="22"/>
              </w:rPr>
              <w:t xml:space="preserve"> = 256</w:t>
            </w:r>
          </w:p>
        </w:tc>
        <w:tc>
          <w:tcPr>
            <w:tcW w:w="734" w:type="pct"/>
            <w:tcBorders>
              <w:top w:val="single" w:color="auto" w:sz="4" w:space="0"/>
              <w:bottom w:val="single" w:color="auto" w:sz="4" w:space="0"/>
            </w:tcBorders>
          </w:tcPr>
          <w:p w14:paraId="4A09B4B8">
            <w:pPr>
              <w:adjustRightInd w:val="0"/>
              <w:snapToGrid w:val="0"/>
              <w:spacing w:line="360" w:lineRule="auto"/>
              <w:rPr>
                <w:sz w:val="22"/>
                <w:szCs w:val="22"/>
              </w:rPr>
            </w:pPr>
            <w:r>
              <w:rPr>
                <w:i/>
                <w:iCs/>
                <w:sz w:val="22"/>
                <w:szCs w:val="22"/>
              </w:rPr>
              <w:t>N</w:t>
            </w:r>
            <w:r>
              <w:rPr>
                <w:sz w:val="22"/>
                <w:szCs w:val="22"/>
              </w:rPr>
              <w:t xml:space="preserve"> = 512</w:t>
            </w:r>
          </w:p>
        </w:tc>
      </w:tr>
      <w:tr w14:paraId="1BF15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Borders>
              <w:top w:val="single" w:color="auto" w:sz="4" w:space="0"/>
            </w:tcBorders>
          </w:tcPr>
          <w:p w14:paraId="031ECD57">
            <w:pPr>
              <w:adjustRightInd w:val="0"/>
              <w:snapToGrid w:val="0"/>
              <w:spacing w:line="360" w:lineRule="auto"/>
              <w:rPr>
                <w:sz w:val="22"/>
                <w:szCs w:val="22"/>
              </w:rPr>
            </w:pPr>
            <w:r>
              <w:rPr>
                <w:sz w:val="22"/>
                <w:szCs w:val="22"/>
              </w:rPr>
              <w:t>Dispersed</w:t>
            </w:r>
          </w:p>
        </w:tc>
        <w:tc>
          <w:tcPr>
            <w:tcW w:w="344" w:type="pct"/>
            <w:tcBorders>
              <w:top w:val="single" w:color="auto" w:sz="4" w:space="0"/>
            </w:tcBorders>
          </w:tcPr>
          <w:p w14:paraId="47225B11">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bottom"/>
          </w:tcPr>
          <w:p w14:paraId="7B6BB538">
            <w:pPr>
              <w:adjustRightInd w:val="0"/>
              <w:snapToGrid w:val="0"/>
              <w:spacing w:line="360" w:lineRule="auto"/>
              <w:rPr>
                <w:sz w:val="22"/>
                <w:szCs w:val="22"/>
                <w:highlight w:val="yellow"/>
              </w:rPr>
            </w:pPr>
            <w:r>
              <w:rPr>
                <w:rFonts w:hint="eastAsia"/>
                <w:sz w:val="22"/>
                <w:szCs w:val="22"/>
                <w:highlight w:val="yellow"/>
              </w:rPr>
              <w:t>6.89**</w:t>
            </w:r>
          </w:p>
        </w:tc>
        <w:tc>
          <w:tcPr>
            <w:tcW w:w="736" w:type="pct"/>
            <w:tcBorders>
              <w:top w:val="nil"/>
              <w:left w:val="nil"/>
              <w:bottom w:val="nil"/>
              <w:right w:val="nil"/>
            </w:tcBorders>
            <w:shd w:val="clear" w:color="auto" w:fill="auto"/>
            <w:vAlign w:val="bottom"/>
          </w:tcPr>
          <w:p w14:paraId="3BB6F82E">
            <w:pPr>
              <w:adjustRightInd w:val="0"/>
              <w:snapToGrid w:val="0"/>
              <w:spacing w:line="360" w:lineRule="auto"/>
              <w:rPr>
                <w:sz w:val="22"/>
                <w:szCs w:val="22"/>
                <w:highlight w:val="yellow"/>
              </w:rPr>
            </w:pPr>
            <w:r>
              <w:rPr>
                <w:rFonts w:hint="eastAsia"/>
                <w:sz w:val="22"/>
                <w:szCs w:val="22"/>
                <w:highlight w:val="yellow"/>
              </w:rPr>
              <w:t>7.05***</w:t>
            </w:r>
          </w:p>
        </w:tc>
        <w:tc>
          <w:tcPr>
            <w:tcW w:w="736" w:type="pct"/>
            <w:tcBorders>
              <w:top w:val="nil"/>
              <w:left w:val="nil"/>
              <w:bottom w:val="nil"/>
              <w:right w:val="nil"/>
            </w:tcBorders>
            <w:shd w:val="clear" w:color="auto" w:fill="auto"/>
            <w:vAlign w:val="bottom"/>
          </w:tcPr>
          <w:p w14:paraId="78CFC4E7">
            <w:pPr>
              <w:adjustRightInd w:val="0"/>
              <w:snapToGrid w:val="0"/>
              <w:spacing w:line="360" w:lineRule="auto"/>
              <w:rPr>
                <w:sz w:val="22"/>
                <w:szCs w:val="22"/>
                <w:highlight w:val="yellow"/>
              </w:rPr>
            </w:pPr>
            <w:r>
              <w:rPr>
                <w:rFonts w:hint="eastAsia"/>
                <w:sz w:val="22"/>
                <w:szCs w:val="22"/>
                <w:highlight w:val="yellow"/>
              </w:rPr>
              <w:t>7.05***</w:t>
            </w:r>
          </w:p>
        </w:tc>
        <w:tc>
          <w:tcPr>
            <w:tcW w:w="736" w:type="pct"/>
            <w:tcBorders>
              <w:top w:val="nil"/>
              <w:left w:val="nil"/>
              <w:bottom w:val="nil"/>
              <w:right w:val="nil"/>
            </w:tcBorders>
            <w:shd w:val="clear" w:color="auto" w:fill="auto"/>
            <w:vAlign w:val="bottom"/>
          </w:tcPr>
          <w:p w14:paraId="1D12E5F0">
            <w:pPr>
              <w:adjustRightInd w:val="0"/>
              <w:snapToGrid w:val="0"/>
              <w:spacing w:line="360" w:lineRule="auto"/>
              <w:rPr>
                <w:sz w:val="22"/>
                <w:szCs w:val="22"/>
                <w:highlight w:val="yellow"/>
              </w:rPr>
            </w:pPr>
            <w:r>
              <w:rPr>
                <w:rFonts w:hint="eastAsia"/>
                <w:sz w:val="22"/>
                <w:szCs w:val="22"/>
                <w:highlight w:val="yellow"/>
              </w:rPr>
              <w:t>7.43***</w:t>
            </w:r>
          </w:p>
        </w:tc>
        <w:tc>
          <w:tcPr>
            <w:tcW w:w="734" w:type="pct"/>
            <w:tcBorders>
              <w:top w:val="nil"/>
              <w:left w:val="nil"/>
              <w:bottom w:val="nil"/>
              <w:right w:val="nil"/>
            </w:tcBorders>
            <w:shd w:val="clear" w:color="auto" w:fill="auto"/>
            <w:vAlign w:val="bottom"/>
          </w:tcPr>
          <w:p w14:paraId="2557EAC2">
            <w:pPr>
              <w:adjustRightInd w:val="0"/>
              <w:snapToGrid w:val="0"/>
              <w:spacing w:line="360" w:lineRule="auto"/>
              <w:rPr>
                <w:sz w:val="22"/>
                <w:szCs w:val="22"/>
                <w:highlight w:val="yellow"/>
              </w:rPr>
            </w:pPr>
            <w:r>
              <w:rPr>
                <w:rFonts w:hint="eastAsia"/>
                <w:sz w:val="22"/>
                <w:szCs w:val="22"/>
                <w:highlight w:val="yellow"/>
              </w:rPr>
              <w:t>7.46***</w:t>
            </w:r>
          </w:p>
        </w:tc>
      </w:tr>
      <w:tr w14:paraId="272A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3D6E6A7E">
            <w:pPr>
              <w:adjustRightInd w:val="0"/>
              <w:snapToGrid w:val="0"/>
              <w:spacing w:line="360" w:lineRule="auto"/>
              <w:rPr>
                <w:sz w:val="22"/>
                <w:szCs w:val="22"/>
              </w:rPr>
            </w:pPr>
            <w:r>
              <w:rPr>
                <w:sz w:val="22"/>
                <w:szCs w:val="22"/>
              </w:rPr>
              <w:t>Dispersed</w:t>
            </w:r>
          </w:p>
        </w:tc>
        <w:tc>
          <w:tcPr>
            <w:tcW w:w="344" w:type="pct"/>
          </w:tcPr>
          <w:p w14:paraId="55D0F794">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bottom"/>
          </w:tcPr>
          <w:p w14:paraId="00981F7B">
            <w:pPr>
              <w:adjustRightInd w:val="0"/>
              <w:snapToGrid w:val="0"/>
              <w:spacing w:line="360" w:lineRule="auto"/>
              <w:rPr>
                <w:sz w:val="22"/>
                <w:szCs w:val="22"/>
                <w:highlight w:val="yellow"/>
              </w:rPr>
            </w:pPr>
            <w:r>
              <w:rPr>
                <w:rFonts w:hint="eastAsia"/>
                <w:sz w:val="22"/>
                <w:szCs w:val="22"/>
                <w:highlight w:val="yellow"/>
              </w:rPr>
              <w:t>&lt;4***</w:t>
            </w:r>
          </w:p>
        </w:tc>
        <w:tc>
          <w:tcPr>
            <w:tcW w:w="736" w:type="pct"/>
            <w:tcBorders>
              <w:top w:val="nil"/>
              <w:left w:val="nil"/>
              <w:bottom w:val="nil"/>
              <w:right w:val="nil"/>
            </w:tcBorders>
            <w:shd w:val="clear" w:color="auto" w:fill="auto"/>
            <w:vAlign w:val="bottom"/>
          </w:tcPr>
          <w:p w14:paraId="168D9EFB">
            <w:pPr>
              <w:adjustRightInd w:val="0"/>
              <w:snapToGrid w:val="0"/>
              <w:spacing w:line="360" w:lineRule="auto"/>
              <w:rPr>
                <w:sz w:val="22"/>
                <w:szCs w:val="22"/>
                <w:highlight w:val="yellow"/>
              </w:rPr>
            </w:pPr>
            <w:r>
              <w:rPr>
                <w:rFonts w:hint="eastAsia"/>
                <w:sz w:val="22"/>
                <w:szCs w:val="22"/>
                <w:highlight w:val="yellow"/>
              </w:rPr>
              <w:t>&lt;4***</w:t>
            </w:r>
          </w:p>
        </w:tc>
        <w:tc>
          <w:tcPr>
            <w:tcW w:w="736" w:type="pct"/>
            <w:tcBorders>
              <w:top w:val="nil"/>
              <w:left w:val="nil"/>
              <w:bottom w:val="nil"/>
              <w:right w:val="nil"/>
            </w:tcBorders>
            <w:shd w:val="clear" w:color="auto" w:fill="auto"/>
            <w:vAlign w:val="bottom"/>
          </w:tcPr>
          <w:p w14:paraId="0BEFDEEA">
            <w:pPr>
              <w:adjustRightInd w:val="0"/>
              <w:snapToGrid w:val="0"/>
              <w:spacing w:line="360" w:lineRule="auto"/>
              <w:rPr>
                <w:sz w:val="22"/>
                <w:szCs w:val="22"/>
                <w:highlight w:val="yellow"/>
              </w:rPr>
            </w:pPr>
            <w:r>
              <w:rPr>
                <w:rFonts w:hint="eastAsia"/>
                <w:sz w:val="22"/>
                <w:szCs w:val="22"/>
                <w:highlight w:val="yellow"/>
              </w:rPr>
              <w:t>&lt;4***</w:t>
            </w:r>
          </w:p>
        </w:tc>
        <w:tc>
          <w:tcPr>
            <w:tcW w:w="736" w:type="pct"/>
            <w:tcBorders>
              <w:top w:val="nil"/>
              <w:left w:val="nil"/>
              <w:bottom w:val="nil"/>
              <w:right w:val="nil"/>
            </w:tcBorders>
            <w:shd w:val="clear" w:color="auto" w:fill="auto"/>
            <w:vAlign w:val="bottom"/>
          </w:tcPr>
          <w:p w14:paraId="329A4480">
            <w:pPr>
              <w:adjustRightInd w:val="0"/>
              <w:snapToGrid w:val="0"/>
              <w:spacing w:line="360" w:lineRule="auto"/>
              <w:rPr>
                <w:sz w:val="22"/>
                <w:szCs w:val="22"/>
                <w:highlight w:val="yellow"/>
              </w:rPr>
            </w:pPr>
            <w:r>
              <w:rPr>
                <w:rFonts w:hint="eastAsia"/>
                <w:sz w:val="22"/>
                <w:szCs w:val="22"/>
                <w:highlight w:val="yellow"/>
              </w:rPr>
              <w:t>&lt;4***</w:t>
            </w:r>
          </w:p>
        </w:tc>
        <w:tc>
          <w:tcPr>
            <w:tcW w:w="734" w:type="pct"/>
            <w:tcBorders>
              <w:top w:val="nil"/>
              <w:left w:val="nil"/>
              <w:bottom w:val="nil"/>
              <w:right w:val="nil"/>
            </w:tcBorders>
            <w:shd w:val="clear" w:color="auto" w:fill="auto"/>
            <w:vAlign w:val="bottom"/>
          </w:tcPr>
          <w:p w14:paraId="6204A445">
            <w:pPr>
              <w:adjustRightInd w:val="0"/>
              <w:snapToGrid w:val="0"/>
              <w:spacing w:line="360" w:lineRule="auto"/>
              <w:rPr>
                <w:sz w:val="22"/>
                <w:szCs w:val="22"/>
                <w:highlight w:val="yellow"/>
              </w:rPr>
            </w:pPr>
            <w:r>
              <w:rPr>
                <w:rFonts w:hint="eastAsia"/>
                <w:sz w:val="22"/>
                <w:szCs w:val="22"/>
                <w:highlight w:val="yellow"/>
              </w:rPr>
              <w:t>&lt;4***</w:t>
            </w:r>
          </w:p>
        </w:tc>
      </w:tr>
      <w:tr w14:paraId="2488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6FFAB7E4">
            <w:pPr>
              <w:adjustRightInd w:val="0"/>
              <w:snapToGrid w:val="0"/>
              <w:spacing w:line="360" w:lineRule="auto"/>
              <w:rPr>
                <w:sz w:val="22"/>
                <w:szCs w:val="22"/>
              </w:rPr>
            </w:pPr>
            <w:r>
              <w:rPr>
                <w:sz w:val="22"/>
                <w:szCs w:val="22"/>
              </w:rPr>
              <w:t>Dispersed</w:t>
            </w:r>
          </w:p>
        </w:tc>
        <w:tc>
          <w:tcPr>
            <w:tcW w:w="344" w:type="pct"/>
          </w:tcPr>
          <w:p w14:paraId="6DB23250">
            <w:pPr>
              <w:adjustRightInd w:val="0"/>
              <w:snapToGrid w:val="0"/>
              <w:spacing w:line="360" w:lineRule="auto"/>
              <w:rPr>
                <w:sz w:val="22"/>
                <w:szCs w:val="22"/>
              </w:rPr>
            </w:pPr>
            <w:r>
              <w:rPr>
                <w:sz w:val="22"/>
                <w:szCs w:val="22"/>
              </w:rPr>
              <w:t>32</w:t>
            </w:r>
          </w:p>
        </w:tc>
        <w:tc>
          <w:tcPr>
            <w:tcW w:w="736" w:type="pct"/>
            <w:tcBorders>
              <w:top w:val="nil"/>
              <w:left w:val="nil"/>
              <w:bottom w:val="nil"/>
              <w:right w:val="nil"/>
            </w:tcBorders>
            <w:shd w:val="clear" w:color="auto" w:fill="auto"/>
          </w:tcPr>
          <w:p w14:paraId="09E00909">
            <w:pPr>
              <w:adjustRightInd w:val="0"/>
              <w:snapToGrid w:val="0"/>
              <w:spacing w:line="360" w:lineRule="auto"/>
              <w:rPr>
                <w:sz w:val="22"/>
                <w:szCs w:val="22"/>
                <w:highlight w:val="yellow"/>
              </w:rPr>
            </w:pPr>
            <w:r>
              <w:rPr>
                <w:rFonts w:hint="eastAsia"/>
                <w:sz w:val="22"/>
                <w:szCs w:val="22"/>
                <w:highlight w:val="yellow"/>
              </w:rPr>
              <w:t>9.65**</w:t>
            </w:r>
          </w:p>
        </w:tc>
        <w:tc>
          <w:tcPr>
            <w:tcW w:w="736" w:type="pct"/>
            <w:tcBorders>
              <w:top w:val="nil"/>
              <w:left w:val="nil"/>
              <w:bottom w:val="nil"/>
              <w:right w:val="nil"/>
            </w:tcBorders>
            <w:shd w:val="clear" w:color="auto" w:fill="auto"/>
            <w:vAlign w:val="bottom"/>
          </w:tcPr>
          <w:p w14:paraId="4387CEF6">
            <w:pPr>
              <w:adjustRightInd w:val="0"/>
              <w:snapToGrid w:val="0"/>
              <w:spacing w:line="360" w:lineRule="auto"/>
              <w:rPr>
                <w:sz w:val="22"/>
                <w:szCs w:val="22"/>
                <w:highlight w:val="yellow"/>
              </w:rPr>
            </w:pPr>
            <w:r>
              <w:rPr>
                <w:rFonts w:hint="eastAsia"/>
                <w:sz w:val="22"/>
                <w:szCs w:val="22"/>
                <w:highlight w:val="yellow"/>
              </w:rPr>
              <w:t>10.34***</w:t>
            </w:r>
          </w:p>
        </w:tc>
        <w:tc>
          <w:tcPr>
            <w:tcW w:w="736" w:type="pct"/>
            <w:tcBorders>
              <w:top w:val="nil"/>
              <w:left w:val="nil"/>
              <w:bottom w:val="nil"/>
              <w:right w:val="nil"/>
            </w:tcBorders>
            <w:shd w:val="clear" w:color="auto" w:fill="auto"/>
            <w:vAlign w:val="bottom"/>
          </w:tcPr>
          <w:p w14:paraId="7EEB055A">
            <w:pPr>
              <w:adjustRightInd w:val="0"/>
              <w:snapToGrid w:val="0"/>
              <w:spacing w:line="360" w:lineRule="auto"/>
              <w:rPr>
                <w:sz w:val="22"/>
                <w:szCs w:val="22"/>
                <w:highlight w:val="yellow"/>
              </w:rPr>
            </w:pPr>
            <w:r>
              <w:rPr>
                <w:rFonts w:hint="eastAsia"/>
                <w:sz w:val="22"/>
                <w:szCs w:val="22"/>
                <w:highlight w:val="yellow"/>
              </w:rPr>
              <w:t>10.34***</w:t>
            </w:r>
          </w:p>
        </w:tc>
        <w:tc>
          <w:tcPr>
            <w:tcW w:w="736" w:type="pct"/>
            <w:tcBorders>
              <w:top w:val="nil"/>
              <w:left w:val="nil"/>
              <w:bottom w:val="nil"/>
              <w:right w:val="nil"/>
            </w:tcBorders>
            <w:shd w:val="clear" w:color="auto" w:fill="auto"/>
            <w:vAlign w:val="bottom"/>
          </w:tcPr>
          <w:p w14:paraId="0CCC4A86">
            <w:pPr>
              <w:adjustRightInd w:val="0"/>
              <w:snapToGrid w:val="0"/>
              <w:spacing w:line="360" w:lineRule="auto"/>
              <w:rPr>
                <w:sz w:val="22"/>
                <w:szCs w:val="22"/>
                <w:highlight w:val="yellow"/>
              </w:rPr>
            </w:pPr>
            <w:r>
              <w:rPr>
                <w:rFonts w:hint="eastAsia"/>
                <w:sz w:val="22"/>
                <w:szCs w:val="22"/>
                <w:highlight w:val="yellow"/>
              </w:rPr>
              <w:t>11.10***</w:t>
            </w:r>
          </w:p>
        </w:tc>
        <w:tc>
          <w:tcPr>
            <w:tcW w:w="734" w:type="pct"/>
            <w:tcBorders>
              <w:top w:val="nil"/>
              <w:left w:val="nil"/>
              <w:bottom w:val="nil"/>
              <w:right w:val="nil"/>
            </w:tcBorders>
            <w:shd w:val="clear" w:color="auto" w:fill="auto"/>
            <w:vAlign w:val="bottom"/>
          </w:tcPr>
          <w:p w14:paraId="41B4B0ED">
            <w:pPr>
              <w:adjustRightInd w:val="0"/>
              <w:snapToGrid w:val="0"/>
              <w:spacing w:line="360" w:lineRule="auto"/>
              <w:rPr>
                <w:sz w:val="22"/>
                <w:szCs w:val="22"/>
                <w:highlight w:val="yellow"/>
              </w:rPr>
            </w:pPr>
            <w:r>
              <w:rPr>
                <w:rFonts w:hint="eastAsia"/>
                <w:sz w:val="22"/>
                <w:szCs w:val="22"/>
                <w:highlight w:val="yellow"/>
              </w:rPr>
              <w:t>12.43***</w:t>
            </w:r>
          </w:p>
        </w:tc>
      </w:tr>
      <w:tr w14:paraId="5F67D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0FAA5F44">
            <w:pPr>
              <w:adjustRightInd w:val="0"/>
              <w:snapToGrid w:val="0"/>
              <w:spacing w:line="360" w:lineRule="auto"/>
              <w:rPr>
                <w:sz w:val="22"/>
                <w:szCs w:val="22"/>
              </w:rPr>
            </w:pPr>
            <w:r>
              <w:rPr>
                <w:sz w:val="22"/>
                <w:szCs w:val="22"/>
              </w:rPr>
              <w:t>Dispersed</w:t>
            </w:r>
          </w:p>
        </w:tc>
        <w:tc>
          <w:tcPr>
            <w:tcW w:w="344" w:type="pct"/>
          </w:tcPr>
          <w:p w14:paraId="5C4C2DC5">
            <w:pPr>
              <w:adjustRightInd w:val="0"/>
              <w:snapToGrid w:val="0"/>
              <w:spacing w:line="360" w:lineRule="auto"/>
              <w:rPr>
                <w:sz w:val="22"/>
                <w:szCs w:val="22"/>
              </w:rPr>
            </w:pPr>
            <w:r>
              <w:rPr>
                <w:sz w:val="22"/>
                <w:szCs w:val="22"/>
              </w:rPr>
              <w:t>64</w:t>
            </w:r>
          </w:p>
        </w:tc>
        <w:tc>
          <w:tcPr>
            <w:tcW w:w="736" w:type="pct"/>
            <w:tcBorders>
              <w:top w:val="nil"/>
              <w:left w:val="nil"/>
              <w:bottom w:val="nil"/>
              <w:right w:val="nil"/>
            </w:tcBorders>
            <w:shd w:val="clear" w:color="auto" w:fill="auto"/>
          </w:tcPr>
          <w:p w14:paraId="2A2AE795">
            <w:pPr>
              <w:adjustRightInd w:val="0"/>
              <w:snapToGrid w:val="0"/>
              <w:spacing w:line="360" w:lineRule="auto"/>
              <w:rPr>
                <w:sz w:val="22"/>
                <w:szCs w:val="22"/>
                <w:highlight w:val="yellow"/>
              </w:rPr>
            </w:pPr>
            <w:r>
              <w:rPr>
                <w:rFonts w:hint="eastAsia"/>
                <w:sz w:val="22"/>
                <w:szCs w:val="22"/>
                <w:highlight w:val="yellow"/>
              </w:rPr>
              <w:t>5.96***</w:t>
            </w:r>
          </w:p>
        </w:tc>
        <w:tc>
          <w:tcPr>
            <w:tcW w:w="736" w:type="pct"/>
            <w:tcBorders>
              <w:top w:val="nil"/>
              <w:left w:val="nil"/>
              <w:bottom w:val="nil"/>
              <w:right w:val="nil"/>
            </w:tcBorders>
            <w:shd w:val="clear" w:color="auto" w:fill="auto"/>
            <w:vAlign w:val="bottom"/>
          </w:tcPr>
          <w:p w14:paraId="6AD65894">
            <w:pPr>
              <w:adjustRightInd w:val="0"/>
              <w:snapToGrid w:val="0"/>
              <w:spacing w:line="360" w:lineRule="auto"/>
              <w:rPr>
                <w:sz w:val="22"/>
                <w:szCs w:val="22"/>
                <w:highlight w:val="yellow"/>
              </w:rPr>
            </w:pPr>
            <w:r>
              <w:rPr>
                <w:rFonts w:hint="eastAsia"/>
                <w:sz w:val="22"/>
                <w:szCs w:val="22"/>
                <w:highlight w:val="yellow"/>
              </w:rPr>
              <w:t>4.07***</w:t>
            </w:r>
          </w:p>
        </w:tc>
        <w:tc>
          <w:tcPr>
            <w:tcW w:w="736" w:type="pct"/>
            <w:tcBorders>
              <w:top w:val="nil"/>
              <w:left w:val="nil"/>
              <w:bottom w:val="nil"/>
              <w:right w:val="nil"/>
            </w:tcBorders>
            <w:shd w:val="clear" w:color="auto" w:fill="auto"/>
            <w:vAlign w:val="bottom"/>
          </w:tcPr>
          <w:p w14:paraId="40FE4DB7">
            <w:pPr>
              <w:adjustRightInd w:val="0"/>
              <w:snapToGrid w:val="0"/>
              <w:spacing w:line="360" w:lineRule="auto"/>
              <w:rPr>
                <w:sz w:val="22"/>
                <w:szCs w:val="22"/>
                <w:highlight w:val="yellow"/>
              </w:rPr>
            </w:pPr>
            <w:r>
              <w:rPr>
                <w:rFonts w:hint="eastAsia"/>
                <w:sz w:val="22"/>
                <w:szCs w:val="22"/>
                <w:highlight w:val="yellow"/>
              </w:rPr>
              <w:t>4.07***</w:t>
            </w:r>
          </w:p>
        </w:tc>
        <w:tc>
          <w:tcPr>
            <w:tcW w:w="736" w:type="pct"/>
            <w:tcBorders>
              <w:top w:val="nil"/>
              <w:left w:val="nil"/>
              <w:bottom w:val="nil"/>
              <w:right w:val="nil"/>
            </w:tcBorders>
            <w:shd w:val="clear" w:color="auto" w:fill="auto"/>
            <w:vAlign w:val="bottom"/>
          </w:tcPr>
          <w:p w14:paraId="514CD426">
            <w:pPr>
              <w:adjustRightInd w:val="0"/>
              <w:snapToGrid w:val="0"/>
              <w:spacing w:line="360" w:lineRule="auto"/>
              <w:rPr>
                <w:sz w:val="22"/>
                <w:szCs w:val="22"/>
                <w:highlight w:val="yellow"/>
              </w:rPr>
            </w:pPr>
            <w:r>
              <w:rPr>
                <w:rFonts w:hint="eastAsia"/>
                <w:sz w:val="22"/>
                <w:szCs w:val="22"/>
                <w:highlight w:val="yellow"/>
              </w:rPr>
              <w:t>&lt;4***</w:t>
            </w:r>
          </w:p>
        </w:tc>
        <w:tc>
          <w:tcPr>
            <w:tcW w:w="734" w:type="pct"/>
            <w:tcBorders>
              <w:top w:val="nil"/>
              <w:left w:val="nil"/>
              <w:bottom w:val="nil"/>
              <w:right w:val="nil"/>
            </w:tcBorders>
            <w:shd w:val="clear" w:color="auto" w:fill="auto"/>
            <w:vAlign w:val="bottom"/>
          </w:tcPr>
          <w:p w14:paraId="3343C1B1">
            <w:pPr>
              <w:adjustRightInd w:val="0"/>
              <w:snapToGrid w:val="0"/>
              <w:spacing w:line="360" w:lineRule="auto"/>
              <w:rPr>
                <w:sz w:val="22"/>
                <w:szCs w:val="22"/>
                <w:highlight w:val="yellow"/>
              </w:rPr>
            </w:pPr>
            <w:r>
              <w:rPr>
                <w:rFonts w:hint="eastAsia"/>
                <w:sz w:val="22"/>
                <w:szCs w:val="22"/>
                <w:highlight w:val="yellow"/>
              </w:rPr>
              <w:t>&lt;4***</w:t>
            </w:r>
          </w:p>
        </w:tc>
      </w:tr>
      <w:tr w14:paraId="26729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624FA1E8">
            <w:pPr>
              <w:adjustRightInd w:val="0"/>
              <w:snapToGrid w:val="0"/>
              <w:spacing w:line="360" w:lineRule="auto"/>
              <w:rPr>
                <w:sz w:val="22"/>
                <w:szCs w:val="22"/>
              </w:rPr>
            </w:pPr>
            <w:r>
              <w:rPr>
                <w:sz w:val="22"/>
                <w:szCs w:val="22"/>
              </w:rPr>
              <w:t>Clustered</w:t>
            </w:r>
          </w:p>
        </w:tc>
        <w:tc>
          <w:tcPr>
            <w:tcW w:w="344" w:type="pct"/>
          </w:tcPr>
          <w:p w14:paraId="3AD7D920">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center"/>
          </w:tcPr>
          <w:p w14:paraId="679A77A2">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bottom w:val="nil"/>
              <w:right w:val="nil"/>
            </w:tcBorders>
            <w:shd w:val="clear" w:color="auto" w:fill="auto"/>
            <w:vAlign w:val="center"/>
          </w:tcPr>
          <w:p w14:paraId="39D9D3E4">
            <w:pPr>
              <w:adjustRightInd w:val="0"/>
              <w:snapToGrid w:val="0"/>
              <w:spacing w:line="360" w:lineRule="auto"/>
              <w:rPr>
                <w:sz w:val="22"/>
                <w:szCs w:val="22"/>
                <w:highlight w:val="yellow"/>
              </w:rPr>
            </w:pPr>
            <w:r>
              <w:rPr>
                <w:rFonts w:hint="eastAsia"/>
                <w:sz w:val="22"/>
                <w:szCs w:val="22"/>
                <w:highlight w:val="yellow"/>
              </w:rPr>
              <w:t>11.74***</w:t>
            </w:r>
          </w:p>
        </w:tc>
        <w:tc>
          <w:tcPr>
            <w:tcW w:w="736" w:type="pct"/>
            <w:tcBorders>
              <w:top w:val="nil"/>
              <w:left w:val="nil"/>
              <w:bottom w:val="nil"/>
              <w:right w:val="nil"/>
            </w:tcBorders>
            <w:shd w:val="clear" w:color="auto" w:fill="auto"/>
            <w:vAlign w:val="center"/>
          </w:tcPr>
          <w:p w14:paraId="017941FD">
            <w:pPr>
              <w:adjustRightInd w:val="0"/>
              <w:snapToGrid w:val="0"/>
              <w:spacing w:line="360" w:lineRule="auto"/>
              <w:rPr>
                <w:sz w:val="22"/>
                <w:szCs w:val="22"/>
                <w:highlight w:val="yellow"/>
              </w:rPr>
            </w:pPr>
            <w:r>
              <w:rPr>
                <w:rFonts w:hint="eastAsia"/>
                <w:sz w:val="22"/>
                <w:szCs w:val="22"/>
                <w:highlight w:val="yellow"/>
              </w:rPr>
              <w:t>11.74***</w:t>
            </w:r>
          </w:p>
        </w:tc>
        <w:tc>
          <w:tcPr>
            <w:tcW w:w="736" w:type="pct"/>
            <w:tcBorders>
              <w:top w:val="nil"/>
              <w:left w:val="nil"/>
              <w:bottom w:val="nil"/>
              <w:right w:val="nil"/>
            </w:tcBorders>
            <w:shd w:val="clear" w:color="auto" w:fill="auto"/>
            <w:vAlign w:val="center"/>
          </w:tcPr>
          <w:p w14:paraId="6053FA61">
            <w:pPr>
              <w:adjustRightInd w:val="0"/>
              <w:snapToGrid w:val="0"/>
              <w:spacing w:line="360" w:lineRule="auto"/>
              <w:rPr>
                <w:sz w:val="22"/>
                <w:szCs w:val="22"/>
                <w:highlight w:val="yellow"/>
              </w:rPr>
            </w:pPr>
            <w:r>
              <w:rPr>
                <w:rFonts w:hint="eastAsia"/>
                <w:sz w:val="22"/>
                <w:szCs w:val="22"/>
                <w:highlight w:val="yellow"/>
              </w:rPr>
              <w:t>13.27***</w:t>
            </w:r>
          </w:p>
        </w:tc>
        <w:tc>
          <w:tcPr>
            <w:tcW w:w="734" w:type="pct"/>
            <w:tcBorders>
              <w:top w:val="nil"/>
              <w:left w:val="nil"/>
              <w:bottom w:val="nil"/>
              <w:right w:val="nil"/>
            </w:tcBorders>
            <w:shd w:val="clear" w:color="auto" w:fill="auto"/>
            <w:vAlign w:val="center"/>
          </w:tcPr>
          <w:p w14:paraId="7F325164">
            <w:pPr>
              <w:adjustRightInd w:val="0"/>
              <w:snapToGrid w:val="0"/>
              <w:spacing w:line="360" w:lineRule="auto"/>
              <w:rPr>
                <w:sz w:val="22"/>
                <w:szCs w:val="22"/>
                <w:highlight w:val="yellow"/>
              </w:rPr>
            </w:pPr>
            <w:r>
              <w:rPr>
                <w:rFonts w:hint="eastAsia"/>
                <w:sz w:val="22"/>
                <w:szCs w:val="22"/>
                <w:highlight w:val="yellow"/>
              </w:rPr>
              <w:t>14.80***</w:t>
            </w:r>
          </w:p>
        </w:tc>
      </w:tr>
      <w:tr w14:paraId="44B3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558D3319">
            <w:pPr>
              <w:adjustRightInd w:val="0"/>
              <w:snapToGrid w:val="0"/>
              <w:spacing w:line="360" w:lineRule="auto"/>
              <w:rPr>
                <w:sz w:val="22"/>
                <w:szCs w:val="22"/>
              </w:rPr>
            </w:pPr>
            <w:r>
              <w:rPr>
                <w:sz w:val="22"/>
                <w:szCs w:val="22"/>
              </w:rPr>
              <w:t>Clustered</w:t>
            </w:r>
          </w:p>
        </w:tc>
        <w:tc>
          <w:tcPr>
            <w:tcW w:w="344" w:type="pct"/>
          </w:tcPr>
          <w:p w14:paraId="7029279F">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center"/>
          </w:tcPr>
          <w:p w14:paraId="79F9680E">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bottom w:val="nil"/>
              <w:right w:val="nil"/>
            </w:tcBorders>
            <w:shd w:val="clear" w:color="auto" w:fill="auto"/>
            <w:vAlign w:val="center"/>
          </w:tcPr>
          <w:p w14:paraId="53254A1B">
            <w:pPr>
              <w:adjustRightInd w:val="0"/>
              <w:snapToGrid w:val="0"/>
              <w:spacing w:line="360" w:lineRule="auto"/>
              <w:rPr>
                <w:sz w:val="22"/>
                <w:szCs w:val="22"/>
                <w:highlight w:val="yellow"/>
              </w:rPr>
            </w:pPr>
            <w:r>
              <w:rPr>
                <w:rFonts w:hint="eastAsia"/>
                <w:sz w:val="22"/>
                <w:szCs w:val="22"/>
                <w:highlight w:val="yellow"/>
              </w:rPr>
              <w:t>6.20***</w:t>
            </w:r>
          </w:p>
        </w:tc>
        <w:tc>
          <w:tcPr>
            <w:tcW w:w="736" w:type="pct"/>
            <w:tcBorders>
              <w:top w:val="nil"/>
              <w:left w:val="nil"/>
              <w:bottom w:val="nil"/>
              <w:right w:val="nil"/>
            </w:tcBorders>
            <w:shd w:val="clear" w:color="auto" w:fill="auto"/>
            <w:vAlign w:val="center"/>
          </w:tcPr>
          <w:p w14:paraId="6E79D47E">
            <w:pPr>
              <w:adjustRightInd w:val="0"/>
              <w:snapToGrid w:val="0"/>
              <w:spacing w:line="360" w:lineRule="auto"/>
              <w:rPr>
                <w:sz w:val="22"/>
                <w:szCs w:val="22"/>
                <w:highlight w:val="yellow"/>
              </w:rPr>
            </w:pPr>
            <w:r>
              <w:rPr>
                <w:rFonts w:hint="eastAsia"/>
                <w:sz w:val="22"/>
                <w:szCs w:val="22"/>
                <w:highlight w:val="yellow"/>
              </w:rPr>
              <w:t>6.20***</w:t>
            </w:r>
          </w:p>
        </w:tc>
        <w:tc>
          <w:tcPr>
            <w:tcW w:w="736" w:type="pct"/>
            <w:tcBorders>
              <w:top w:val="nil"/>
              <w:left w:val="nil"/>
              <w:bottom w:val="nil"/>
              <w:right w:val="nil"/>
            </w:tcBorders>
            <w:shd w:val="clear" w:color="auto" w:fill="auto"/>
            <w:vAlign w:val="center"/>
          </w:tcPr>
          <w:p w14:paraId="0A0AE025">
            <w:pPr>
              <w:adjustRightInd w:val="0"/>
              <w:snapToGrid w:val="0"/>
              <w:spacing w:line="360" w:lineRule="auto"/>
              <w:rPr>
                <w:sz w:val="22"/>
                <w:szCs w:val="22"/>
                <w:highlight w:val="yellow"/>
              </w:rPr>
            </w:pPr>
            <w:r>
              <w:rPr>
                <w:rFonts w:hint="eastAsia"/>
                <w:sz w:val="22"/>
                <w:szCs w:val="22"/>
                <w:highlight w:val="yellow"/>
              </w:rPr>
              <w:t>&lt;4***</w:t>
            </w:r>
          </w:p>
        </w:tc>
        <w:tc>
          <w:tcPr>
            <w:tcW w:w="734" w:type="pct"/>
            <w:tcBorders>
              <w:top w:val="nil"/>
              <w:left w:val="nil"/>
              <w:bottom w:val="nil"/>
              <w:right w:val="nil"/>
            </w:tcBorders>
            <w:shd w:val="clear" w:color="auto" w:fill="auto"/>
            <w:vAlign w:val="center"/>
          </w:tcPr>
          <w:p w14:paraId="210C2A56">
            <w:pPr>
              <w:adjustRightInd w:val="0"/>
              <w:snapToGrid w:val="0"/>
              <w:spacing w:line="360" w:lineRule="auto"/>
              <w:rPr>
                <w:sz w:val="22"/>
                <w:szCs w:val="22"/>
                <w:highlight w:val="yellow"/>
              </w:rPr>
            </w:pPr>
            <w:r>
              <w:rPr>
                <w:rFonts w:hint="eastAsia"/>
                <w:sz w:val="22"/>
                <w:szCs w:val="22"/>
                <w:highlight w:val="yellow"/>
              </w:rPr>
              <w:t>&lt;4***</w:t>
            </w:r>
          </w:p>
        </w:tc>
      </w:tr>
      <w:tr w14:paraId="4EDB0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Pr>
          <w:p w14:paraId="1A32CD3D">
            <w:pPr>
              <w:adjustRightInd w:val="0"/>
              <w:snapToGrid w:val="0"/>
              <w:spacing w:line="360" w:lineRule="auto"/>
              <w:rPr>
                <w:sz w:val="22"/>
                <w:szCs w:val="22"/>
              </w:rPr>
            </w:pPr>
            <w:r>
              <w:rPr>
                <w:sz w:val="22"/>
                <w:szCs w:val="22"/>
              </w:rPr>
              <w:t>Clustered</w:t>
            </w:r>
          </w:p>
        </w:tc>
        <w:tc>
          <w:tcPr>
            <w:tcW w:w="344" w:type="pct"/>
          </w:tcPr>
          <w:p w14:paraId="61DFBD97">
            <w:pPr>
              <w:adjustRightInd w:val="0"/>
              <w:snapToGrid w:val="0"/>
              <w:spacing w:line="360" w:lineRule="auto"/>
              <w:rPr>
                <w:sz w:val="22"/>
                <w:szCs w:val="22"/>
              </w:rPr>
            </w:pPr>
            <w:r>
              <w:rPr>
                <w:sz w:val="22"/>
                <w:szCs w:val="22"/>
              </w:rPr>
              <w:t>32</w:t>
            </w:r>
          </w:p>
        </w:tc>
        <w:tc>
          <w:tcPr>
            <w:tcW w:w="736" w:type="pct"/>
            <w:tcBorders>
              <w:top w:val="nil"/>
              <w:left w:val="nil"/>
              <w:right w:val="nil"/>
            </w:tcBorders>
            <w:shd w:val="clear" w:color="auto" w:fill="auto"/>
            <w:vAlign w:val="center"/>
          </w:tcPr>
          <w:p w14:paraId="12D3B369">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right w:val="nil"/>
            </w:tcBorders>
            <w:shd w:val="clear" w:color="auto" w:fill="auto"/>
            <w:vAlign w:val="center"/>
          </w:tcPr>
          <w:p w14:paraId="26F1FD07">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right w:val="nil"/>
            </w:tcBorders>
            <w:shd w:val="clear" w:color="auto" w:fill="auto"/>
            <w:vAlign w:val="center"/>
          </w:tcPr>
          <w:p w14:paraId="3AF33BF6">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right w:val="nil"/>
            </w:tcBorders>
            <w:shd w:val="clear" w:color="auto" w:fill="auto"/>
            <w:vAlign w:val="center"/>
          </w:tcPr>
          <w:p w14:paraId="6BDE4FBF">
            <w:pPr>
              <w:adjustRightInd w:val="0"/>
              <w:snapToGrid w:val="0"/>
              <w:spacing w:line="360" w:lineRule="auto"/>
              <w:rPr>
                <w:sz w:val="22"/>
                <w:szCs w:val="22"/>
                <w:highlight w:val="yellow"/>
              </w:rPr>
            </w:pPr>
            <w:r>
              <w:rPr>
                <w:rFonts w:hint="eastAsia"/>
                <w:sz w:val="22"/>
                <w:szCs w:val="22"/>
                <w:highlight w:val="yellow"/>
              </w:rPr>
              <w:t>13.76***</w:t>
            </w:r>
          </w:p>
        </w:tc>
        <w:tc>
          <w:tcPr>
            <w:tcW w:w="734" w:type="pct"/>
            <w:tcBorders>
              <w:top w:val="nil"/>
              <w:left w:val="nil"/>
              <w:right w:val="nil"/>
            </w:tcBorders>
            <w:shd w:val="clear" w:color="auto" w:fill="auto"/>
            <w:vAlign w:val="center"/>
          </w:tcPr>
          <w:p w14:paraId="2157725E">
            <w:pPr>
              <w:adjustRightInd w:val="0"/>
              <w:snapToGrid w:val="0"/>
              <w:spacing w:line="360" w:lineRule="auto"/>
              <w:rPr>
                <w:sz w:val="22"/>
                <w:szCs w:val="22"/>
                <w:highlight w:val="yellow"/>
              </w:rPr>
            </w:pPr>
            <w:r>
              <w:rPr>
                <w:rFonts w:hint="eastAsia"/>
                <w:sz w:val="22"/>
                <w:szCs w:val="22"/>
                <w:highlight w:val="yellow"/>
              </w:rPr>
              <w:t>14.36***</w:t>
            </w:r>
          </w:p>
        </w:tc>
      </w:tr>
      <w:tr w14:paraId="160D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6" w:type="pct"/>
            <w:tcBorders>
              <w:bottom w:val="single" w:color="auto" w:sz="4" w:space="0"/>
            </w:tcBorders>
          </w:tcPr>
          <w:p w14:paraId="1B35FBF8">
            <w:pPr>
              <w:adjustRightInd w:val="0"/>
              <w:snapToGrid w:val="0"/>
              <w:spacing w:line="360" w:lineRule="auto"/>
              <w:rPr>
                <w:sz w:val="22"/>
                <w:szCs w:val="22"/>
              </w:rPr>
            </w:pPr>
            <w:r>
              <w:rPr>
                <w:sz w:val="22"/>
                <w:szCs w:val="22"/>
              </w:rPr>
              <w:t>Clustered</w:t>
            </w:r>
          </w:p>
        </w:tc>
        <w:tc>
          <w:tcPr>
            <w:tcW w:w="344" w:type="pct"/>
            <w:tcBorders>
              <w:bottom w:val="single" w:color="auto" w:sz="4" w:space="0"/>
            </w:tcBorders>
          </w:tcPr>
          <w:p w14:paraId="1248CB27">
            <w:pPr>
              <w:adjustRightInd w:val="0"/>
              <w:snapToGrid w:val="0"/>
              <w:spacing w:line="360" w:lineRule="auto"/>
              <w:rPr>
                <w:sz w:val="22"/>
                <w:szCs w:val="22"/>
              </w:rPr>
            </w:pPr>
            <w:r>
              <w:rPr>
                <w:sz w:val="22"/>
                <w:szCs w:val="22"/>
              </w:rPr>
              <w:t>64</w:t>
            </w:r>
          </w:p>
        </w:tc>
        <w:tc>
          <w:tcPr>
            <w:tcW w:w="736" w:type="pct"/>
            <w:tcBorders>
              <w:top w:val="nil"/>
              <w:left w:val="nil"/>
              <w:bottom w:val="single" w:color="auto" w:sz="4" w:space="0"/>
              <w:right w:val="nil"/>
            </w:tcBorders>
            <w:shd w:val="clear" w:color="auto" w:fill="auto"/>
            <w:vAlign w:val="center"/>
          </w:tcPr>
          <w:p w14:paraId="77ABA8EB">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bottom w:val="single" w:color="auto" w:sz="4" w:space="0"/>
              <w:right w:val="nil"/>
            </w:tcBorders>
            <w:shd w:val="clear" w:color="auto" w:fill="auto"/>
            <w:vAlign w:val="center"/>
          </w:tcPr>
          <w:p w14:paraId="793493A5">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bottom w:val="single" w:color="auto" w:sz="4" w:space="0"/>
              <w:right w:val="nil"/>
            </w:tcBorders>
            <w:shd w:val="clear" w:color="auto" w:fill="auto"/>
            <w:vAlign w:val="center"/>
          </w:tcPr>
          <w:p w14:paraId="330491A0">
            <w:pPr>
              <w:adjustRightInd w:val="0"/>
              <w:snapToGrid w:val="0"/>
              <w:spacing w:line="360" w:lineRule="auto"/>
              <w:rPr>
                <w:sz w:val="22"/>
                <w:szCs w:val="22"/>
                <w:highlight w:val="yellow"/>
              </w:rPr>
            </w:pPr>
            <w:r>
              <w:rPr>
                <w:rFonts w:hint="eastAsia"/>
                <w:sz w:val="22"/>
                <w:szCs w:val="22"/>
                <w:highlight w:val="yellow"/>
              </w:rPr>
              <w:t>—</w:t>
            </w:r>
          </w:p>
        </w:tc>
        <w:tc>
          <w:tcPr>
            <w:tcW w:w="736" w:type="pct"/>
            <w:tcBorders>
              <w:top w:val="nil"/>
              <w:left w:val="nil"/>
              <w:bottom w:val="single" w:color="auto" w:sz="4" w:space="0"/>
              <w:right w:val="nil"/>
            </w:tcBorders>
            <w:shd w:val="clear" w:color="auto" w:fill="auto"/>
            <w:vAlign w:val="center"/>
          </w:tcPr>
          <w:p w14:paraId="759476AC">
            <w:pPr>
              <w:adjustRightInd w:val="0"/>
              <w:snapToGrid w:val="0"/>
              <w:spacing w:line="360" w:lineRule="auto"/>
              <w:rPr>
                <w:sz w:val="22"/>
                <w:szCs w:val="22"/>
                <w:highlight w:val="yellow"/>
              </w:rPr>
            </w:pPr>
            <w:r>
              <w:rPr>
                <w:rFonts w:hint="eastAsia"/>
                <w:sz w:val="22"/>
                <w:szCs w:val="22"/>
                <w:highlight w:val="yellow"/>
              </w:rPr>
              <w:t>4.47***</w:t>
            </w:r>
          </w:p>
        </w:tc>
        <w:tc>
          <w:tcPr>
            <w:tcW w:w="734" w:type="pct"/>
            <w:tcBorders>
              <w:top w:val="nil"/>
              <w:left w:val="nil"/>
              <w:bottom w:val="single" w:color="auto" w:sz="4" w:space="0"/>
              <w:right w:val="nil"/>
            </w:tcBorders>
            <w:shd w:val="clear" w:color="auto" w:fill="auto"/>
            <w:vAlign w:val="center"/>
          </w:tcPr>
          <w:p w14:paraId="49406995">
            <w:pPr>
              <w:adjustRightInd w:val="0"/>
              <w:snapToGrid w:val="0"/>
              <w:spacing w:line="360" w:lineRule="auto"/>
              <w:rPr>
                <w:sz w:val="22"/>
                <w:szCs w:val="22"/>
                <w:highlight w:val="yellow"/>
              </w:rPr>
            </w:pPr>
            <w:r>
              <w:rPr>
                <w:rFonts w:hint="eastAsia"/>
                <w:sz w:val="22"/>
                <w:szCs w:val="22"/>
                <w:highlight w:val="yellow"/>
              </w:rPr>
              <w:t>&lt;4***</w:t>
            </w:r>
          </w:p>
        </w:tc>
      </w:tr>
    </w:tbl>
    <w:p w14:paraId="6BB17AA1">
      <w:pPr>
        <w:adjustRightInd w:val="0"/>
        <w:snapToGrid w:val="0"/>
        <w:spacing w:line="360" w:lineRule="auto"/>
        <w:rPr>
          <w:sz w:val="22"/>
          <w:szCs w:val="22"/>
        </w:rPr>
      </w:pPr>
      <w:r>
        <w:rPr>
          <w:sz w:val="22"/>
          <w:szCs w:val="22"/>
        </w:rPr>
        <w:t xml:space="preserve">Values are shown as observed PIESS values for predictive </w:t>
      </w:r>
      <w:r>
        <w:rPr>
          <w:i/>
          <w:iCs/>
          <w:sz w:val="22"/>
          <w:szCs w:val="22"/>
        </w:rPr>
        <w:t>R</w:t>
      </w:r>
      <w:r>
        <w:rPr>
          <w:sz w:val="22"/>
          <w:szCs w:val="22"/>
        </w:rPr>
        <w:t xml:space="preserve">².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i/>
          <w:iCs/>
          <w:sz w:val="22"/>
          <w:szCs w:val="22"/>
        </w:rPr>
        <w:t>s</w:t>
      </w:r>
      <w:r>
        <w:rPr>
          <w:sz w:val="22"/>
          <w:szCs w:val="22"/>
        </w:rPr>
        <w:t xml:space="preserve">)  ≥ </w:t>
      </w:r>
      <w:r>
        <w:rPr>
          <w:i/>
          <w:iCs/>
          <w:sz w:val="22"/>
          <w:szCs w:val="22"/>
        </w:rPr>
        <w:t>N</w:t>
      </w:r>
      <w:r>
        <w:rPr>
          <w:sz w:val="22"/>
          <w:szCs w:val="22"/>
        </w:rPr>
        <w:t xml:space="preserve">. The identical dispersed PIESS values for </w:t>
      </w:r>
      <w:r>
        <w:rPr>
          <w:i/>
          <w:iCs/>
          <w:sz w:val="22"/>
          <w:szCs w:val="22"/>
        </w:rPr>
        <w:t>N</w:t>
      </w:r>
      <w:r>
        <w:rPr>
          <w:sz w:val="22"/>
          <w:szCs w:val="22"/>
        </w:rPr>
        <w:t xml:space="preserve"> = 128 and </w:t>
      </w:r>
      <w:r>
        <w:rPr>
          <w:i/>
          <w:iCs/>
          <w:sz w:val="22"/>
          <w:szCs w:val="22"/>
        </w:rPr>
        <w:t>N</w:t>
      </w:r>
      <w:r>
        <w:rPr>
          <w:sz w:val="22"/>
          <w:szCs w:val="22"/>
        </w:rPr>
        <w:t xml:space="preserve"> = 256 at </w:t>
      </w:r>
      <w:r>
        <w:rPr>
          <w:i/>
          <w:iCs/>
          <w:sz w:val="22"/>
          <w:szCs w:val="22"/>
        </w:rPr>
        <w:t>s</w:t>
      </w:r>
      <w:r>
        <w:rPr>
          <w:sz w:val="22"/>
          <w:szCs w:val="22"/>
        </w:rPr>
        <w:t xml:space="preserve"> = 8 reflect recovery of the same selected subset from the nested candidate pools.</w:t>
      </w:r>
    </w:p>
    <w:bookmarkEnd w:id="9"/>
    <w:p w14:paraId="489F7C15">
      <w:pPr>
        <w:adjustRightInd w:val="0"/>
        <w:snapToGrid w:val="0"/>
        <w:spacing w:line="360" w:lineRule="auto"/>
      </w:pPr>
    </w:p>
    <w:p w14:paraId="1D559772">
      <w:pPr>
        <w:adjustRightInd w:val="0"/>
        <w:snapToGrid w:val="0"/>
        <w:spacing w:line="360" w:lineRule="auto"/>
      </w:pPr>
    </w:p>
    <w:p w14:paraId="341DA79F">
      <w:pPr>
        <w:adjustRightInd w:val="0"/>
        <w:snapToGrid w:val="0"/>
        <w:spacing w:line="360" w:lineRule="auto"/>
      </w:pPr>
    </w:p>
    <w:p w14:paraId="5CF727C1">
      <w:pPr>
        <w:adjustRightInd w:val="0"/>
        <w:snapToGrid w:val="0"/>
        <w:spacing w:line="360" w:lineRule="auto"/>
      </w:pPr>
      <w:r>
        <w:tab/>
      </w:r>
      <w:r>
        <w:t>Together, the BM-based sampling-design analyses show that phylogenetically informed subsetting can reduce internal dependence in relative terms, but it does not necessarily eliminate the effective-information loss caused by shared evolutionary history. This distinction is central for machine-learning applications: a subset may be phylogenetically more dispersed than random alternatives, yet still provide much less information for estimating predictive performance than its nominal sample size implies.</w:t>
      </w:r>
    </w:p>
    <w:p w14:paraId="1DF7F675">
      <w:pPr>
        <w:adjustRightInd w:val="0"/>
        <w:snapToGrid w:val="0"/>
        <w:spacing w:line="360" w:lineRule="auto"/>
      </w:pPr>
    </w:p>
    <w:p w14:paraId="2FE6DD1A">
      <w:pPr>
        <w:adjustRightInd w:val="0"/>
        <w:snapToGrid w:val="0"/>
        <w:spacing w:line="360" w:lineRule="auto"/>
        <w:jc w:val="center"/>
        <w:rPr>
          <w:b/>
          <w:bCs/>
          <w:i/>
          <w:iCs/>
        </w:rPr>
      </w:pPr>
      <w:r>
        <w:rPr>
          <w:b/>
          <w:bCs/>
          <w:i/>
          <w:iCs/>
        </w:rPr>
        <w:t>Sensitivity of Dependence and Effective Information to Covariance Assumptions</w:t>
      </w:r>
    </w:p>
    <w:bookmarkEnd w:id="8"/>
    <w:p w14:paraId="79FB1883">
      <w:pPr>
        <w:adjustRightInd w:val="0"/>
        <w:snapToGrid w:val="0"/>
        <w:spacing w:line="360" w:lineRule="auto"/>
      </w:pPr>
      <w:r>
        <w:tab/>
      </w:r>
      <w:r>
        <w:t xml:space="preserve">Having evaluated the effect of sampling design under the default BM covariance structure, we next asked whether the dependence and effective-information patterns were sensitive to the assumed covariance model. To assess whether the </w:t>
      </w:r>
      <w:r>
        <w:rPr>
          <w:i/>
          <w:iCs/>
        </w:rPr>
        <w:t>R</w:t>
      </w:r>
      <w:r>
        <w:rPr>
          <w:i/>
          <w:iCs/>
          <w:vertAlign w:val="subscript"/>
        </w:rPr>
        <w:t>S</w:t>
      </w:r>
      <w:r>
        <w:t xml:space="preserve">-based conclusions depended on covariance assumptions, we repeated the diagnostics under </w:t>
      </w:r>
      <w:r>
        <w:rPr>
          <w:i/>
          <w:iCs/>
        </w:rPr>
        <w:t>λ</w:t>
      </w:r>
      <w:r>
        <w:t xml:space="preserve">-transformed BM and OU covariance structures for four representative </w:t>
      </w:r>
      <w:r>
        <w:rPr>
          <w:i/>
          <w:iCs/>
        </w:rPr>
        <w:t>N</w:t>
      </w:r>
      <w:r>
        <w:t>–</w:t>
      </w:r>
      <w:r>
        <w:rPr>
          <w:i/>
          <w:iCs/>
        </w:rPr>
        <w:t>s</w:t>
      </w:r>
      <w:r>
        <w:t xml:space="preserve"> combinations: </w:t>
      </w:r>
      <w:r>
        <w:rPr>
          <w:i/>
          <w:iCs/>
        </w:rPr>
        <w:t>N</w:t>
      </w:r>
      <w:r>
        <w:t xml:space="preserve"> = 128, </w:t>
      </w:r>
      <w:r>
        <w:rPr>
          <w:i/>
          <w:iCs/>
        </w:rPr>
        <w:t>s</w:t>
      </w:r>
      <w:r>
        <w:t xml:space="preserve"> = 8; </w:t>
      </w:r>
      <w:r>
        <w:rPr>
          <w:i/>
          <w:iCs/>
        </w:rPr>
        <w:t>N</w:t>
      </w:r>
      <w:r>
        <w:t xml:space="preserve"> = </w:t>
      </w:r>
      <w:r>
        <w:rPr>
          <w:i/>
          <w:iCs/>
        </w:rPr>
        <w:t>128</w:t>
      </w:r>
      <w:r>
        <w:t xml:space="preserve">, s = </w:t>
      </w:r>
      <w:r>
        <w:rPr>
          <w:i/>
          <w:iCs/>
        </w:rPr>
        <w:t>64</w:t>
      </w:r>
      <w:r>
        <w:t xml:space="preserve">; </w:t>
      </w:r>
      <w:r>
        <w:rPr>
          <w:i/>
          <w:iCs/>
        </w:rPr>
        <w:t>N</w:t>
      </w:r>
      <w:r>
        <w:t xml:space="preserve"> = 512, </w:t>
      </w:r>
      <w:r>
        <w:rPr>
          <w:i/>
          <w:iCs/>
        </w:rPr>
        <w:t>s</w:t>
      </w:r>
      <w:r>
        <w:t xml:space="preserve"> = 8; and </w:t>
      </w:r>
      <w:r>
        <w:rPr>
          <w:i/>
          <w:iCs/>
        </w:rPr>
        <w:t>N</w:t>
      </w:r>
      <w:r>
        <w:t xml:space="preserve"> = 512, </w:t>
      </w:r>
      <w:r>
        <w:rPr>
          <w:i/>
          <w:iCs/>
        </w:rPr>
        <w:t>s</w:t>
      </w:r>
      <w:r>
        <w:t xml:space="preserve"> = 64. These combinations were chosen to span small versus large candidate pools and low versus high sampling fractions without expanding the full </w:t>
      </w:r>
      <w:r>
        <w:rPr>
          <w:i/>
          <w:iCs/>
        </w:rPr>
        <w:t>N</w:t>
      </w:r>
      <w:r>
        <w:t>–</w:t>
      </w:r>
      <w:r>
        <w:rPr>
          <w:i/>
          <w:iCs/>
        </w:rPr>
        <w:t>s</w:t>
      </w:r>
      <w:r>
        <w:t xml:space="preserve"> grid. Across these representative settings, covariance assumptions affected the absolute magnitude of the </w:t>
      </w:r>
      <w:r>
        <w:rPr>
          <w:i/>
          <w:iCs/>
        </w:rPr>
        <w:t>R</w:t>
      </w:r>
      <w:r>
        <w:rPr>
          <w:i/>
          <w:iCs/>
          <w:vertAlign w:val="subscript"/>
        </w:rPr>
        <w:t>S</w:t>
      </w:r>
      <w:r>
        <w:t xml:space="preserve">-based diagnostics, as illustrated by MIESS in Table 3 and by MeanOffCor and MaxOffCor in Supplementary Tables S9 and S10. Smaller λ values reduced MeanOffCor and generally increased the effective sample-size estimate, because the off-diagonal phylogenetic covariance was progressively downweighted. At </w:t>
      </w:r>
      <w:r>
        <w:rPr>
          <w:i/>
          <w:iCs/>
        </w:rPr>
        <w:t>λ</w:t>
      </w:r>
      <w:r>
        <w:t xml:space="preserve"> = 0, where all off-diagonal phylogenetic covariance was removed, MIESS equaled the nominal subset size in all four representative </w:t>
      </w:r>
      <w:r>
        <w:rPr>
          <w:i/>
          <w:iCs/>
        </w:rPr>
        <w:t>N–s</w:t>
      </w:r>
      <w:r>
        <w:t xml:space="preserve"> combinations, providing an internal consistency check for the effective sample-size calculation. Similarly, shorter OU half-lives reduced long-range covariance, lowered off-diagonal correlation, and increased MIESS, whereas longer half-lives produced patterns closer to the BM case. EB covariance structures also changed the magnitude of the diagnostics by altering how evolutionary covariance accumulated through time. Nevertheless, under comparable covariance assumptions, dispersed subsets generally showed lower MeanOffCor and MaxOffCor and higher MIESS than random subsets, whereas clustered subsets generally showed higher MeanOffCor and lower MIESS than random subsets. This indicates that the qualitative ordering of subset types was not limited to the default BM covariance structure.</w:t>
      </w:r>
    </w:p>
    <w:p w14:paraId="61FBF198">
      <w:pPr>
        <w:adjustRightInd w:val="0"/>
        <w:snapToGrid w:val="0"/>
        <w:spacing w:line="360" w:lineRule="auto"/>
      </w:pPr>
      <w:r>
        <w:tab/>
      </w:r>
      <w:r>
        <w:t>The interpretation of MaxOffCor, however, differs between dispersed and clustered subsets. For dispersed subsets, MaxOffCor directly evaluates whether the selected subset still contains a strongly correlated species pair, and is therefore a stringent diagnostic of residual local dependence. For clustered subsets, MaxOffCor remains a valid summary but is less discriminating, especially when the target subset represents a larger fraction of the candidate pool, because random subsets are then more likely to contain at least one highly correlated species pair. Therefore, nonsignificant clustered-subset MaxOffCor values (Supplementary Tables S6 and S10) do not necessarily indicate weak clustering; rather, they indicate that the strongest pairwise dependence in the clustered subset was not clearly higher than the strongest pairwise dependence already present in random subsets of the same size drawn from the same candidate pool.</w:t>
      </w:r>
      <w:r>
        <w:rPr>
          <w:rFonts w:hint="eastAsia" w:ascii="宋体" w:hAnsi="宋体" w:eastAsia="宋体" w:cs="宋体"/>
        </w:rPr>
        <w:t>这一段可能需要简化。</w:t>
      </w:r>
    </w:p>
    <w:p w14:paraId="656FBE1F">
      <w:pPr>
        <w:adjustRightInd w:val="0"/>
        <w:snapToGrid w:val="0"/>
        <w:spacing w:line="360" w:lineRule="auto"/>
      </w:pPr>
    </w:p>
    <w:p w14:paraId="413058D0">
      <w:pPr>
        <w:adjustRightInd w:val="0"/>
        <w:snapToGrid w:val="0"/>
        <w:spacing w:line="360" w:lineRule="auto"/>
        <w:rPr>
          <w:sz w:val="22"/>
          <w:szCs w:val="22"/>
        </w:rPr>
      </w:pPr>
      <w:r>
        <w:rPr>
          <w:sz w:val="22"/>
          <w:szCs w:val="22"/>
        </w:rPr>
        <w:t>Table 3. Mean-based independence-equivalent sample size (MIESS) under alternative covariance assumptions in the nested Cricetidae sensitivity analysis.</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0"/>
        <w:gridCol w:w="1708"/>
        <w:gridCol w:w="1818"/>
        <w:gridCol w:w="1708"/>
        <w:gridCol w:w="1928"/>
      </w:tblGrid>
      <w:tr w14:paraId="7E44A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bottom w:val="single" w:color="auto" w:sz="4" w:space="0"/>
            </w:tcBorders>
          </w:tcPr>
          <w:p w14:paraId="2632EE91">
            <w:pPr>
              <w:adjustRightInd w:val="0"/>
              <w:snapToGrid w:val="0"/>
              <w:spacing w:line="360" w:lineRule="auto"/>
              <w:rPr>
                <w:sz w:val="22"/>
                <w:szCs w:val="22"/>
              </w:rPr>
            </w:pPr>
            <w:r>
              <w:rPr>
                <w:sz w:val="22"/>
                <w:szCs w:val="22"/>
              </w:rPr>
              <w:t>Covariance setting</w:t>
            </w:r>
          </w:p>
        </w:tc>
        <w:tc>
          <w:tcPr>
            <w:tcW w:w="0" w:type="auto"/>
            <w:tcBorders>
              <w:top w:val="single" w:color="auto" w:sz="4" w:space="0"/>
              <w:bottom w:val="single" w:color="auto" w:sz="4" w:space="0"/>
            </w:tcBorders>
          </w:tcPr>
          <w:p w14:paraId="28A2BB63">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color="auto" w:sz="4" w:space="0"/>
              <w:bottom w:val="single" w:color="auto" w:sz="4" w:space="0"/>
            </w:tcBorders>
          </w:tcPr>
          <w:p w14:paraId="05AF8C41">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color="auto" w:sz="4" w:space="0"/>
              <w:bottom w:val="single" w:color="auto" w:sz="4" w:space="0"/>
            </w:tcBorders>
          </w:tcPr>
          <w:p w14:paraId="06908700">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color="auto" w:sz="4" w:space="0"/>
              <w:bottom w:val="single" w:color="auto" w:sz="4" w:space="0"/>
            </w:tcBorders>
          </w:tcPr>
          <w:p w14:paraId="18F3F1CB">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14:paraId="48CD0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Borders>
              <w:top w:val="single" w:color="auto" w:sz="4" w:space="0"/>
            </w:tcBorders>
          </w:tcPr>
          <w:p w14:paraId="78582DF7">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14:paraId="65312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1505B6D">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14:paraId="5C747B24">
            <w:pPr>
              <w:adjustRightInd w:val="0"/>
              <w:snapToGrid w:val="0"/>
              <w:spacing w:line="360" w:lineRule="auto"/>
              <w:rPr>
                <w:sz w:val="22"/>
                <w:szCs w:val="22"/>
              </w:rPr>
            </w:pPr>
            <w:r>
              <w:rPr>
                <w:sz w:val="22"/>
                <w:szCs w:val="22"/>
              </w:rPr>
              <w:t>8.00/8.00</w:t>
            </w:r>
          </w:p>
        </w:tc>
        <w:tc>
          <w:tcPr>
            <w:tcW w:w="0" w:type="auto"/>
            <w:tcBorders>
              <w:top w:val="nil"/>
              <w:left w:val="nil"/>
              <w:bottom w:val="nil"/>
              <w:right w:val="nil"/>
            </w:tcBorders>
            <w:shd w:val="clear" w:color="auto" w:fill="auto"/>
            <w:vAlign w:val="bottom"/>
          </w:tcPr>
          <w:p w14:paraId="6CC97EC9">
            <w:pPr>
              <w:adjustRightInd w:val="0"/>
              <w:snapToGrid w:val="0"/>
              <w:spacing w:line="360" w:lineRule="auto"/>
              <w:rPr>
                <w:sz w:val="22"/>
                <w:szCs w:val="22"/>
              </w:rPr>
            </w:pPr>
            <w:r>
              <w:rPr>
                <w:sz w:val="22"/>
                <w:szCs w:val="22"/>
              </w:rPr>
              <w:t>64.00/64.00</w:t>
            </w:r>
          </w:p>
        </w:tc>
        <w:tc>
          <w:tcPr>
            <w:tcW w:w="0" w:type="auto"/>
            <w:tcBorders>
              <w:top w:val="nil"/>
              <w:left w:val="nil"/>
              <w:bottom w:val="nil"/>
              <w:right w:val="nil"/>
            </w:tcBorders>
            <w:shd w:val="clear" w:color="auto" w:fill="auto"/>
            <w:vAlign w:val="bottom"/>
          </w:tcPr>
          <w:p w14:paraId="0539D62C">
            <w:pPr>
              <w:adjustRightInd w:val="0"/>
              <w:snapToGrid w:val="0"/>
              <w:spacing w:line="360" w:lineRule="auto"/>
              <w:rPr>
                <w:sz w:val="22"/>
                <w:szCs w:val="22"/>
              </w:rPr>
            </w:pPr>
            <w:r>
              <w:rPr>
                <w:sz w:val="22"/>
                <w:szCs w:val="22"/>
              </w:rPr>
              <w:t>8.00/8.00</w:t>
            </w:r>
          </w:p>
        </w:tc>
        <w:tc>
          <w:tcPr>
            <w:tcW w:w="0" w:type="auto"/>
            <w:tcBorders>
              <w:top w:val="nil"/>
              <w:left w:val="nil"/>
              <w:bottom w:val="nil"/>
              <w:right w:val="nil"/>
            </w:tcBorders>
            <w:shd w:val="clear" w:color="auto" w:fill="auto"/>
            <w:vAlign w:val="bottom"/>
          </w:tcPr>
          <w:p w14:paraId="1FD1B005">
            <w:pPr>
              <w:adjustRightInd w:val="0"/>
              <w:snapToGrid w:val="0"/>
              <w:spacing w:line="360" w:lineRule="auto"/>
              <w:rPr>
                <w:sz w:val="22"/>
                <w:szCs w:val="22"/>
              </w:rPr>
            </w:pPr>
            <w:r>
              <w:rPr>
                <w:sz w:val="22"/>
                <w:szCs w:val="22"/>
              </w:rPr>
              <w:t>64.00/64.00</w:t>
            </w:r>
          </w:p>
        </w:tc>
      </w:tr>
      <w:tr w14:paraId="6A727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6BB6BF30">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14:paraId="1E153F58">
            <w:pPr>
              <w:adjustRightInd w:val="0"/>
              <w:snapToGrid w:val="0"/>
              <w:spacing w:line="360" w:lineRule="auto"/>
              <w:rPr>
                <w:sz w:val="22"/>
                <w:szCs w:val="22"/>
              </w:rPr>
            </w:pPr>
            <w:r>
              <w:rPr>
                <w:sz w:val="22"/>
                <w:szCs w:val="22"/>
              </w:rPr>
              <w:t>7.75***/4.89***</w:t>
            </w:r>
          </w:p>
        </w:tc>
        <w:tc>
          <w:tcPr>
            <w:tcW w:w="0" w:type="auto"/>
            <w:tcBorders>
              <w:top w:val="nil"/>
              <w:left w:val="nil"/>
              <w:bottom w:val="nil"/>
              <w:right w:val="nil"/>
            </w:tcBorders>
            <w:shd w:val="clear" w:color="auto" w:fill="auto"/>
            <w:vAlign w:val="bottom"/>
          </w:tcPr>
          <w:p w14:paraId="3E96AED4">
            <w:pPr>
              <w:adjustRightInd w:val="0"/>
              <w:snapToGrid w:val="0"/>
              <w:spacing w:line="360" w:lineRule="auto"/>
              <w:rPr>
                <w:sz w:val="22"/>
                <w:szCs w:val="22"/>
              </w:rPr>
            </w:pPr>
            <w:r>
              <w:rPr>
                <w:sz w:val="22"/>
                <w:szCs w:val="22"/>
              </w:rPr>
              <w:t>31.32/15.08***</w:t>
            </w:r>
          </w:p>
        </w:tc>
        <w:tc>
          <w:tcPr>
            <w:tcW w:w="0" w:type="auto"/>
            <w:tcBorders>
              <w:top w:val="nil"/>
              <w:left w:val="nil"/>
              <w:bottom w:val="nil"/>
              <w:right w:val="nil"/>
            </w:tcBorders>
            <w:shd w:val="clear" w:color="auto" w:fill="auto"/>
            <w:vAlign w:val="bottom"/>
          </w:tcPr>
          <w:p w14:paraId="111311C9">
            <w:pPr>
              <w:adjustRightInd w:val="0"/>
              <w:snapToGrid w:val="0"/>
              <w:spacing w:line="360" w:lineRule="auto"/>
              <w:rPr>
                <w:sz w:val="22"/>
                <w:szCs w:val="22"/>
              </w:rPr>
            </w:pPr>
            <w:r>
              <w:rPr>
                <w:sz w:val="22"/>
                <w:szCs w:val="22"/>
              </w:rPr>
              <w:t>7.77***/4.81***</w:t>
            </w:r>
          </w:p>
        </w:tc>
        <w:tc>
          <w:tcPr>
            <w:tcW w:w="0" w:type="auto"/>
            <w:tcBorders>
              <w:top w:val="nil"/>
              <w:left w:val="nil"/>
              <w:bottom w:val="nil"/>
              <w:right w:val="nil"/>
            </w:tcBorders>
            <w:shd w:val="clear" w:color="auto" w:fill="auto"/>
            <w:vAlign w:val="bottom"/>
          </w:tcPr>
          <w:p w14:paraId="188276A4">
            <w:pPr>
              <w:adjustRightInd w:val="0"/>
              <w:snapToGrid w:val="0"/>
              <w:spacing w:line="360" w:lineRule="auto"/>
              <w:rPr>
                <w:sz w:val="22"/>
                <w:szCs w:val="22"/>
              </w:rPr>
            </w:pPr>
            <w:r>
              <w:rPr>
                <w:sz w:val="22"/>
                <w:szCs w:val="22"/>
              </w:rPr>
              <w:t>34.14***/10.82***</w:t>
            </w:r>
          </w:p>
        </w:tc>
      </w:tr>
      <w:tr w14:paraId="46CB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90454F8">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14:paraId="46A51432">
            <w:pPr>
              <w:adjustRightInd w:val="0"/>
              <w:snapToGrid w:val="0"/>
              <w:spacing w:line="360" w:lineRule="auto"/>
              <w:rPr>
                <w:sz w:val="22"/>
                <w:szCs w:val="22"/>
              </w:rPr>
            </w:pPr>
            <w:r>
              <w:rPr>
                <w:sz w:val="22"/>
                <w:szCs w:val="22"/>
              </w:rPr>
              <w:t>7.41***/3.09***</w:t>
            </w:r>
          </w:p>
        </w:tc>
        <w:tc>
          <w:tcPr>
            <w:tcW w:w="0" w:type="auto"/>
            <w:tcBorders>
              <w:top w:val="nil"/>
              <w:left w:val="nil"/>
              <w:bottom w:val="nil"/>
              <w:right w:val="nil"/>
            </w:tcBorders>
            <w:shd w:val="clear" w:color="auto" w:fill="auto"/>
            <w:vAlign w:val="bottom"/>
          </w:tcPr>
          <w:p w14:paraId="69180037">
            <w:pPr>
              <w:adjustRightInd w:val="0"/>
              <w:snapToGrid w:val="0"/>
              <w:spacing w:line="360" w:lineRule="auto"/>
              <w:rPr>
                <w:sz w:val="22"/>
                <w:szCs w:val="22"/>
              </w:rPr>
            </w:pPr>
            <w:r>
              <w:rPr>
                <w:sz w:val="22"/>
                <w:szCs w:val="22"/>
              </w:rPr>
              <w:t>19.28*/7.06***</w:t>
            </w:r>
          </w:p>
        </w:tc>
        <w:tc>
          <w:tcPr>
            <w:tcW w:w="0" w:type="auto"/>
            <w:tcBorders>
              <w:top w:val="nil"/>
              <w:left w:val="nil"/>
              <w:bottom w:val="nil"/>
              <w:right w:val="nil"/>
            </w:tcBorders>
            <w:shd w:val="clear" w:color="auto" w:fill="auto"/>
            <w:vAlign w:val="bottom"/>
          </w:tcPr>
          <w:p w14:paraId="58BBBF35">
            <w:pPr>
              <w:adjustRightInd w:val="0"/>
              <w:snapToGrid w:val="0"/>
              <w:spacing w:line="360" w:lineRule="auto"/>
              <w:rPr>
                <w:sz w:val="22"/>
                <w:szCs w:val="22"/>
              </w:rPr>
            </w:pPr>
            <w:r>
              <w:rPr>
                <w:sz w:val="22"/>
                <w:szCs w:val="22"/>
              </w:rPr>
              <w:t>7.45***/3.01***</w:t>
            </w:r>
          </w:p>
        </w:tc>
        <w:tc>
          <w:tcPr>
            <w:tcW w:w="0" w:type="auto"/>
            <w:tcBorders>
              <w:top w:val="nil"/>
              <w:left w:val="nil"/>
              <w:bottom w:val="nil"/>
              <w:right w:val="nil"/>
            </w:tcBorders>
            <w:shd w:val="clear" w:color="auto" w:fill="auto"/>
            <w:vAlign w:val="bottom"/>
          </w:tcPr>
          <w:p w14:paraId="0482B419">
            <w:pPr>
              <w:adjustRightInd w:val="0"/>
              <w:snapToGrid w:val="0"/>
              <w:spacing w:line="360" w:lineRule="auto"/>
              <w:rPr>
                <w:sz w:val="22"/>
                <w:szCs w:val="22"/>
              </w:rPr>
            </w:pPr>
            <w:r>
              <w:rPr>
                <w:sz w:val="22"/>
                <w:szCs w:val="22"/>
              </w:rPr>
              <w:t>22.05***/4.83***</w:t>
            </w:r>
          </w:p>
        </w:tc>
      </w:tr>
      <w:tr w14:paraId="17F9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69A2609">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14:paraId="257414BF">
            <w:pPr>
              <w:adjustRightInd w:val="0"/>
              <w:snapToGrid w:val="0"/>
              <w:spacing w:line="360" w:lineRule="auto"/>
              <w:rPr>
                <w:sz w:val="22"/>
                <w:szCs w:val="22"/>
              </w:rPr>
            </w:pPr>
            <w:r>
              <w:rPr>
                <w:sz w:val="22"/>
                <w:szCs w:val="22"/>
              </w:rPr>
              <w:t>6.91***/1.92***</w:t>
            </w:r>
          </w:p>
        </w:tc>
        <w:tc>
          <w:tcPr>
            <w:tcW w:w="0" w:type="auto"/>
            <w:tcBorders>
              <w:top w:val="nil"/>
              <w:left w:val="nil"/>
              <w:bottom w:val="nil"/>
              <w:right w:val="nil"/>
            </w:tcBorders>
            <w:shd w:val="clear" w:color="auto" w:fill="auto"/>
            <w:vAlign w:val="bottom"/>
          </w:tcPr>
          <w:p w14:paraId="7D856964">
            <w:pPr>
              <w:adjustRightInd w:val="0"/>
              <w:snapToGrid w:val="0"/>
              <w:spacing w:line="360" w:lineRule="auto"/>
              <w:rPr>
                <w:sz w:val="22"/>
                <w:szCs w:val="22"/>
              </w:rPr>
            </w:pPr>
            <w:r>
              <w:rPr>
                <w:sz w:val="22"/>
                <w:szCs w:val="22"/>
              </w:rPr>
              <w:t>12.47**/3.76***</w:t>
            </w:r>
          </w:p>
        </w:tc>
        <w:tc>
          <w:tcPr>
            <w:tcW w:w="0" w:type="auto"/>
            <w:tcBorders>
              <w:top w:val="nil"/>
              <w:left w:val="nil"/>
              <w:bottom w:val="nil"/>
              <w:right w:val="nil"/>
            </w:tcBorders>
            <w:shd w:val="clear" w:color="auto" w:fill="auto"/>
            <w:vAlign w:val="bottom"/>
          </w:tcPr>
          <w:p w14:paraId="24194D44">
            <w:pPr>
              <w:adjustRightInd w:val="0"/>
              <w:snapToGrid w:val="0"/>
              <w:spacing w:line="360" w:lineRule="auto"/>
              <w:rPr>
                <w:sz w:val="22"/>
                <w:szCs w:val="22"/>
              </w:rPr>
            </w:pPr>
            <w:r>
              <w:rPr>
                <w:sz w:val="22"/>
                <w:szCs w:val="22"/>
              </w:rPr>
              <w:t>6.97***/1.86***</w:t>
            </w:r>
          </w:p>
        </w:tc>
        <w:tc>
          <w:tcPr>
            <w:tcW w:w="0" w:type="auto"/>
            <w:tcBorders>
              <w:top w:val="nil"/>
              <w:left w:val="nil"/>
              <w:bottom w:val="nil"/>
              <w:right w:val="nil"/>
            </w:tcBorders>
            <w:shd w:val="clear" w:color="auto" w:fill="auto"/>
            <w:vAlign w:val="bottom"/>
          </w:tcPr>
          <w:p w14:paraId="42F92C3C">
            <w:pPr>
              <w:adjustRightInd w:val="0"/>
              <w:snapToGrid w:val="0"/>
              <w:spacing w:line="360" w:lineRule="auto"/>
              <w:rPr>
                <w:sz w:val="22"/>
                <w:szCs w:val="22"/>
              </w:rPr>
            </w:pPr>
            <w:r>
              <w:rPr>
                <w:sz w:val="22"/>
                <w:szCs w:val="22"/>
              </w:rPr>
              <w:t>14.49***/2.52***</w:t>
            </w:r>
          </w:p>
        </w:tc>
      </w:tr>
      <w:tr w14:paraId="23AE9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3B1B97E">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14:paraId="1B5BFB19">
            <w:pPr>
              <w:adjustRightInd w:val="0"/>
              <w:snapToGrid w:val="0"/>
              <w:spacing w:line="360" w:lineRule="auto"/>
              <w:rPr>
                <w:sz w:val="22"/>
                <w:szCs w:val="22"/>
              </w:rPr>
            </w:pPr>
            <w:r>
              <w:rPr>
                <w:sz w:val="22"/>
                <w:szCs w:val="22"/>
              </w:rPr>
              <w:t>6.49***/1.39***</w:t>
            </w:r>
          </w:p>
        </w:tc>
        <w:tc>
          <w:tcPr>
            <w:tcW w:w="0" w:type="auto"/>
            <w:tcBorders>
              <w:top w:val="nil"/>
              <w:left w:val="nil"/>
              <w:bottom w:val="nil"/>
              <w:right w:val="nil"/>
            </w:tcBorders>
            <w:shd w:val="clear" w:color="auto" w:fill="auto"/>
            <w:vAlign w:val="bottom"/>
          </w:tcPr>
          <w:p w14:paraId="5700C2CE">
            <w:pPr>
              <w:adjustRightInd w:val="0"/>
              <w:snapToGrid w:val="0"/>
              <w:spacing w:line="360" w:lineRule="auto"/>
              <w:rPr>
                <w:sz w:val="22"/>
                <w:szCs w:val="22"/>
              </w:rPr>
            </w:pPr>
            <w:r>
              <w:rPr>
                <w:sz w:val="22"/>
                <w:szCs w:val="22"/>
              </w:rPr>
              <w:t>9.53**/2.57***</w:t>
            </w:r>
          </w:p>
        </w:tc>
        <w:tc>
          <w:tcPr>
            <w:tcW w:w="0" w:type="auto"/>
            <w:tcBorders>
              <w:top w:val="nil"/>
              <w:left w:val="nil"/>
              <w:bottom w:val="nil"/>
              <w:right w:val="nil"/>
            </w:tcBorders>
            <w:shd w:val="clear" w:color="auto" w:fill="auto"/>
            <w:vAlign w:val="bottom"/>
          </w:tcPr>
          <w:p w14:paraId="2C08AFFE">
            <w:pPr>
              <w:adjustRightInd w:val="0"/>
              <w:snapToGrid w:val="0"/>
              <w:spacing w:line="360" w:lineRule="auto"/>
              <w:rPr>
                <w:sz w:val="22"/>
                <w:szCs w:val="22"/>
              </w:rPr>
            </w:pPr>
            <w:r>
              <w:rPr>
                <w:sz w:val="22"/>
                <w:szCs w:val="22"/>
              </w:rPr>
              <w:t>6.56***/1.34***</w:t>
            </w:r>
          </w:p>
        </w:tc>
        <w:tc>
          <w:tcPr>
            <w:tcW w:w="0" w:type="auto"/>
            <w:tcBorders>
              <w:top w:val="nil"/>
              <w:left w:val="nil"/>
              <w:bottom w:val="nil"/>
              <w:right w:val="nil"/>
            </w:tcBorders>
            <w:shd w:val="clear" w:color="auto" w:fill="auto"/>
            <w:vAlign w:val="bottom"/>
          </w:tcPr>
          <w:p w14:paraId="21631CD9">
            <w:pPr>
              <w:adjustRightInd w:val="0"/>
              <w:snapToGrid w:val="0"/>
              <w:spacing w:line="360" w:lineRule="auto"/>
              <w:rPr>
                <w:sz w:val="22"/>
                <w:szCs w:val="22"/>
              </w:rPr>
            </w:pPr>
            <w:r>
              <w:rPr>
                <w:sz w:val="22"/>
                <w:szCs w:val="22"/>
              </w:rPr>
              <w:t>10.98***/1.71***</w:t>
            </w:r>
          </w:p>
        </w:tc>
      </w:tr>
      <w:tr w14:paraId="53370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2630C24">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14:paraId="6AF979AE">
            <w:pPr>
              <w:adjustRightInd w:val="0"/>
              <w:snapToGrid w:val="0"/>
              <w:spacing w:line="360" w:lineRule="auto"/>
              <w:rPr>
                <w:sz w:val="22"/>
                <w:szCs w:val="22"/>
              </w:rPr>
            </w:pPr>
            <w:r>
              <w:rPr>
                <w:sz w:val="22"/>
                <w:szCs w:val="22"/>
              </w:rPr>
              <w:t>6.12***/1.10***</w:t>
            </w:r>
          </w:p>
        </w:tc>
        <w:tc>
          <w:tcPr>
            <w:tcW w:w="0" w:type="auto"/>
            <w:tcBorders>
              <w:top w:val="nil"/>
              <w:left w:val="nil"/>
              <w:bottom w:val="nil"/>
              <w:right w:val="nil"/>
            </w:tcBorders>
            <w:shd w:val="clear" w:color="auto" w:fill="auto"/>
            <w:vAlign w:val="bottom"/>
          </w:tcPr>
          <w:p w14:paraId="10C6D1D5">
            <w:pPr>
              <w:adjustRightInd w:val="0"/>
              <w:snapToGrid w:val="0"/>
              <w:spacing w:line="360" w:lineRule="auto"/>
              <w:rPr>
                <w:sz w:val="22"/>
                <w:szCs w:val="22"/>
              </w:rPr>
            </w:pPr>
            <w:r>
              <w:rPr>
                <w:sz w:val="22"/>
                <w:szCs w:val="22"/>
              </w:rPr>
              <w:t>7.85***/1.96***</w:t>
            </w:r>
          </w:p>
        </w:tc>
        <w:tc>
          <w:tcPr>
            <w:tcW w:w="0" w:type="auto"/>
            <w:tcBorders>
              <w:top w:val="nil"/>
              <w:left w:val="nil"/>
              <w:bottom w:val="nil"/>
              <w:right w:val="nil"/>
            </w:tcBorders>
            <w:shd w:val="clear" w:color="auto" w:fill="auto"/>
            <w:vAlign w:val="bottom"/>
          </w:tcPr>
          <w:p w14:paraId="6DB2E0D7">
            <w:pPr>
              <w:adjustRightInd w:val="0"/>
              <w:snapToGrid w:val="0"/>
              <w:spacing w:line="360" w:lineRule="auto"/>
              <w:rPr>
                <w:sz w:val="22"/>
                <w:szCs w:val="22"/>
              </w:rPr>
            </w:pPr>
            <w:r>
              <w:rPr>
                <w:sz w:val="22"/>
                <w:szCs w:val="22"/>
              </w:rPr>
              <w:t>6.20***/1.05***</w:t>
            </w:r>
          </w:p>
        </w:tc>
        <w:tc>
          <w:tcPr>
            <w:tcW w:w="0" w:type="auto"/>
            <w:tcBorders>
              <w:top w:val="nil"/>
              <w:left w:val="nil"/>
              <w:bottom w:val="nil"/>
              <w:right w:val="nil"/>
            </w:tcBorders>
            <w:shd w:val="clear" w:color="auto" w:fill="auto"/>
            <w:vAlign w:val="bottom"/>
          </w:tcPr>
          <w:p w14:paraId="65FE7DC7">
            <w:pPr>
              <w:adjustRightInd w:val="0"/>
              <w:snapToGrid w:val="0"/>
              <w:spacing w:line="360" w:lineRule="auto"/>
              <w:rPr>
                <w:sz w:val="22"/>
                <w:szCs w:val="22"/>
              </w:rPr>
            </w:pPr>
            <w:r>
              <w:rPr>
                <w:sz w:val="22"/>
                <w:szCs w:val="22"/>
              </w:rPr>
              <w:t>8.91***/1.29***</w:t>
            </w:r>
          </w:p>
        </w:tc>
      </w:tr>
      <w:tr w14:paraId="75AFB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Pr>
          <w:p w14:paraId="3E603843">
            <w:pPr>
              <w:adjustRightInd w:val="0"/>
              <w:snapToGrid w:val="0"/>
              <w:spacing w:line="360" w:lineRule="auto"/>
              <w:rPr>
                <w:sz w:val="22"/>
                <w:szCs w:val="22"/>
              </w:rPr>
            </w:pPr>
            <w:r>
              <w:rPr>
                <w:sz w:val="22"/>
                <w:szCs w:val="22"/>
              </w:rPr>
              <w:t>Panel B. OU covariance structures</w:t>
            </w:r>
          </w:p>
        </w:tc>
      </w:tr>
      <w:tr w14:paraId="52ED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35417F6B">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tcPr>
          <w:p w14:paraId="1179703D">
            <w:pPr>
              <w:adjustRightInd w:val="0"/>
              <w:snapToGrid w:val="0"/>
              <w:spacing w:line="360" w:lineRule="auto"/>
              <w:rPr>
                <w:sz w:val="22"/>
                <w:szCs w:val="22"/>
              </w:rPr>
            </w:pPr>
            <w:r>
              <w:rPr>
                <w:sz w:val="22"/>
                <w:szCs w:val="22"/>
              </w:rPr>
              <w:t>8.00/4.77</w:t>
            </w:r>
          </w:p>
        </w:tc>
        <w:tc>
          <w:tcPr>
            <w:tcW w:w="0" w:type="auto"/>
            <w:tcBorders>
              <w:top w:val="nil"/>
              <w:left w:val="nil"/>
              <w:bottom w:val="nil"/>
              <w:right w:val="nil"/>
            </w:tcBorders>
            <w:noWrap/>
          </w:tcPr>
          <w:p w14:paraId="465DDEAB">
            <w:pPr>
              <w:adjustRightInd w:val="0"/>
              <w:snapToGrid w:val="0"/>
              <w:spacing w:line="360" w:lineRule="auto"/>
              <w:rPr>
                <w:sz w:val="22"/>
                <w:szCs w:val="22"/>
              </w:rPr>
            </w:pPr>
            <w:r>
              <w:rPr>
                <w:sz w:val="22"/>
                <w:szCs w:val="22"/>
              </w:rPr>
              <w:t>63.93/57.94</w:t>
            </w:r>
          </w:p>
        </w:tc>
        <w:tc>
          <w:tcPr>
            <w:tcW w:w="0" w:type="auto"/>
            <w:tcBorders>
              <w:top w:val="nil"/>
              <w:left w:val="nil"/>
              <w:bottom w:val="nil"/>
              <w:right w:val="nil"/>
            </w:tcBorders>
            <w:noWrap/>
          </w:tcPr>
          <w:p w14:paraId="2F4031A0">
            <w:pPr>
              <w:adjustRightInd w:val="0"/>
              <w:snapToGrid w:val="0"/>
              <w:spacing w:line="360" w:lineRule="auto"/>
              <w:rPr>
                <w:sz w:val="22"/>
                <w:szCs w:val="22"/>
              </w:rPr>
            </w:pPr>
            <w:r>
              <w:rPr>
                <w:sz w:val="22"/>
                <w:szCs w:val="22"/>
              </w:rPr>
              <w:t>8.00/3.10</w:t>
            </w:r>
          </w:p>
        </w:tc>
        <w:tc>
          <w:tcPr>
            <w:tcW w:w="0" w:type="auto"/>
            <w:tcBorders>
              <w:top w:val="nil"/>
              <w:left w:val="nil"/>
              <w:bottom w:val="nil"/>
              <w:right w:val="nil"/>
            </w:tcBorders>
            <w:noWrap/>
          </w:tcPr>
          <w:p w14:paraId="6178531C">
            <w:pPr>
              <w:adjustRightInd w:val="0"/>
              <w:snapToGrid w:val="0"/>
              <w:spacing w:line="360" w:lineRule="auto"/>
              <w:rPr>
                <w:sz w:val="22"/>
                <w:szCs w:val="22"/>
              </w:rPr>
            </w:pPr>
            <w:r>
              <w:rPr>
                <w:sz w:val="22"/>
                <w:szCs w:val="22"/>
              </w:rPr>
              <w:t>63.99/41.57</w:t>
            </w:r>
          </w:p>
        </w:tc>
      </w:tr>
      <w:tr w14:paraId="176D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6EA7CE44">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14:paraId="01745092">
            <w:pPr>
              <w:adjustRightInd w:val="0"/>
              <w:snapToGrid w:val="0"/>
              <w:spacing w:line="360" w:lineRule="auto"/>
              <w:rPr>
                <w:sz w:val="22"/>
                <w:szCs w:val="22"/>
              </w:rPr>
            </w:pPr>
            <w:r>
              <w:rPr>
                <w:sz w:val="22"/>
                <w:szCs w:val="22"/>
              </w:rPr>
              <w:t>8.00/2.77</w:t>
            </w:r>
          </w:p>
        </w:tc>
        <w:tc>
          <w:tcPr>
            <w:tcW w:w="0" w:type="auto"/>
            <w:tcBorders>
              <w:top w:val="nil"/>
              <w:left w:val="nil"/>
              <w:bottom w:val="nil"/>
              <w:right w:val="nil"/>
            </w:tcBorders>
            <w:noWrap/>
          </w:tcPr>
          <w:p w14:paraId="5AD57F0D">
            <w:pPr>
              <w:adjustRightInd w:val="0"/>
              <w:snapToGrid w:val="0"/>
              <w:spacing w:line="360" w:lineRule="auto"/>
              <w:rPr>
                <w:sz w:val="22"/>
                <w:szCs w:val="22"/>
              </w:rPr>
            </w:pPr>
            <w:r>
              <w:rPr>
                <w:sz w:val="22"/>
                <w:szCs w:val="22"/>
              </w:rPr>
              <w:t>59.93/45.42</w:t>
            </w:r>
          </w:p>
        </w:tc>
        <w:tc>
          <w:tcPr>
            <w:tcW w:w="0" w:type="auto"/>
            <w:tcBorders>
              <w:top w:val="nil"/>
              <w:left w:val="nil"/>
              <w:bottom w:val="nil"/>
              <w:right w:val="nil"/>
            </w:tcBorders>
            <w:noWrap/>
          </w:tcPr>
          <w:p w14:paraId="189044FE">
            <w:pPr>
              <w:adjustRightInd w:val="0"/>
              <w:snapToGrid w:val="0"/>
              <w:spacing w:line="360" w:lineRule="auto"/>
              <w:rPr>
                <w:sz w:val="22"/>
                <w:szCs w:val="22"/>
              </w:rPr>
            </w:pPr>
            <w:r>
              <w:rPr>
                <w:sz w:val="22"/>
                <w:szCs w:val="22"/>
              </w:rPr>
              <w:t>8.00/1.91</w:t>
            </w:r>
          </w:p>
        </w:tc>
        <w:tc>
          <w:tcPr>
            <w:tcW w:w="0" w:type="auto"/>
            <w:tcBorders>
              <w:top w:val="nil"/>
              <w:left w:val="nil"/>
              <w:bottom w:val="nil"/>
              <w:right w:val="nil"/>
            </w:tcBorders>
            <w:noWrap/>
          </w:tcPr>
          <w:p w14:paraId="3FBDCE5A">
            <w:pPr>
              <w:adjustRightInd w:val="0"/>
              <w:snapToGrid w:val="0"/>
              <w:spacing w:line="360" w:lineRule="auto"/>
              <w:rPr>
                <w:sz w:val="22"/>
                <w:szCs w:val="22"/>
              </w:rPr>
            </w:pPr>
            <w:r>
              <w:rPr>
                <w:sz w:val="22"/>
                <w:szCs w:val="22"/>
              </w:rPr>
              <w:t>62.26/14.19</w:t>
            </w:r>
          </w:p>
        </w:tc>
      </w:tr>
      <w:tr w14:paraId="6CC2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540B73B4">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14:paraId="6A8AF6D3">
            <w:pPr>
              <w:adjustRightInd w:val="0"/>
              <w:snapToGrid w:val="0"/>
              <w:spacing w:line="360" w:lineRule="auto"/>
              <w:rPr>
                <w:sz w:val="22"/>
                <w:szCs w:val="22"/>
              </w:rPr>
            </w:pPr>
            <w:r>
              <w:rPr>
                <w:sz w:val="22"/>
                <w:szCs w:val="22"/>
              </w:rPr>
              <w:t>7.88/1.61</w:t>
            </w:r>
          </w:p>
        </w:tc>
        <w:tc>
          <w:tcPr>
            <w:tcW w:w="0" w:type="auto"/>
            <w:tcBorders>
              <w:top w:val="nil"/>
              <w:left w:val="nil"/>
              <w:bottom w:val="nil"/>
              <w:right w:val="nil"/>
            </w:tcBorders>
            <w:noWrap/>
          </w:tcPr>
          <w:p w14:paraId="280AF772">
            <w:pPr>
              <w:adjustRightInd w:val="0"/>
              <w:snapToGrid w:val="0"/>
              <w:spacing w:line="360" w:lineRule="auto"/>
              <w:rPr>
                <w:sz w:val="22"/>
                <w:szCs w:val="22"/>
              </w:rPr>
            </w:pPr>
            <w:r>
              <w:rPr>
                <w:sz w:val="22"/>
                <w:szCs w:val="22"/>
              </w:rPr>
              <w:t>27.18/11.57</w:t>
            </w:r>
          </w:p>
        </w:tc>
        <w:tc>
          <w:tcPr>
            <w:tcW w:w="0" w:type="auto"/>
            <w:tcBorders>
              <w:top w:val="nil"/>
              <w:left w:val="nil"/>
              <w:bottom w:val="nil"/>
              <w:right w:val="nil"/>
            </w:tcBorders>
            <w:noWrap/>
          </w:tcPr>
          <w:p w14:paraId="3E0F1218">
            <w:pPr>
              <w:adjustRightInd w:val="0"/>
              <w:snapToGrid w:val="0"/>
              <w:spacing w:line="360" w:lineRule="auto"/>
              <w:rPr>
                <w:sz w:val="22"/>
                <w:szCs w:val="22"/>
              </w:rPr>
            </w:pPr>
            <w:r>
              <w:rPr>
                <w:sz w:val="22"/>
                <w:szCs w:val="22"/>
              </w:rPr>
              <w:t>7.90/1.32</w:t>
            </w:r>
          </w:p>
        </w:tc>
        <w:tc>
          <w:tcPr>
            <w:tcW w:w="0" w:type="auto"/>
            <w:tcBorders>
              <w:top w:val="nil"/>
              <w:left w:val="nil"/>
              <w:bottom w:val="nil"/>
              <w:right w:val="nil"/>
            </w:tcBorders>
            <w:noWrap/>
          </w:tcPr>
          <w:p w14:paraId="301A6E94">
            <w:pPr>
              <w:adjustRightInd w:val="0"/>
              <w:snapToGrid w:val="0"/>
              <w:spacing w:line="360" w:lineRule="auto"/>
              <w:rPr>
                <w:sz w:val="22"/>
                <w:szCs w:val="22"/>
              </w:rPr>
            </w:pPr>
            <w:r>
              <w:rPr>
                <w:sz w:val="22"/>
                <w:szCs w:val="22"/>
              </w:rPr>
              <w:t>33.16/3.35</w:t>
            </w:r>
          </w:p>
        </w:tc>
      </w:tr>
      <w:tr w14:paraId="3FFF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6E5EFC78">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14:paraId="283115E8">
            <w:pPr>
              <w:adjustRightInd w:val="0"/>
              <w:snapToGrid w:val="0"/>
              <w:spacing w:line="360" w:lineRule="auto"/>
              <w:rPr>
                <w:sz w:val="22"/>
                <w:szCs w:val="22"/>
              </w:rPr>
            </w:pPr>
            <w:r>
              <w:rPr>
                <w:sz w:val="22"/>
                <w:szCs w:val="22"/>
              </w:rPr>
              <w:t>7.38/1.31</w:t>
            </w:r>
          </w:p>
        </w:tc>
        <w:tc>
          <w:tcPr>
            <w:tcW w:w="0" w:type="auto"/>
            <w:tcBorders>
              <w:top w:val="nil"/>
              <w:left w:val="nil"/>
              <w:bottom w:val="nil"/>
              <w:right w:val="nil"/>
            </w:tcBorders>
            <w:noWrap/>
          </w:tcPr>
          <w:p w14:paraId="1E98175A">
            <w:pPr>
              <w:adjustRightInd w:val="0"/>
              <w:snapToGrid w:val="0"/>
              <w:spacing w:line="360" w:lineRule="auto"/>
              <w:rPr>
                <w:sz w:val="22"/>
                <w:szCs w:val="22"/>
              </w:rPr>
            </w:pPr>
            <w:r>
              <w:rPr>
                <w:sz w:val="22"/>
                <w:szCs w:val="22"/>
              </w:rPr>
              <w:t>14.59/4.47</w:t>
            </w:r>
          </w:p>
        </w:tc>
        <w:tc>
          <w:tcPr>
            <w:tcW w:w="0" w:type="auto"/>
            <w:tcBorders>
              <w:top w:val="nil"/>
              <w:left w:val="nil"/>
              <w:bottom w:val="nil"/>
              <w:right w:val="nil"/>
            </w:tcBorders>
            <w:noWrap/>
          </w:tcPr>
          <w:p w14:paraId="21B9CADF">
            <w:pPr>
              <w:adjustRightInd w:val="0"/>
              <w:snapToGrid w:val="0"/>
              <w:spacing w:line="360" w:lineRule="auto"/>
              <w:rPr>
                <w:sz w:val="22"/>
                <w:szCs w:val="22"/>
              </w:rPr>
            </w:pPr>
            <w:r>
              <w:rPr>
                <w:sz w:val="22"/>
                <w:szCs w:val="22"/>
              </w:rPr>
              <w:t>7.44/1.16</w:t>
            </w:r>
          </w:p>
        </w:tc>
        <w:tc>
          <w:tcPr>
            <w:tcW w:w="0" w:type="auto"/>
            <w:tcBorders>
              <w:top w:val="nil"/>
              <w:left w:val="nil"/>
              <w:bottom w:val="nil"/>
              <w:right w:val="nil"/>
            </w:tcBorders>
            <w:noWrap/>
          </w:tcPr>
          <w:p w14:paraId="0778AE02">
            <w:pPr>
              <w:adjustRightInd w:val="0"/>
              <w:snapToGrid w:val="0"/>
              <w:spacing w:line="360" w:lineRule="auto"/>
              <w:rPr>
                <w:sz w:val="22"/>
                <w:szCs w:val="22"/>
              </w:rPr>
            </w:pPr>
            <w:r>
              <w:rPr>
                <w:sz w:val="22"/>
                <w:szCs w:val="22"/>
              </w:rPr>
              <w:t>17.84/1.96</w:t>
            </w:r>
          </w:p>
        </w:tc>
      </w:tr>
      <w:tr w14:paraId="78F1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377C591D">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14:paraId="7678B63B">
            <w:pPr>
              <w:adjustRightInd w:val="0"/>
              <w:snapToGrid w:val="0"/>
              <w:spacing w:line="360" w:lineRule="auto"/>
              <w:rPr>
                <w:sz w:val="22"/>
                <w:szCs w:val="22"/>
              </w:rPr>
            </w:pPr>
            <w:r>
              <w:rPr>
                <w:sz w:val="22"/>
                <w:szCs w:val="22"/>
              </w:rPr>
              <w:t>6.83/1.19</w:t>
            </w:r>
          </w:p>
        </w:tc>
        <w:tc>
          <w:tcPr>
            <w:tcW w:w="0" w:type="auto"/>
            <w:tcBorders>
              <w:top w:val="nil"/>
              <w:left w:val="nil"/>
              <w:bottom w:val="nil"/>
              <w:right w:val="nil"/>
            </w:tcBorders>
            <w:noWrap/>
          </w:tcPr>
          <w:p w14:paraId="5993B72C">
            <w:pPr>
              <w:adjustRightInd w:val="0"/>
              <w:snapToGrid w:val="0"/>
              <w:spacing w:line="360" w:lineRule="auto"/>
              <w:rPr>
                <w:sz w:val="22"/>
                <w:szCs w:val="22"/>
              </w:rPr>
            </w:pPr>
            <w:r>
              <w:rPr>
                <w:sz w:val="22"/>
                <w:szCs w:val="22"/>
              </w:rPr>
              <w:t>10.55/2.84</w:t>
            </w:r>
          </w:p>
        </w:tc>
        <w:tc>
          <w:tcPr>
            <w:tcW w:w="0" w:type="auto"/>
            <w:tcBorders>
              <w:top w:val="nil"/>
              <w:left w:val="nil"/>
              <w:bottom w:val="nil"/>
              <w:right w:val="nil"/>
            </w:tcBorders>
            <w:noWrap/>
          </w:tcPr>
          <w:p w14:paraId="458865AE">
            <w:pPr>
              <w:adjustRightInd w:val="0"/>
              <w:snapToGrid w:val="0"/>
              <w:spacing w:line="360" w:lineRule="auto"/>
              <w:rPr>
                <w:sz w:val="22"/>
                <w:szCs w:val="22"/>
              </w:rPr>
            </w:pPr>
            <w:r>
              <w:rPr>
                <w:sz w:val="22"/>
                <w:szCs w:val="22"/>
              </w:rPr>
              <w:t>6.91/1.10</w:t>
            </w:r>
          </w:p>
        </w:tc>
        <w:tc>
          <w:tcPr>
            <w:tcW w:w="0" w:type="auto"/>
            <w:tcBorders>
              <w:top w:val="nil"/>
              <w:left w:val="nil"/>
              <w:bottom w:val="nil"/>
              <w:right w:val="nil"/>
            </w:tcBorders>
            <w:noWrap/>
          </w:tcPr>
          <w:p w14:paraId="42C0366A">
            <w:pPr>
              <w:adjustRightInd w:val="0"/>
              <w:snapToGrid w:val="0"/>
              <w:spacing w:line="360" w:lineRule="auto"/>
              <w:rPr>
                <w:sz w:val="22"/>
                <w:szCs w:val="22"/>
              </w:rPr>
            </w:pPr>
            <w:r>
              <w:rPr>
                <w:sz w:val="22"/>
                <w:szCs w:val="22"/>
              </w:rPr>
              <w:t>12.50/1.55</w:t>
            </w:r>
          </w:p>
        </w:tc>
      </w:tr>
      <w:tr w14:paraId="0ECD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gridSpan w:val="5"/>
            <w:tcBorders>
              <w:top w:val="nil"/>
              <w:left w:val="nil"/>
              <w:bottom w:val="nil"/>
              <w:right w:val="nil"/>
            </w:tcBorders>
            <w:noWrap/>
          </w:tcPr>
          <w:p w14:paraId="5F1B70A6">
            <w:pPr>
              <w:adjustRightInd w:val="0"/>
              <w:snapToGrid w:val="0"/>
              <w:spacing w:line="360" w:lineRule="auto"/>
              <w:rPr>
                <w:sz w:val="22"/>
                <w:szCs w:val="22"/>
              </w:rPr>
            </w:pPr>
            <w:r>
              <w:rPr>
                <w:sz w:val="22"/>
                <w:szCs w:val="22"/>
              </w:rPr>
              <w:t>Panel C. EB covariance structures</w:t>
            </w:r>
          </w:p>
        </w:tc>
      </w:tr>
      <w:tr w14:paraId="5F9F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top"/>
          </w:tcPr>
          <w:p w14:paraId="05F84950">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r = -0.10</w:t>
            </w:r>
          </w:p>
        </w:tc>
        <w:tc>
          <w:tcPr>
            <w:tcW w:w="0" w:type="auto"/>
            <w:tcBorders>
              <w:top w:val="nil"/>
              <w:left w:val="nil"/>
              <w:bottom w:val="nil"/>
              <w:right w:val="nil"/>
            </w:tcBorders>
            <w:shd w:val="clear"/>
            <w:noWrap/>
            <w:vAlign w:val="top"/>
          </w:tcPr>
          <w:p w14:paraId="6EF1A396">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6.22***/1.11***</w:t>
            </w:r>
          </w:p>
        </w:tc>
        <w:tc>
          <w:tcPr>
            <w:tcW w:w="0" w:type="auto"/>
            <w:tcBorders>
              <w:top w:val="nil"/>
              <w:left w:val="nil"/>
              <w:bottom w:val="nil"/>
              <w:right w:val="nil"/>
            </w:tcBorders>
            <w:shd w:val="clear"/>
            <w:noWrap/>
            <w:vAlign w:val="top"/>
          </w:tcPr>
          <w:p w14:paraId="7A439E29">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8.16***/2.05***</w:t>
            </w:r>
          </w:p>
        </w:tc>
        <w:tc>
          <w:tcPr>
            <w:tcW w:w="0" w:type="auto"/>
            <w:tcBorders>
              <w:top w:val="nil"/>
              <w:left w:val="nil"/>
              <w:bottom w:val="nil"/>
              <w:right w:val="nil"/>
            </w:tcBorders>
            <w:shd w:val="clear"/>
            <w:noWrap/>
            <w:vAlign w:val="top"/>
          </w:tcPr>
          <w:p w14:paraId="19A01E8C">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6.31***/1.06***</w:t>
            </w:r>
          </w:p>
        </w:tc>
        <w:tc>
          <w:tcPr>
            <w:tcW w:w="0" w:type="auto"/>
            <w:tcBorders>
              <w:top w:val="nil"/>
              <w:left w:val="nil"/>
              <w:bottom w:val="nil"/>
              <w:right w:val="nil"/>
            </w:tcBorders>
            <w:shd w:val="clear"/>
            <w:noWrap/>
            <w:vAlign w:val="top"/>
          </w:tcPr>
          <w:p w14:paraId="6459A4F2">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9.32***/1.32***</w:t>
            </w:r>
          </w:p>
        </w:tc>
      </w:tr>
      <w:tr w14:paraId="46EC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top"/>
          </w:tcPr>
          <w:p w14:paraId="66AAD8DC">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r = -0.50</w:t>
            </w:r>
          </w:p>
        </w:tc>
        <w:tc>
          <w:tcPr>
            <w:tcW w:w="0" w:type="auto"/>
            <w:tcBorders>
              <w:top w:val="nil"/>
              <w:left w:val="nil"/>
              <w:bottom w:val="nil"/>
              <w:right w:val="nil"/>
            </w:tcBorders>
            <w:shd w:val="clear"/>
            <w:noWrap/>
            <w:vAlign w:val="top"/>
          </w:tcPr>
          <w:p w14:paraId="58418720">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6.60***/1.15***</w:t>
            </w:r>
          </w:p>
        </w:tc>
        <w:tc>
          <w:tcPr>
            <w:tcW w:w="0" w:type="auto"/>
            <w:tcBorders>
              <w:top w:val="nil"/>
              <w:left w:val="nil"/>
              <w:bottom w:val="nil"/>
              <w:right w:val="nil"/>
            </w:tcBorders>
            <w:shd w:val="clear"/>
            <w:noWrap/>
            <w:vAlign w:val="top"/>
          </w:tcPr>
          <w:p w14:paraId="27B1C161">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9.48***/2.47***</w:t>
            </w:r>
          </w:p>
        </w:tc>
        <w:tc>
          <w:tcPr>
            <w:tcW w:w="0" w:type="auto"/>
            <w:tcBorders>
              <w:top w:val="nil"/>
              <w:left w:val="nil"/>
              <w:bottom w:val="nil"/>
              <w:right w:val="nil"/>
            </w:tcBorders>
            <w:shd w:val="clear"/>
            <w:noWrap/>
            <w:vAlign w:val="top"/>
          </w:tcPr>
          <w:p w14:paraId="2DD9B8A2">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6.68***</w:t>
            </w:r>
            <w:r>
              <w:rPr>
                <w:rFonts w:hint="eastAsia" w:eastAsia="宋体"/>
                <w:sz w:val="22"/>
                <w:szCs w:val="22"/>
                <w:highlight w:val="yellow"/>
                <w:lang w:val="en-US" w:eastAsia="zh-CN"/>
              </w:rPr>
              <w:t>/</w:t>
            </w:r>
            <w:r>
              <w:rPr>
                <w:rFonts w:hint="eastAsia"/>
                <w:sz w:val="22"/>
                <w:szCs w:val="22"/>
                <w:highlight w:val="yellow"/>
              </w:rPr>
              <w:t>1.08***</w:t>
            </w:r>
          </w:p>
        </w:tc>
        <w:tc>
          <w:tcPr>
            <w:tcW w:w="0" w:type="auto"/>
            <w:tcBorders>
              <w:top w:val="nil"/>
              <w:left w:val="nil"/>
              <w:bottom w:val="nil"/>
              <w:right w:val="nil"/>
            </w:tcBorders>
            <w:shd w:val="clear"/>
            <w:noWrap/>
            <w:vAlign w:val="top"/>
          </w:tcPr>
          <w:p w14:paraId="48047C34">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11.07***/1.44***</w:t>
            </w:r>
          </w:p>
        </w:tc>
      </w:tr>
      <w:tr w14:paraId="7F98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single" w:color="auto" w:sz="4" w:space="0"/>
              <w:right w:val="nil"/>
            </w:tcBorders>
            <w:shd w:val="clear"/>
            <w:noWrap/>
            <w:vAlign w:val="top"/>
          </w:tcPr>
          <w:p w14:paraId="49ACCDF8">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r = -1.00</w:t>
            </w:r>
          </w:p>
        </w:tc>
        <w:tc>
          <w:tcPr>
            <w:tcW w:w="0" w:type="auto"/>
            <w:tcBorders>
              <w:top w:val="nil"/>
              <w:left w:val="nil"/>
              <w:bottom w:val="single" w:color="auto" w:sz="4" w:space="0"/>
              <w:right w:val="nil"/>
            </w:tcBorders>
            <w:shd w:val="clear"/>
            <w:noWrap/>
            <w:vAlign w:val="top"/>
          </w:tcPr>
          <w:p w14:paraId="458BF4DB">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6.98***</w:t>
            </w:r>
            <w:r>
              <w:rPr>
                <w:rFonts w:hint="eastAsia" w:eastAsia="宋体"/>
                <w:sz w:val="22"/>
                <w:szCs w:val="22"/>
                <w:highlight w:val="yellow"/>
                <w:lang w:val="en-US" w:eastAsia="zh-CN"/>
              </w:rPr>
              <w:t>/</w:t>
            </w:r>
            <w:r>
              <w:rPr>
                <w:rFonts w:hint="eastAsia"/>
                <w:sz w:val="22"/>
                <w:szCs w:val="22"/>
                <w:highlight w:val="yellow"/>
              </w:rPr>
              <w:t>1.20***</w:t>
            </w:r>
          </w:p>
        </w:tc>
        <w:tc>
          <w:tcPr>
            <w:tcW w:w="0" w:type="auto"/>
            <w:tcBorders>
              <w:top w:val="nil"/>
              <w:left w:val="nil"/>
              <w:bottom w:val="single" w:color="auto" w:sz="4" w:space="0"/>
              <w:right w:val="nil"/>
            </w:tcBorders>
            <w:shd w:val="clear"/>
            <w:noWrap/>
            <w:vAlign w:val="top"/>
          </w:tcPr>
          <w:p w14:paraId="1F3E2DB7">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11.28***/3.10***</w:t>
            </w:r>
          </w:p>
        </w:tc>
        <w:tc>
          <w:tcPr>
            <w:tcW w:w="0" w:type="auto"/>
            <w:tcBorders>
              <w:top w:val="nil"/>
              <w:left w:val="nil"/>
              <w:bottom w:val="single" w:color="auto" w:sz="4" w:space="0"/>
              <w:right w:val="nil"/>
            </w:tcBorders>
            <w:shd w:val="clear"/>
            <w:noWrap/>
            <w:vAlign w:val="top"/>
          </w:tcPr>
          <w:p w14:paraId="15C33336">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7.05***/1.11***</w:t>
            </w:r>
          </w:p>
        </w:tc>
        <w:tc>
          <w:tcPr>
            <w:tcW w:w="0" w:type="auto"/>
            <w:tcBorders>
              <w:top w:val="nil"/>
              <w:left w:val="nil"/>
              <w:bottom w:val="single" w:color="auto" w:sz="4" w:space="0"/>
              <w:right w:val="nil"/>
            </w:tcBorders>
            <w:shd w:val="clear"/>
            <w:noWrap/>
            <w:vAlign w:val="top"/>
          </w:tcPr>
          <w:p w14:paraId="27E071C7">
            <w:pPr>
              <w:adjustRightInd w:val="0"/>
              <w:snapToGrid w:val="0"/>
              <w:spacing w:line="360" w:lineRule="auto"/>
              <w:rPr>
                <w:rFonts w:ascii="Times New Roman" w:hAnsi="Times New Roman" w:eastAsia="Times New Roman" w:cs="Times New Roman"/>
                <w:sz w:val="22"/>
                <w:szCs w:val="22"/>
                <w:highlight w:val="yellow"/>
                <w:lang w:val="en-US" w:eastAsia="zh-CN" w:bidi="ar-SA"/>
              </w:rPr>
            </w:pPr>
            <w:r>
              <w:rPr>
                <w:rFonts w:hint="eastAsia"/>
                <w:sz w:val="22"/>
                <w:szCs w:val="22"/>
                <w:highlight w:val="yellow"/>
              </w:rPr>
              <w:t>13.49***/1.61***</w:t>
            </w:r>
          </w:p>
        </w:tc>
      </w:tr>
    </w:tbl>
    <w:p w14:paraId="133E204E">
      <w:pPr>
        <w:adjustRightInd w:val="0"/>
        <w:snapToGrid w:val="0"/>
        <w:spacing w:line="360" w:lineRule="auto"/>
        <w:rPr>
          <w:sz w:val="22"/>
          <w:szCs w:val="22"/>
        </w:rPr>
      </w:pPr>
      <w:r>
        <w:rPr>
          <w:sz w:val="22"/>
          <w:szCs w:val="22"/>
        </w:rPr>
        <w:t xml:space="preserve">Each cell reports MIESS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Panel B, all dispersed and clustered MIESS values were significant at </w:t>
      </w:r>
      <w:r>
        <w:rPr>
          <w:i/>
          <w:iCs/>
          <w:sz w:val="22"/>
          <w:szCs w:val="22"/>
        </w:rPr>
        <w:t>p</w:t>
      </w:r>
      <w:r>
        <w:rPr>
          <w:sz w:val="22"/>
          <w:szCs w:val="22"/>
        </w:rPr>
        <w:t xml:space="preserve"> &lt; 0.001 in the expected direction, and asterisks are therefore omitted from individual cells. For dispersed subsets, significance was evaluated in the direction of higher MIESS than random subsets; for clustered subsets, significance was evaluated in the direction of lower MIESS than random subsets. In Panel A, </w:t>
      </w:r>
      <w:r>
        <w:rPr>
          <w:i/>
          <w:iCs/>
          <w:sz w:val="22"/>
          <w:szCs w:val="22"/>
        </w:rPr>
        <w:t>λ</w:t>
      </w:r>
      <w:r>
        <w:rPr>
          <w:sz w:val="22"/>
          <w:szCs w:val="22"/>
        </w:rPr>
        <w:t xml:space="preserve"> = 0 represents the limiting case in which all off-diagonal phylogenetic covariance is removed; under this condition, MIESS is expected to equal the nominal subset size. In Panel B, </w:t>
      </w:r>
      <w:r>
        <w:rPr>
          <w:i/>
          <w:iCs/>
          <w:sz w:val="22"/>
          <w:szCs w:val="22"/>
        </w:rPr>
        <w:t>h</w:t>
      </w:r>
      <w:r>
        <w:rPr>
          <w:sz w:val="22"/>
          <w:szCs w:val="22"/>
        </w:rPr>
        <w:t>/</w:t>
      </w:r>
      <w:r>
        <w:rPr>
          <w:i/>
          <w:iCs/>
          <w:sz w:val="22"/>
          <w:szCs w:val="22"/>
        </w:rPr>
        <w:t>H</w:t>
      </w:r>
      <w:r>
        <w:rPr>
          <w:sz w:val="22"/>
          <w:szCs w:val="22"/>
        </w:rPr>
        <w:t xml:space="preserve"> denotes the OU phylogenetic half-life relative to the height of the candidate-pool tree.</w:t>
      </w:r>
    </w:p>
    <w:p w14:paraId="456CB32D">
      <w:pPr>
        <w:adjustRightInd w:val="0"/>
        <w:snapToGrid w:val="0"/>
        <w:spacing w:line="360" w:lineRule="auto"/>
      </w:pPr>
    </w:p>
    <w:p w14:paraId="2695CE86">
      <w:pPr>
        <w:adjustRightInd w:val="0"/>
        <w:snapToGrid w:val="0"/>
        <w:spacing w:line="360" w:lineRule="auto"/>
      </w:pPr>
      <w:r>
        <w:t>Table 4 and Supplementary Tables S11 and S12</w:t>
      </w:r>
    </w:p>
    <w:p w14:paraId="7C6A8AB7">
      <w:pPr>
        <w:adjustRightInd w:val="0"/>
        <w:snapToGrid w:val="0"/>
        <w:spacing w:line="360" w:lineRule="auto"/>
      </w:pPr>
    </w:p>
    <w:p w14:paraId="02ADFDAF">
      <w:pPr>
        <w:adjustRightInd w:val="0"/>
        <w:snapToGrid w:val="0"/>
        <w:spacing w:line="360" w:lineRule="auto"/>
      </w:pPr>
    </w:p>
    <w:p w14:paraId="15B5AF2D">
      <w:pPr>
        <w:adjustRightInd w:val="0"/>
        <w:snapToGrid w:val="0"/>
        <w:spacing w:line="360" w:lineRule="auto"/>
        <w:rPr>
          <w:sz w:val="22"/>
          <w:szCs w:val="22"/>
        </w:rPr>
      </w:pPr>
      <w:bookmarkStart w:id="10" w:name="_Hlk231594863"/>
      <w:r>
        <w:rPr>
          <w:sz w:val="22"/>
          <w:szCs w:val="22"/>
        </w:rPr>
        <w:t xml:space="preserve">Table 4. Prediction-metric-based independence-equivalent sample size (PIESS) for predictive </w:t>
      </w:r>
      <w:r>
        <w:rPr>
          <w:i/>
          <w:iCs/>
          <w:sz w:val="22"/>
          <w:szCs w:val="22"/>
        </w:rPr>
        <w:t>R</w:t>
      </w:r>
      <w:r>
        <w:rPr>
          <w:sz w:val="22"/>
          <w:szCs w:val="22"/>
        </w:rPr>
        <w:t>² under alternative covariance assumptions in the nested Cricetidae sensitivity analysis.</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0"/>
        <w:gridCol w:w="1467"/>
        <w:gridCol w:w="1577"/>
        <w:gridCol w:w="1467"/>
        <w:gridCol w:w="1577"/>
      </w:tblGrid>
      <w:tr w14:paraId="26CC5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bottom w:val="single" w:color="auto" w:sz="4" w:space="0"/>
            </w:tcBorders>
          </w:tcPr>
          <w:p w14:paraId="3528779E">
            <w:pPr>
              <w:adjustRightInd w:val="0"/>
              <w:snapToGrid w:val="0"/>
              <w:spacing w:line="360" w:lineRule="auto"/>
              <w:rPr>
                <w:sz w:val="22"/>
                <w:szCs w:val="22"/>
              </w:rPr>
            </w:pPr>
            <w:r>
              <w:rPr>
                <w:sz w:val="22"/>
                <w:szCs w:val="22"/>
              </w:rPr>
              <w:t>Covariance setting</w:t>
            </w:r>
          </w:p>
        </w:tc>
        <w:tc>
          <w:tcPr>
            <w:tcW w:w="0" w:type="auto"/>
            <w:tcBorders>
              <w:top w:val="single" w:color="auto" w:sz="4" w:space="0"/>
              <w:bottom w:val="single" w:color="auto" w:sz="4" w:space="0"/>
            </w:tcBorders>
          </w:tcPr>
          <w:p w14:paraId="257E277F">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color="auto" w:sz="4" w:space="0"/>
              <w:bottom w:val="single" w:color="auto" w:sz="4" w:space="0"/>
            </w:tcBorders>
          </w:tcPr>
          <w:p w14:paraId="7016DC1F">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color="auto" w:sz="4" w:space="0"/>
              <w:bottom w:val="single" w:color="auto" w:sz="4" w:space="0"/>
            </w:tcBorders>
          </w:tcPr>
          <w:p w14:paraId="60A45D75">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color="auto" w:sz="4" w:space="0"/>
              <w:bottom w:val="single" w:color="auto" w:sz="4" w:space="0"/>
            </w:tcBorders>
          </w:tcPr>
          <w:p w14:paraId="2F846F5F">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14:paraId="77AA0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Borders>
              <w:top w:val="single" w:color="auto" w:sz="4" w:space="0"/>
            </w:tcBorders>
          </w:tcPr>
          <w:p w14:paraId="0B6B2345">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14:paraId="05F7B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00AE034">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14:paraId="00DDC0F0">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3738A02A">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0B55615E">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5E5A302E">
            <w:pPr>
              <w:adjustRightInd w:val="0"/>
              <w:snapToGrid w:val="0"/>
              <w:spacing w:line="360" w:lineRule="auto"/>
              <w:rPr>
                <w:sz w:val="22"/>
                <w:szCs w:val="22"/>
              </w:rPr>
            </w:pPr>
          </w:p>
        </w:tc>
      </w:tr>
      <w:tr w14:paraId="7C5ED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4FD86C2">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14:paraId="7A067C8F">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183A4881">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1E5D77E2">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52AF2B3C">
            <w:pPr>
              <w:adjustRightInd w:val="0"/>
              <w:snapToGrid w:val="0"/>
              <w:spacing w:line="360" w:lineRule="auto"/>
              <w:rPr>
                <w:sz w:val="22"/>
                <w:szCs w:val="22"/>
              </w:rPr>
            </w:pPr>
          </w:p>
        </w:tc>
      </w:tr>
      <w:tr w14:paraId="4CCF1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4E8C83C">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14:paraId="2F295B23">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780409FA">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70576062">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1A3AFDBC">
            <w:pPr>
              <w:adjustRightInd w:val="0"/>
              <w:snapToGrid w:val="0"/>
              <w:spacing w:line="360" w:lineRule="auto"/>
              <w:rPr>
                <w:sz w:val="22"/>
                <w:szCs w:val="22"/>
              </w:rPr>
            </w:pPr>
          </w:p>
        </w:tc>
      </w:tr>
      <w:tr w14:paraId="1F6AE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08C529C">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14:paraId="21664858">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29A549DD">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73562617">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399C7A88">
            <w:pPr>
              <w:adjustRightInd w:val="0"/>
              <w:snapToGrid w:val="0"/>
              <w:spacing w:line="360" w:lineRule="auto"/>
              <w:rPr>
                <w:sz w:val="22"/>
                <w:szCs w:val="22"/>
              </w:rPr>
            </w:pPr>
          </w:p>
        </w:tc>
      </w:tr>
      <w:tr w14:paraId="7C6A3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70AC6E9">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14:paraId="18C37FC5">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7C833FA8">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6C01E404">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4497458D">
            <w:pPr>
              <w:adjustRightInd w:val="0"/>
              <w:snapToGrid w:val="0"/>
              <w:spacing w:line="360" w:lineRule="auto"/>
              <w:rPr>
                <w:sz w:val="22"/>
                <w:szCs w:val="22"/>
              </w:rPr>
            </w:pPr>
          </w:p>
        </w:tc>
      </w:tr>
      <w:tr w14:paraId="267E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5C5BBB3">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14:paraId="1DC4C821">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6AF29E02">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1774C1DE">
            <w:pPr>
              <w:adjustRightInd w:val="0"/>
              <w:snapToGrid w:val="0"/>
              <w:spacing w:line="360" w:lineRule="auto"/>
              <w:rPr>
                <w:sz w:val="22"/>
                <w:szCs w:val="22"/>
              </w:rPr>
            </w:pPr>
          </w:p>
        </w:tc>
        <w:tc>
          <w:tcPr>
            <w:tcW w:w="0" w:type="auto"/>
            <w:tcBorders>
              <w:top w:val="nil"/>
              <w:left w:val="nil"/>
              <w:bottom w:val="nil"/>
              <w:right w:val="nil"/>
            </w:tcBorders>
            <w:shd w:val="clear" w:color="auto" w:fill="auto"/>
            <w:vAlign w:val="bottom"/>
          </w:tcPr>
          <w:p w14:paraId="5DE236F7">
            <w:pPr>
              <w:adjustRightInd w:val="0"/>
              <w:snapToGrid w:val="0"/>
              <w:spacing w:line="360" w:lineRule="auto"/>
              <w:rPr>
                <w:sz w:val="22"/>
                <w:szCs w:val="22"/>
              </w:rPr>
            </w:pPr>
          </w:p>
        </w:tc>
      </w:tr>
      <w:tr w14:paraId="2DDCE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5"/>
          </w:tcPr>
          <w:p w14:paraId="03BFE4F4">
            <w:pPr>
              <w:adjustRightInd w:val="0"/>
              <w:snapToGrid w:val="0"/>
              <w:spacing w:line="360" w:lineRule="auto"/>
              <w:rPr>
                <w:sz w:val="22"/>
                <w:szCs w:val="22"/>
              </w:rPr>
            </w:pPr>
            <w:r>
              <w:rPr>
                <w:sz w:val="22"/>
                <w:szCs w:val="22"/>
              </w:rPr>
              <w:t>Panel B. OU covariance structures</w:t>
            </w:r>
          </w:p>
        </w:tc>
      </w:tr>
      <w:tr w14:paraId="4B87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34F4ACEB">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tcPr>
          <w:p w14:paraId="1A36163A">
            <w:pPr>
              <w:adjustRightInd w:val="0"/>
              <w:snapToGrid w:val="0"/>
              <w:spacing w:line="360" w:lineRule="auto"/>
              <w:rPr>
                <w:sz w:val="22"/>
                <w:szCs w:val="22"/>
              </w:rPr>
            </w:pPr>
          </w:p>
        </w:tc>
        <w:tc>
          <w:tcPr>
            <w:tcW w:w="0" w:type="auto"/>
            <w:tcBorders>
              <w:top w:val="nil"/>
              <w:left w:val="nil"/>
              <w:bottom w:val="nil"/>
              <w:right w:val="nil"/>
            </w:tcBorders>
            <w:noWrap/>
          </w:tcPr>
          <w:p w14:paraId="1CACC5E7">
            <w:pPr>
              <w:adjustRightInd w:val="0"/>
              <w:snapToGrid w:val="0"/>
              <w:spacing w:line="360" w:lineRule="auto"/>
              <w:rPr>
                <w:sz w:val="22"/>
                <w:szCs w:val="22"/>
              </w:rPr>
            </w:pPr>
          </w:p>
        </w:tc>
        <w:tc>
          <w:tcPr>
            <w:tcW w:w="0" w:type="auto"/>
            <w:tcBorders>
              <w:top w:val="nil"/>
              <w:left w:val="nil"/>
              <w:bottom w:val="nil"/>
              <w:right w:val="nil"/>
            </w:tcBorders>
            <w:noWrap/>
          </w:tcPr>
          <w:p w14:paraId="650BECA8">
            <w:pPr>
              <w:adjustRightInd w:val="0"/>
              <w:snapToGrid w:val="0"/>
              <w:spacing w:line="360" w:lineRule="auto"/>
              <w:rPr>
                <w:sz w:val="22"/>
                <w:szCs w:val="22"/>
              </w:rPr>
            </w:pPr>
          </w:p>
        </w:tc>
        <w:tc>
          <w:tcPr>
            <w:tcW w:w="0" w:type="auto"/>
            <w:tcBorders>
              <w:top w:val="nil"/>
              <w:left w:val="nil"/>
              <w:bottom w:val="nil"/>
              <w:right w:val="nil"/>
            </w:tcBorders>
            <w:noWrap/>
          </w:tcPr>
          <w:p w14:paraId="4B93FD0E">
            <w:pPr>
              <w:adjustRightInd w:val="0"/>
              <w:snapToGrid w:val="0"/>
              <w:spacing w:line="360" w:lineRule="auto"/>
              <w:rPr>
                <w:sz w:val="22"/>
                <w:szCs w:val="22"/>
              </w:rPr>
            </w:pPr>
          </w:p>
        </w:tc>
      </w:tr>
      <w:tr w14:paraId="4048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3EF3DE47">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14:paraId="2D0F787A">
            <w:pPr>
              <w:adjustRightInd w:val="0"/>
              <w:snapToGrid w:val="0"/>
              <w:spacing w:line="360" w:lineRule="auto"/>
              <w:rPr>
                <w:sz w:val="22"/>
                <w:szCs w:val="22"/>
              </w:rPr>
            </w:pPr>
          </w:p>
        </w:tc>
        <w:tc>
          <w:tcPr>
            <w:tcW w:w="0" w:type="auto"/>
            <w:tcBorders>
              <w:top w:val="nil"/>
              <w:left w:val="nil"/>
              <w:bottom w:val="nil"/>
              <w:right w:val="nil"/>
            </w:tcBorders>
            <w:noWrap/>
          </w:tcPr>
          <w:p w14:paraId="35539BD8">
            <w:pPr>
              <w:adjustRightInd w:val="0"/>
              <w:snapToGrid w:val="0"/>
              <w:spacing w:line="360" w:lineRule="auto"/>
              <w:rPr>
                <w:sz w:val="22"/>
                <w:szCs w:val="22"/>
              </w:rPr>
            </w:pPr>
          </w:p>
        </w:tc>
        <w:tc>
          <w:tcPr>
            <w:tcW w:w="0" w:type="auto"/>
            <w:tcBorders>
              <w:top w:val="nil"/>
              <w:left w:val="nil"/>
              <w:bottom w:val="nil"/>
              <w:right w:val="nil"/>
            </w:tcBorders>
            <w:noWrap/>
          </w:tcPr>
          <w:p w14:paraId="3DA9F775">
            <w:pPr>
              <w:adjustRightInd w:val="0"/>
              <w:snapToGrid w:val="0"/>
              <w:spacing w:line="360" w:lineRule="auto"/>
              <w:rPr>
                <w:sz w:val="22"/>
                <w:szCs w:val="22"/>
              </w:rPr>
            </w:pPr>
          </w:p>
        </w:tc>
        <w:tc>
          <w:tcPr>
            <w:tcW w:w="0" w:type="auto"/>
            <w:tcBorders>
              <w:top w:val="nil"/>
              <w:left w:val="nil"/>
              <w:bottom w:val="nil"/>
              <w:right w:val="nil"/>
            </w:tcBorders>
            <w:noWrap/>
          </w:tcPr>
          <w:p w14:paraId="072E7201">
            <w:pPr>
              <w:adjustRightInd w:val="0"/>
              <w:snapToGrid w:val="0"/>
              <w:spacing w:line="360" w:lineRule="auto"/>
              <w:rPr>
                <w:sz w:val="22"/>
                <w:szCs w:val="22"/>
              </w:rPr>
            </w:pPr>
          </w:p>
        </w:tc>
      </w:tr>
      <w:tr w14:paraId="1D21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2A10176C">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14:paraId="78053EA1">
            <w:pPr>
              <w:adjustRightInd w:val="0"/>
              <w:snapToGrid w:val="0"/>
              <w:spacing w:line="360" w:lineRule="auto"/>
              <w:rPr>
                <w:sz w:val="22"/>
                <w:szCs w:val="22"/>
              </w:rPr>
            </w:pPr>
          </w:p>
        </w:tc>
        <w:tc>
          <w:tcPr>
            <w:tcW w:w="0" w:type="auto"/>
            <w:tcBorders>
              <w:top w:val="nil"/>
              <w:left w:val="nil"/>
              <w:bottom w:val="nil"/>
              <w:right w:val="nil"/>
            </w:tcBorders>
            <w:noWrap/>
          </w:tcPr>
          <w:p w14:paraId="2F74B528">
            <w:pPr>
              <w:adjustRightInd w:val="0"/>
              <w:snapToGrid w:val="0"/>
              <w:spacing w:line="360" w:lineRule="auto"/>
              <w:rPr>
                <w:sz w:val="22"/>
                <w:szCs w:val="22"/>
              </w:rPr>
            </w:pPr>
          </w:p>
        </w:tc>
        <w:tc>
          <w:tcPr>
            <w:tcW w:w="0" w:type="auto"/>
            <w:tcBorders>
              <w:top w:val="nil"/>
              <w:left w:val="nil"/>
              <w:bottom w:val="nil"/>
              <w:right w:val="nil"/>
            </w:tcBorders>
            <w:noWrap/>
          </w:tcPr>
          <w:p w14:paraId="6401D42B">
            <w:pPr>
              <w:adjustRightInd w:val="0"/>
              <w:snapToGrid w:val="0"/>
              <w:spacing w:line="360" w:lineRule="auto"/>
              <w:rPr>
                <w:sz w:val="22"/>
                <w:szCs w:val="22"/>
              </w:rPr>
            </w:pPr>
          </w:p>
        </w:tc>
        <w:tc>
          <w:tcPr>
            <w:tcW w:w="0" w:type="auto"/>
            <w:tcBorders>
              <w:top w:val="nil"/>
              <w:left w:val="nil"/>
              <w:bottom w:val="nil"/>
              <w:right w:val="nil"/>
            </w:tcBorders>
            <w:noWrap/>
          </w:tcPr>
          <w:p w14:paraId="211C607F">
            <w:pPr>
              <w:adjustRightInd w:val="0"/>
              <w:snapToGrid w:val="0"/>
              <w:spacing w:line="360" w:lineRule="auto"/>
              <w:rPr>
                <w:sz w:val="22"/>
                <w:szCs w:val="22"/>
              </w:rPr>
            </w:pPr>
          </w:p>
        </w:tc>
      </w:tr>
      <w:tr w14:paraId="310C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09AE8F97">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14:paraId="00918AE9">
            <w:pPr>
              <w:adjustRightInd w:val="0"/>
              <w:snapToGrid w:val="0"/>
              <w:spacing w:line="360" w:lineRule="auto"/>
              <w:rPr>
                <w:sz w:val="22"/>
                <w:szCs w:val="22"/>
              </w:rPr>
            </w:pPr>
          </w:p>
        </w:tc>
        <w:tc>
          <w:tcPr>
            <w:tcW w:w="0" w:type="auto"/>
            <w:tcBorders>
              <w:top w:val="nil"/>
              <w:left w:val="nil"/>
              <w:bottom w:val="nil"/>
              <w:right w:val="nil"/>
            </w:tcBorders>
            <w:noWrap/>
          </w:tcPr>
          <w:p w14:paraId="5412815A">
            <w:pPr>
              <w:adjustRightInd w:val="0"/>
              <w:snapToGrid w:val="0"/>
              <w:spacing w:line="360" w:lineRule="auto"/>
              <w:rPr>
                <w:sz w:val="22"/>
                <w:szCs w:val="22"/>
              </w:rPr>
            </w:pPr>
          </w:p>
        </w:tc>
        <w:tc>
          <w:tcPr>
            <w:tcW w:w="0" w:type="auto"/>
            <w:tcBorders>
              <w:top w:val="nil"/>
              <w:left w:val="nil"/>
              <w:bottom w:val="nil"/>
              <w:right w:val="nil"/>
            </w:tcBorders>
            <w:noWrap/>
          </w:tcPr>
          <w:p w14:paraId="0EF50967">
            <w:pPr>
              <w:adjustRightInd w:val="0"/>
              <w:snapToGrid w:val="0"/>
              <w:spacing w:line="360" w:lineRule="auto"/>
              <w:rPr>
                <w:sz w:val="22"/>
                <w:szCs w:val="22"/>
              </w:rPr>
            </w:pPr>
          </w:p>
        </w:tc>
        <w:tc>
          <w:tcPr>
            <w:tcW w:w="0" w:type="auto"/>
            <w:tcBorders>
              <w:top w:val="nil"/>
              <w:left w:val="nil"/>
              <w:bottom w:val="nil"/>
              <w:right w:val="nil"/>
            </w:tcBorders>
            <w:noWrap/>
          </w:tcPr>
          <w:p w14:paraId="79E03FD7">
            <w:pPr>
              <w:adjustRightInd w:val="0"/>
              <w:snapToGrid w:val="0"/>
              <w:spacing w:line="360" w:lineRule="auto"/>
              <w:rPr>
                <w:sz w:val="22"/>
                <w:szCs w:val="22"/>
              </w:rPr>
            </w:pPr>
          </w:p>
        </w:tc>
      </w:tr>
      <w:tr w14:paraId="7BEA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68A47C74">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14:paraId="696DB7C3">
            <w:pPr>
              <w:adjustRightInd w:val="0"/>
              <w:snapToGrid w:val="0"/>
              <w:spacing w:line="360" w:lineRule="auto"/>
              <w:rPr>
                <w:sz w:val="22"/>
                <w:szCs w:val="22"/>
              </w:rPr>
            </w:pPr>
          </w:p>
        </w:tc>
        <w:tc>
          <w:tcPr>
            <w:tcW w:w="0" w:type="auto"/>
            <w:tcBorders>
              <w:top w:val="nil"/>
              <w:left w:val="nil"/>
              <w:bottom w:val="nil"/>
              <w:right w:val="nil"/>
            </w:tcBorders>
            <w:noWrap/>
          </w:tcPr>
          <w:p w14:paraId="687AEE7C">
            <w:pPr>
              <w:adjustRightInd w:val="0"/>
              <w:snapToGrid w:val="0"/>
              <w:spacing w:line="360" w:lineRule="auto"/>
              <w:rPr>
                <w:sz w:val="22"/>
                <w:szCs w:val="22"/>
              </w:rPr>
            </w:pPr>
          </w:p>
        </w:tc>
        <w:tc>
          <w:tcPr>
            <w:tcW w:w="0" w:type="auto"/>
            <w:tcBorders>
              <w:top w:val="nil"/>
              <w:left w:val="nil"/>
              <w:bottom w:val="nil"/>
              <w:right w:val="nil"/>
            </w:tcBorders>
            <w:noWrap/>
          </w:tcPr>
          <w:p w14:paraId="6CA89F7F">
            <w:pPr>
              <w:adjustRightInd w:val="0"/>
              <w:snapToGrid w:val="0"/>
              <w:spacing w:line="360" w:lineRule="auto"/>
              <w:rPr>
                <w:sz w:val="22"/>
                <w:szCs w:val="22"/>
              </w:rPr>
            </w:pPr>
          </w:p>
        </w:tc>
        <w:tc>
          <w:tcPr>
            <w:tcW w:w="0" w:type="auto"/>
            <w:tcBorders>
              <w:top w:val="nil"/>
              <w:left w:val="nil"/>
              <w:bottom w:val="nil"/>
              <w:right w:val="nil"/>
            </w:tcBorders>
            <w:noWrap/>
          </w:tcPr>
          <w:p w14:paraId="0A20ABB2">
            <w:pPr>
              <w:adjustRightInd w:val="0"/>
              <w:snapToGrid w:val="0"/>
              <w:spacing w:line="360" w:lineRule="auto"/>
              <w:rPr>
                <w:sz w:val="22"/>
                <w:szCs w:val="22"/>
              </w:rPr>
            </w:pPr>
          </w:p>
        </w:tc>
      </w:tr>
      <w:tr w14:paraId="7138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gridSpan w:val="5"/>
            <w:tcBorders>
              <w:top w:val="nil"/>
              <w:left w:val="nil"/>
              <w:bottom w:val="nil"/>
              <w:right w:val="nil"/>
            </w:tcBorders>
            <w:noWrap/>
          </w:tcPr>
          <w:p w14:paraId="24DC25CF">
            <w:pPr>
              <w:adjustRightInd w:val="0"/>
              <w:snapToGrid w:val="0"/>
              <w:spacing w:line="360" w:lineRule="auto"/>
              <w:rPr>
                <w:sz w:val="22"/>
                <w:szCs w:val="22"/>
              </w:rPr>
            </w:pPr>
            <w:r>
              <w:rPr>
                <w:sz w:val="22"/>
                <w:szCs w:val="22"/>
              </w:rPr>
              <w:t>Panel C. EB covariance structures</w:t>
            </w:r>
          </w:p>
        </w:tc>
      </w:tr>
      <w:tr w14:paraId="4457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67992603">
            <w:pPr>
              <w:adjustRightInd w:val="0"/>
              <w:snapToGrid w:val="0"/>
              <w:spacing w:line="360" w:lineRule="auto"/>
              <w:rPr>
                <w:i/>
                <w:iCs/>
                <w:sz w:val="22"/>
                <w:szCs w:val="22"/>
              </w:rPr>
            </w:pPr>
          </w:p>
        </w:tc>
        <w:tc>
          <w:tcPr>
            <w:tcW w:w="0" w:type="auto"/>
            <w:tcBorders>
              <w:top w:val="nil"/>
              <w:left w:val="nil"/>
              <w:bottom w:val="nil"/>
              <w:right w:val="nil"/>
            </w:tcBorders>
            <w:noWrap/>
          </w:tcPr>
          <w:p w14:paraId="3C03005B">
            <w:pPr>
              <w:adjustRightInd w:val="0"/>
              <w:snapToGrid w:val="0"/>
              <w:spacing w:line="360" w:lineRule="auto"/>
              <w:rPr>
                <w:sz w:val="22"/>
                <w:szCs w:val="22"/>
              </w:rPr>
            </w:pPr>
          </w:p>
        </w:tc>
        <w:tc>
          <w:tcPr>
            <w:tcW w:w="0" w:type="auto"/>
            <w:tcBorders>
              <w:top w:val="nil"/>
              <w:left w:val="nil"/>
              <w:bottom w:val="nil"/>
              <w:right w:val="nil"/>
            </w:tcBorders>
            <w:noWrap/>
          </w:tcPr>
          <w:p w14:paraId="644CDBBA">
            <w:pPr>
              <w:adjustRightInd w:val="0"/>
              <w:snapToGrid w:val="0"/>
              <w:spacing w:line="360" w:lineRule="auto"/>
              <w:rPr>
                <w:sz w:val="22"/>
                <w:szCs w:val="22"/>
              </w:rPr>
            </w:pPr>
          </w:p>
        </w:tc>
        <w:tc>
          <w:tcPr>
            <w:tcW w:w="0" w:type="auto"/>
            <w:tcBorders>
              <w:top w:val="nil"/>
              <w:left w:val="nil"/>
              <w:bottom w:val="nil"/>
              <w:right w:val="nil"/>
            </w:tcBorders>
            <w:noWrap/>
          </w:tcPr>
          <w:p w14:paraId="375A45E6">
            <w:pPr>
              <w:adjustRightInd w:val="0"/>
              <w:snapToGrid w:val="0"/>
              <w:spacing w:line="360" w:lineRule="auto"/>
              <w:rPr>
                <w:sz w:val="22"/>
                <w:szCs w:val="22"/>
              </w:rPr>
            </w:pPr>
          </w:p>
        </w:tc>
        <w:tc>
          <w:tcPr>
            <w:tcW w:w="0" w:type="auto"/>
            <w:tcBorders>
              <w:top w:val="nil"/>
              <w:left w:val="nil"/>
              <w:bottom w:val="nil"/>
              <w:right w:val="nil"/>
            </w:tcBorders>
            <w:noWrap/>
          </w:tcPr>
          <w:p w14:paraId="450C2803">
            <w:pPr>
              <w:adjustRightInd w:val="0"/>
              <w:snapToGrid w:val="0"/>
              <w:spacing w:line="360" w:lineRule="auto"/>
              <w:rPr>
                <w:sz w:val="22"/>
                <w:szCs w:val="22"/>
              </w:rPr>
            </w:pPr>
          </w:p>
        </w:tc>
      </w:tr>
      <w:tr w14:paraId="1619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78C72B61">
            <w:pPr>
              <w:adjustRightInd w:val="0"/>
              <w:snapToGrid w:val="0"/>
              <w:spacing w:line="360" w:lineRule="auto"/>
              <w:rPr>
                <w:sz w:val="22"/>
                <w:szCs w:val="22"/>
              </w:rPr>
            </w:pPr>
          </w:p>
        </w:tc>
        <w:tc>
          <w:tcPr>
            <w:tcW w:w="0" w:type="auto"/>
            <w:tcBorders>
              <w:top w:val="nil"/>
              <w:left w:val="nil"/>
              <w:bottom w:val="nil"/>
              <w:right w:val="nil"/>
            </w:tcBorders>
            <w:noWrap/>
          </w:tcPr>
          <w:p w14:paraId="761B58F7">
            <w:pPr>
              <w:adjustRightInd w:val="0"/>
              <w:snapToGrid w:val="0"/>
              <w:spacing w:line="360" w:lineRule="auto"/>
              <w:rPr>
                <w:sz w:val="22"/>
                <w:szCs w:val="22"/>
              </w:rPr>
            </w:pPr>
          </w:p>
        </w:tc>
        <w:tc>
          <w:tcPr>
            <w:tcW w:w="0" w:type="auto"/>
            <w:tcBorders>
              <w:top w:val="nil"/>
              <w:left w:val="nil"/>
              <w:bottom w:val="nil"/>
              <w:right w:val="nil"/>
            </w:tcBorders>
            <w:noWrap/>
          </w:tcPr>
          <w:p w14:paraId="54D836F0">
            <w:pPr>
              <w:adjustRightInd w:val="0"/>
              <w:snapToGrid w:val="0"/>
              <w:spacing w:line="360" w:lineRule="auto"/>
              <w:rPr>
                <w:sz w:val="22"/>
                <w:szCs w:val="22"/>
              </w:rPr>
            </w:pPr>
          </w:p>
        </w:tc>
        <w:tc>
          <w:tcPr>
            <w:tcW w:w="0" w:type="auto"/>
            <w:tcBorders>
              <w:top w:val="nil"/>
              <w:left w:val="nil"/>
              <w:bottom w:val="nil"/>
              <w:right w:val="nil"/>
            </w:tcBorders>
            <w:noWrap/>
          </w:tcPr>
          <w:p w14:paraId="12E7F522">
            <w:pPr>
              <w:adjustRightInd w:val="0"/>
              <w:snapToGrid w:val="0"/>
              <w:spacing w:line="360" w:lineRule="auto"/>
              <w:rPr>
                <w:sz w:val="22"/>
                <w:szCs w:val="22"/>
              </w:rPr>
            </w:pPr>
          </w:p>
        </w:tc>
        <w:tc>
          <w:tcPr>
            <w:tcW w:w="0" w:type="auto"/>
            <w:tcBorders>
              <w:top w:val="nil"/>
              <w:left w:val="nil"/>
              <w:bottom w:val="nil"/>
              <w:right w:val="nil"/>
            </w:tcBorders>
            <w:noWrap/>
          </w:tcPr>
          <w:p w14:paraId="35A79960">
            <w:pPr>
              <w:adjustRightInd w:val="0"/>
              <w:snapToGrid w:val="0"/>
              <w:spacing w:line="360" w:lineRule="auto"/>
              <w:rPr>
                <w:sz w:val="22"/>
                <w:szCs w:val="22"/>
              </w:rPr>
            </w:pPr>
          </w:p>
        </w:tc>
      </w:tr>
      <w:tr w14:paraId="7278B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7BCB0F3C">
            <w:pPr>
              <w:adjustRightInd w:val="0"/>
              <w:snapToGrid w:val="0"/>
              <w:spacing w:line="360" w:lineRule="auto"/>
              <w:rPr>
                <w:sz w:val="22"/>
                <w:szCs w:val="22"/>
              </w:rPr>
            </w:pPr>
          </w:p>
        </w:tc>
        <w:tc>
          <w:tcPr>
            <w:tcW w:w="0" w:type="auto"/>
            <w:tcBorders>
              <w:top w:val="nil"/>
              <w:left w:val="nil"/>
              <w:bottom w:val="nil"/>
              <w:right w:val="nil"/>
            </w:tcBorders>
            <w:noWrap/>
          </w:tcPr>
          <w:p w14:paraId="0FF327C7">
            <w:pPr>
              <w:adjustRightInd w:val="0"/>
              <w:snapToGrid w:val="0"/>
              <w:spacing w:line="360" w:lineRule="auto"/>
              <w:rPr>
                <w:sz w:val="22"/>
                <w:szCs w:val="22"/>
              </w:rPr>
            </w:pPr>
          </w:p>
        </w:tc>
        <w:tc>
          <w:tcPr>
            <w:tcW w:w="0" w:type="auto"/>
            <w:tcBorders>
              <w:top w:val="nil"/>
              <w:left w:val="nil"/>
              <w:bottom w:val="nil"/>
              <w:right w:val="nil"/>
            </w:tcBorders>
            <w:noWrap/>
          </w:tcPr>
          <w:p w14:paraId="21F2E5E7">
            <w:pPr>
              <w:adjustRightInd w:val="0"/>
              <w:snapToGrid w:val="0"/>
              <w:spacing w:line="360" w:lineRule="auto"/>
              <w:rPr>
                <w:sz w:val="22"/>
                <w:szCs w:val="22"/>
              </w:rPr>
            </w:pPr>
          </w:p>
        </w:tc>
        <w:tc>
          <w:tcPr>
            <w:tcW w:w="0" w:type="auto"/>
            <w:tcBorders>
              <w:top w:val="nil"/>
              <w:left w:val="nil"/>
              <w:bottom w:val="nil"/>
              <w:right w:val="nil"/>
            </w:tcBorders>
            <w:noWrap/>
          </w:tcPr>
          <w:p w14:paraId="1CC26783">
            <w:pPr>
              <w:adjustRightInd w:val="0"/>
              <w:snapToGrid w:val="0"/>
              <w:spacing w:line="360" w:lineRule="auto"/>
              <w:rPr>
                <w:sz w:val="22"/>
                <w:szCs w:val="22"/>
              </w:rPr>
            </w:pPr>
          </w:p>
        </w:tc>
        <w:tc>
          <w:tcPr>
            <w:tcW w:w="0" w:type="auto"/>
            <w:tcBorders>
              <w:top w:val="nil"/>
              <w:left w:val="nil"/>
              <w:bottom w:val="nil"/>
              <w:right w:val="nil"/>
            </w:tcBorders>
            <w:noWrap/>
          </w:tcPr>
          <w:p w14:paraId="617428A9">
            <w:pPr>
              <w:adjustRightInd w:val="0"/>
              <w:snapToGrid w:val="0"/>
              <w:spacing w:line="360" w:lineRule="auto"/>
              <w:rPr>
                <w:sz w:val="22"/>
                <w:szCs w:val="22"/>
              </w:rPr>
            </w:pPr>
          </w:p>
        </w:tc>
      </w:tr>
      <w:tr w14:paraId="0D26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noWrap/>
          </w:tcPr>
          <w:p w14:paraId="59CAD040">
            <w:pPr>
              <w:adjustRightInd w:val="0"/>
              <w:snapToGrid w:val="0"/>
              <w:spacing w:line="360" w:lineRule="auto"/>
              <w:rPr>
                <w:sz w:val="22"/>
                <w:szCs w:val="22"/>
              </w:rPr>
            </w:pPr>
          </w:p>
        </w:tc>
        <w:tc>
          <w:tcPr>
            <w:tcW w:w="0" w:type="auto"/>
            <w:tcBorders>
              <w:top w:val="nil"/>
              <w:left w:val="nil"/>
              <w:bottom w:val="nil"/>
              <w:right w:val="nil"/>
            </w:tcBorders>
            <w:noWrap/>
          </w:tcPr>
          <w:p w14:paraId="7499AB67">
            <w:pPr>
              <w:adjustRightInd w:val="0"/>
              <w:snapToGrid w:val="0"/>
              <w:spacing w:line="360" w:lineRule="auto"/>
              <w:rPr>
                <w:sz w:val="22"/>
                <w:szCs w:val="22"/>
              </w:rPr>
            </w:pPr>
          </w:p>
        </w:tc>
        <w:tc>
          <w:tcPr>
            <w:tcW w:w="0" w:type="auto"/>
            <w:tcBorders>
              <w:top w:val="nil"/>
              <w:left w:val="nil"/>
              <w:bottom w:val="nil"/>
              <w:right w:val="nil"/>
            </w:tcBorders>
            <w:noWrap/>
          </w:tcPr>
          <w:p w14:paraId="14E31AA5">
            <w:pPr>
              <w:adjustRightInd w:val="0"/>
              <w:snapToGrid w:val="0"/>
              <w:spacing w:line="360" w:lineRule="auto"/>
              <w:rPr>
                <w:sz w:val="22"/>
                <w:szCs w:val="22"/>
              </w:rPr>
            </w:pPr>
          </w:p>
        </w:tc>
        <w:tc>
          <w:tcPr>
            <w:tcW w:w="0" w:type="auto"/>
            <w:tcBorders>
              <w:top w:val="nil"/>
              <w:left w:val="nil"/>
              <w:bottom w:val="nil"/>
              <w:right w:val="nil"/>
            </w:tcBorders>
            <w:noWrap/>
          </w:tcPr>
          <w:p w14:paraId="791F4FB5">
            <w:pPr>
              <w:adjustRightInd w:val="0"/>
              <w:snapToGrid w:val="0"/>
              <w:spacing w:line="360" w:lineRule="auto"/>
              <w:rPr>
                <w:sz w:val="22"/>
                <w:szCs w:val="22"/>
              </w:rPr>
            </w:pPr>
          </w:p>
        </w:tc>
        <w:tc>
          <w:tcPr>
            <w:tcW w:w="0" w:type="auto"/>
            <w:tcBorders>
              <w:top w:val="nil"/>
              <w:left w:val="nil"/>
              <w:bottom w:val="nil"/>
              <w:right w:val="nil"/>
            </w:tcBorders>
            <w:noWrap/>
          </w:tcPr>
          <w:p w14:paraId="673DAF80">
            <w:pPr>
              <w:adjustRightInd w:val="0"/>
              <w:snapToGrid w:val="0"/>
              <w:spacing w:line="360" w:lineRule="auto"/>
              <w:rPr>
                <w:sz w:val="22"/>
                <w:szCs w:val="22"/>
              </w:rPr>
            </w:pPr>
          </w:p>
        </w:tc>
      </w:tr>
      <w:tr w14:paraId="1C5B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nil"/>
              <w:left w:val="nil"/>
              <w:bottom w:val="single" w:color="auto" w:sz="4" w:space="0"/>
              <w:right w:val="nil"/>
            </w:tcBorders>
            <w:noWrap/>
          </w:tcPr>
          <w:p w14:paraId="77469F50">
            <w:pPr>
              <w:adjustRightInd w:val="0"/>
              <w:snapToGrid w:val="0"/>
              <w:spacing w:line="360" w:lineRule="auto"/>
              <w:rPr>
                <w:sz w:val="22"/>
                <w:szCs w:val="22"/>
              </w:rPr>
            </w:pPr>
          </w:p>
        </w:tc>
        <w:tc>
          <w:tcPr>
            <w:tcW w:w="0" w:type="auto"/>
            <w:tcBorders>
              <w:top w:val="nil"/>
              <w:left w:val="nil"/>
              <w:bottom w:val="single" w:color="auto" w:sz="4" w:space="0"/>
              <w:right w:val="nil"/>
            </w:tcBorders>
            <w:noWrap/>
          </w:tcPr>
          <w:p w14:paraId="112CF4CD">
            <w:pPr>
              <w:adjustRightInd w:val="0"/>
              <w:snapToGrid w:val="0"/>
              <w:spacing w:line="360" w:lineRule="auto"/>
              <w:rPr>
                <w:sz w:val="22"/>
                <w:szCs w:val="22"/>
              </w:rPr>
            </w:pPr>
          </w:p>
        </w:tc>
        <w:tc>
          <w:tcPr>
            <w:tcW w:w="0" w:type="auto"/>
            <w:tcBorders>
              <w:top w:val="nil"/>
              <w:left w:val="nil"/>
              <w:bottom w:val="single" w:color="auto" w:sz="4" w:space="0"/>
              <w:right w:val="nil"/>
            </w:tcBorders>
            <w:noWrap/>
          </w:tcPr>
          <w:p w14:paraId="7066000B">
            <w:pPr>
              <w:adjustRightInd w:val="0"/>
              <w:snapToGrid w:val="0"/>
              <w:spacing w:line="360" w:lineRule="auto"/>
              <w:rPr>
                <w:sz w:val="22"/>
                <w:szCs w:val="22"/>
              </w:rPr>
            </w:pPr>
          </w:p>
        </w:tc>
        <w:tc>
          <w:tcPr>
            <w:tcW w:w="0" w:type="auto"/>
            <w:tcBorders>
              <w:top w:val="nil"/>
              <w:left w:val="nil"/>
              <w:bottom w:val="single" w:color="auto" w:sz="4" w:space="0"/>
              <w:right w:val="nil"/>
            </w:tcBorders>
            <w:noWrap/>
          </w:tcPr>
          <w:p w14:paraId="64175ACF">
            <w:pPr>
              <w:adjustRightInd w:val="0"/>
              <w:snapToGrid w:val="0"/>
              <w:spacing w:line="360" w:lineRule="auto"/>
              <w:rPr>
                <w:sz w:val="22"/>
                <w:szCs w:val="22"/>
              </w:rPr>
            </w:pPr>
          </w:p>
        </w:tc>
        <w:tc>
          <w:tcPr>
            <w:tcW w:w="0" w:type="auto"/>
            <w:tcBorders>
              <w:top w:val="nil"/>
              <w:left w:val="nil"/>
              <w:bottom w:val="single" w:color="auto" w:sz="4" w:space="0"/>
              <w:right w:val="nil"/>
            </w:tcBorders>
            <w:noWrap/>
          </w:tcPr>
          <w:p w14:paraId="778B08D4">
            <w:pPr>
              <w:adjustRightInd w:val="0"/>
              <w:snapToGrid w:val="0"/>
              <w:spacing w:line="360" w:lineRule="auto"/>
              <w:rPr>
                <w:sz w:val="22"/>
                <w:szCs w:val="22"/>
              </w:rPr>
            </w:pPr>
          </w:p>
        </w:tc>
      </w:tr>
    </w:tbl>
    <w:p w14:paraId="3C79F5A2">
      <w:pPr>
        <w:adjustRightInd w:val="0"/>
        <w:snapToGrid w:val="0"/>
        <w:spacing w:line="360" w:lineRule="auto"/>
        <w:rPr>
          <w:sz w:val="22"/>
          <w:szCs w:val="22"/>
        </w:rPr>
      </w:pPr>
      <w:r>
        <w:rPr>
          <w:sz w:val="22"/>
          <w:szCs w:val="22"/>
        </w:rPr>
        <w:t xml:space="preserve">Each cell reports PIESS values for predictive </w:t>
      </w:r>
      <w:r>
        <w:rPr>
          <w:i/>
          <w:iCs/>
          <w:sz w:val="22"/>
          <w:szCs w:val="22"/>
        </w:rPr>
        <w:t>R</w:t>
      </w:r>
      <w:r>
        <w:rPr>
          <w:sz w:val="22"/>
          <w:szCs w:val="22"/>
        </w:rPr>
        <w:t xml:space="preserve">² for the phylogenetically dispersed subset and the </w:t>
      </w:r>
      <w:bookmarkStart w:id="13" w:name="_GoBack"/>
      <w:bookmarkEnd w:id="13"/>
      <w:r>
        <w:rPr>
          <w:sz w:val="22"/>
          <w:szCs w:val="22"/>
        </w:rPr>
        <w:t xml:space="preserve">phylogenetically clustered subset, respectively, in the format dispersed / 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Panel B, all dispersed and clustered PIESS values were significant at </w:t>
      </w:r>
      <w:r>
        <w:rPr>
          <w:i/>
          <w:iCs/>
          <w:sz w:val="22"/>
          <w:szCs w:val="22"/>
        </w:rPr>
        <w:t>p</w:t>
      </w:r>
      <w:r>
        <w:rPr>
          <w:sz w:val="22"/>
          <w:szCs w:val="22"/>
        </w:rPr>
        <w:t xml:space="preserve"> &lt; 0.001 in the expected direction, and asterisks are therefore omitted from individual cells. For dispersed subsets, significance was evaluated in the direction of higher PIESS than random subsets; for clustered subsets, significance was evaluated in the direction of lower PIESS than random subsets. In Panel A, </w:t>
      </w:r>
      <w:r>
        <w:rPr>
          <w:i/>
          <w:iCs/>
          <w:sz w:val="22"/>
          <w:szCs w:val="22"/>
        </w:rPr>
        <w:t>λ</w:t>
      </w:r>
      <w:r>
        <w:rPr>
          <w:sz w:val="22"/>
          <w:szCs w:val="22"/>
        </w:rPr>
        <w:t xml:space="preserve"> = 0 represents the limiting case in which all off-diagonal phylogenetic covariance is removed; under this condition, PIESS is expected to equal the nominal subset size. In Panel B, </w:t>
      </w:r>
      <w:r>
        <w:rPr>
          <w:i/>
          <w:iCs/>
          <w:sz w:val="22"/>
          <w:szCs w:val="22"/>
        </w:rPr>
        <w:t>h</w:t>
      </w:r>
      <w:r>
        <w:rPr>
          <w:sz w:val="22"/>
          <w:szCs w:val="22"/>
        </w:rPr>
        <w:t>/</w:t>
      </w:r>
      <w:r>
        <w:rPr>
          <w:i/>
          <w:iCs/>
          <w:sz w:val="22"/>
          <w:szCs w:val="22"/>
        </w:rPr>
        <w:t>H</w:t>
      </w:r>
      <w:r>
        <w:rPr>
          <w:sz w:val="22"/>
          <w:szCs w:val="22"/>
        </w:rPr>
        <w:t xml:space="preserve"> denotes the OU phylogenetic half-life relative to the height of the candidate-pool tree.</w:t>
      </w:r>
    </w:p>
    <w:p w14:paraId="2ECC4F1B">
      <w:pPr>
        <w:adjustRightInd w:val="0"/>
        <w:snapToGrid w:val="0"/>
        <w:spacing w:line="360" w:lineRule="auto"/>
      </w:pPr>
    </w:p>
    <w:bookmarkEnd w:id="10"/>
    <w:p w14:paraId="7FFB7D05">
      <w:pPr>
        <w:adjustRightInd w:val="0"/>
        <w:snapToGrid w:val="0"/>
        <w:spacing w:line="360" w:lineRule="auto"/>
      </w:pPr>
    </w:p>
    <w:p w14:paraId="78D7218B">
      <w:pPr>
        <w:adjustRightInd w:val="0"/>
        <w:snapToGrid w:val="0"/>
        <w:spacing w:line="360" w:lineRule="auto"/>
      </w:pPr>
    </w:p>
    <w:p w14:paraId="59D95BB9">
      <w:pPr>
        <w:adjustRightInd w:val="0"/>
        <w:snapToGrid w:val="0"/>
        <w:spacing w:line="360" w:lineRule="auto"/>
      </w:pPr>
      <w:r>
        <w:tab/>
      </w:r>
      <w:r>
        <w:t>Together, the nested Cricetidae analyses show that the proposed framework can distinguish low-dependence dispersed subsets from random and high-dependence clustered subsets across a range of candidate-pool sizes, subset sizes, and covariance assumptions. At the same time, they also show that the absolute effective sample size of a selected subset should not be interpreted as an intrinsic property of the subset alone. It depends jointly on the selected species, the candidate pool from which they were drawn, the target subset size, and the covariance model used to translate tree structure into expected dependence.</w:t>
      </w:r>
    </w:p>
    <w:p w14:paraId="150F2695">
      <w:pPr>
        <w:adjustRightInd w:val="0"/>
        <w:snapToGrid w:val="0"/>
        <w:spacing w:line="360" w:lineRule="auto"/>
      </w:pPr>
    </w:p>
    <w:p w14:paraId="4DF30CC5">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Discussion</w:t>
      </w:r>
    </w:p>
    <w:p w14:paraId="6A23A832">
      <w:pPr>
        <w:adjustRightInd w:val="0"/>
        <w:snapToGrid w:val="0"/>
        <w:spacing w:line="360" w:lineRule="auto"/>
        <w:rPr>
          <w:rFonts w:eastAsia="等线"/>
        </w:rPr>
      </w:pPr>
      <w:r>
        <w:rPr>
          <w:rFonts w:eastAsia="等线"/>
        </w:rPr>
        <w:t>Species-level predictive studies often describe evaluation datasets by their nominal number of species, but shared evolutionary history means that species do not necessarily contribute independent information in proportion to their count. In this study, phylogenetically dispersed subsetting was used as a deliberately favorable case for reducing within-subset dependence: if species-level validation sets can approach independence through subset choice alone, dispersed subsets should provide one of the most favorable settings available under fixed subset-size and candidate-pool constraints. Our results show that dispersion did reduce dependence relative to random and clustered subsets, but substantial tree-induced dependence often remained. Thus, even apparently large and carefully selected validation subsets can contain much less effective information than their raw species counts suggest. These findings shift the interpretation of species-level validation sets from a simple counting problem to an information-content problem: the central question is not only how many species are included, but how much independent information those species provide under the evolutionary structure of the dataset.</w:t>
      </w:r>
    </w:p>
    <w:p w14:paraId="40F93371">
      <w:pPr>
        <w:adjustRightInd w:val="0"/>
        <w:snapToGrid w:val="0"/>
        <w:spacing w:line="360" w:lineRule="auto"/>
        <w:rPr>
          <w:rFonts w:eastAsia="等线"/>
        </w:rPr>
      </w:pPr>
    </w:p>
    <w:p w14:paraId="288F2399">
      <w:pPr>
        <w:adjustRightInd w:val="0"/>
        <w:snapToGrid w:val="0"/>
        <w:spacing w:line="360" w:lineRule="auto"/>
        <w:jc w:val="center"/>
        <w:rPr>
          <w:b/>
          <w:bCs/>
          <w:i/>
          <w:iCs/>
        </w:rPr>
      </w:pPr>
      <w:r>
        <w:rPr>
          <w:b/>
          <w:bCs/>
          <w:i/>
          <w:iCs/>
        </w:rPr>
        <w:t>Limited Information in Validation Subsets</w:t>
      </w:r>
    </w:p>
    <w:p w14:paraId="0CF85F3D">
      <w:pPr>
        <w:adjustRightInd w:val="0"/>
        <w:snapToGrid w:val="0"/>
        <w:spacing w:line="360" w:lineRule="auto"/>
        <w:rPr>
          <w:rFonts w:eastAsia="等线"/>
        </w:rPr>
      </w:pPr>
      <w:r>
        <w:rPr>
          <w:rFonts w:eastAsia="等线"/>
        </w:rPr>
        <w:t xml:space="preserve">The observation that a 64-species dispersed subset yielded a MIESS of only 8.91 under a BM model provides a striking quantitative caution for machine-learning applications. This result is consistent with the broader idea that phylogenetically structured samples may contain substantially less independent information than their nominal sample size suggests </w:t>
      </w:r>
      <w:r>
        <w:rPr>
          <w:rFonts w:eastAsia="等线"/>
        </w:rPr>
        <w:fldChar w:fldCharType="begin"/>
      </w:r>
      <w:r>
        <w:rPr>
          <w:rFonts w:eastAsia="等线"/>
        </w:rPr>
        <w:instrText xml:space="preserve"> ADDIN EN.CITE &lt;EndNote&gt;&lt;Cite&gt;&lt;Author&gt;Bartoszek&lt;/Author&gt;&lt;Year&gt;2016&lt;/Year&gt;&lt;RecNum&gt;22373&lt;/RecNum&gt;&lt;DisplayText&gt;(Bartoszek 2016)&lt;/DisplayText&gt;&lt;record&gt;&lt;rec-number&gt;22373&lt;/rec-number&gt;&lt;foreign-keys&gt;&lt;key app="EN" db-id="5tsvsseeuefw27e9zx352xrpxvvtws9rxxpe" timestamp="1753711950"&gt;22373&lt;/key&gt;&lt;/foreign-keys&gt;&lt;ref-type name="Journal Article"&gt;17&lt;/ref-type&gt;&lt;contributors&gt;&lt;authors&gt;&lt;author&gt;Bartoszek, Krzysztof&lt;/author&gt;&lt;/authors&gt;&lt;/contributors&gt;&lt;titles&gt;&lt;title&gt;Phylogenetic effective sample size&lt;/title&gt;&lt;secondary-title&gt;Journal of Theoretical Biology&lt;/secondary-title&gt;&lt;/titles&gt;&lt;periodical&gt;&lt;full-title&gt;Journal of Theoretical Biology&lt;/full-title&gt;&lt;abbr-1&gt;J. Theor. Biol.&lt;/abbr-1&gt;&lt;/periodical&gt;&lt;pages&gt;371-386&lt;/pages&gt;&lt;volume&gt;407&lt;/volume&gt;&lt;keywords&gt;&lt;keyword&gt;Biodiversity&lt;/keyword&gt;&lt;keyword&gt;Effective sample size&lt;/keyword&gt;&lt;keyword&gt;Measurement error&lt;/keyword&gt;&lt;keyword&gt;Ornstein–Uhlenbeck process&lt;/keyword&gt;&lt;keyword&gt;Phylogenetic comparative methods&lt;/keyword&gt;&lt;keyword&gt;Quantitative trait evolution&lt;/keyword&gt;&lt;/keywords&gt;&lt;dates&gt;&lt;year&gt;2016&lt;/year&gt;&lt;pub-dates&gt;&lt;date&gt;2016/10/21/&lt;/date&gt;&lt;/pub-dates&gt;&lt;/dates&gt;&lt;isbn&gt;0022-5193&lt;/isbn&gt;&lt;urls&gt;&lt;related-urls&gt;&lt;url&gt;https://www.sciencedirect.com/science/article/pii/S002251931630159X&lt;/url&gt;&lt;/related-urls&gt;&lt;pdf-urls&gt;&lt;url&gt;file://E:\Documents\Phylogenetic effective sample size.pdf&lt;/url&gt;&lt;/pdf-urls&gt;&lt;/urls&gt;&lt;electronic-resource-num&gt;10.1016/j.jtbi.2016.06.026&lt;/electronic-resource-num&gt;&lt;/record&gt;&lt;/Cite&gt;&lt;/EndNote&gt;</w:instrText>
      </w:r>
      <w:r>
        <w:rPr>
          <w:rFonts w:eastAsia="等线"/>
        </w:rPr>
        <w:fldChar w:fldCharType="separate"/>
      </w:r>
      <w:r>
        <w:rPr>
          <w:rFonts w:eastAsia="等线"/>
        </w:rPr>
        <w:t>(Bartoszek 2016)</w:t>
      </w:r>
      <w:r>
        <w:rPr>
          <w:rFonts w:eastAsia="等线"/>
        </w:rPr>
        <w:fldChar w:fldCharType="end"/>
      </w:r>
      <w:r>
        <w:rPr>
          <w:rFonts w:eastAsia="等线"/>
        </w:rPr>
        <w:t>. The MIESS represented only about 14% of the nominal subset size, indicating that much of the apparent sample size remains redundant because species in the subset still share evolutionary history. The situation becomes even more severe for phylogenetically clustered subsets, which can resemble evaluation sets that inadvertently overrepresent particular clades. In the clustered reference subset, MIESS dropped to 1.29, indicating that a nominal 64-species evaluation set may contain little more independent information than a single effectively independent observation.</w:t>
      </w:r>
    </w:p>
    <w:p w14:paraId="21385D99">
      <w:pPr>
        <w:adjustRightInd w:val="0"/>
        <w:snapToGrid w:val="0"/>
        <w:spacing w:line="360" w:lineRule="auto"/>
        <w:rPr>
          <w:rFonts w:eastAsia="等线"/>
        </w:rPr>
      </w:pPr>
      <w:r>
        <w:rPr>
          <w:rFonts w:eastAsia="等线"/>
        </w:rPr>
        <w:tab/>
      </w:r>
      <w:r>
        <w:rPr>
          <w:rFonts w:eastAsia="等线"/>
        </w:rPr>
        <w:t xml:space="preserve">The prediction-metric-based analyses extend this conclusion from covariance-level dependence to the uncertainty of model-evaluation metrics themselves. MIESS and PIESS quantify different targets: the former summarizes within-subset dependence implied by the correlation structure, whereas the latter summarizes the sampling variation of predictive performance metrics. Their numerical values therefore need not be identical. Nevertheless, the estimates for the 64-species dispersed subset were broadly similar in magnitude: MIESS was 8.91, and the PIESS values for RMSE, MAE, and </w:t>
      </w:r>
      <w:r>
        <w:rPr>
          <w:rFonts w:eastAsia="等线"/>
          <w:i/>
          <w:iCs/>
        </w:rPr>
        <w:t>R</w:t>
      </w:r>
      <w:r>
        <w:rPr>
          <w:rFonts w:eastAsia="等线"/>
        </w:rPr>
        <w:t xml:space="preserve">² fell within approximately 12 to 15, corresponding to roughly one-eighth to one-quarter of the nominal 64-species subset size. Thus, under the </w:t>
      </w:r>
      <w:r>
        <w:rPr>
          <w:rFonts w:eastAsia="等线"/>
          <w:i/>
          <w:iCs/>
        </w:rPr>
        <w:t>λ</w:t>
      </w:r>
      <w:r>
        <w:rPr>
          <w:rFonts w:eastAsia="等线"/>
        </w:rPr>
        <w:t xml:space="preserve"> = 1 BM covariance structure, effective information was target- and metric-specific, but the different approaches converged on the same qualitative conclusion: even a deliberately dispersed evaluation subset contained far less independence-equivalent information than its nominal species count implied.</w:t>
      </w:r>
    </w:p>
    <w:p w14:paraId="395B5CF1">
      <w:pPr>
        <w:adjustRightInd w:val="0"/>
        <w:snapToGrid w:val="0"/>
        <w:spacing w:line="360" w:lineRule="auto"/>
        <w:rPr>
          <w:rFonts w:eastAsia="等线"/>
        </w:rPr>
      </w:pPr>
      <w:r>
        <w:rPr>
          <w:rFonts w:eastAsia="等线"/>
        </w:rPr>
        <w:tab/>
      </w:r>
      <w:r>
        <w:rPr>
          <w:rFonts w:eastAsia="等线"/>
        </w:rPr>
        <w:t xml:space="preserve">This limitation has direct implications for model validation and hyperparameter optimization. Standard machine-learning workflows use validation sets or cross-validation to compare parameter configurations and select models expected to generalize beyond the training data. However, when data contain spatial, temporal, hierarchical, or phylogenetic structure, random or unstructured validation strategies can give misleading estimates of model performance, motivating blocked or structure-aware cross-validation strategies </w:t>
      </w:r>
      <w:r>
        <w:rPr>
          <w:rFonts w:eastAsia="等线"/>
        </w:rPr>
        <w:fldChar w:fldCharType="begin"/>
      </w:r>
      <w:r>
        <w:rPr>
          <w:rFonts w:eastAsia="等线"/>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等线"/>
        </w:rPr>
        <w:fldChar w:fldCharType="separate"/>
      </w:r>
      <w:r>
        <w:rPr>
          <w:rFonts w:eastAsia="等线"/>
        </w:rPr>
        <w:t>(Roberts et al. 2017)</w:t>
      </w:r>
      <w:r>
        <w:rPr>
          <w:rFonts w:eastAsia="等线"/>
        </w:rPr>
        <w:fldChar w:fldCharType="end"/>
      </w:r>
      <w:r>
        <w:rPr>
          <w:rFonts w:eastAsia="等线"/>
        </w:rPr>
        <w:t>. Our results extend this concern to the internal information content of the evaluation subset itself: even when an evaluation set contains 64 species, its effective information content may be closer to that of only a much smaller independent sample, or in extreme clustered cases, close to one. Such low effective information can make model selection highly sensitive to noise and to the particular phylogenetic topology represented in the validation set.</w:t>
      </w:r>
    </w:p>
    <w:p w14:paraId="2725CF33">
      <w:pPr>
        <w:adjustRightInd w:val="0"/>
        <w:snapToGrid w:val="0"/>
        <w:spacing w:line="360" w:lineRule="auto"/>
        <w:rPr>
          <w:rFonts w:eastAsia="等线"/>
        </w:rPr>
      </w:pPr>
      <w:r>
        <w:rPr>
          <w:rFonts w:eastAsia="等线"/>
        </w:rPr>
        <w:tab/>
      </w:r>
      <w:r>
        <w:rPr>
          <w:rFonts w:eastAsia="等线"/>
        </w:rPr>
        <w:t xml:space="preserve">This concern follows from the finite-sample problem emphasized by Cawley and Talbot </w:t>
      </w:r>
      <w:r>
        <w:rPr>
          <w:rFonts w:eastAsia="等线"/>
        </w:rPr>
        <w:fldChar w:fldCharType="begin"/>
      </w:r>
      <w:r>
        <w:rPr>
          <w:rFonts w:eastAsia="等线"/>
        </w:rPr>
        <w:instrText xml:space="preserve"> ADDIN EN.CITE &lt;EndNote&gt;&lt;Cite ExcludeAuth="1"&gt;&lt;Author&gt;Cawley&lt;/Author&gt;&lt;Year&gt;2010&lt;/Year&gt;&lt;RecNum&gt;22704&lt;/RecNum&gt;&lt;DisplayText&gt;(2010)&lt;/DisplayText&gt;&lt;record&gt;&lt;rec-number&gt;22704&lt;/rec-number&gt;&lt;foreign-keys&gt;&lt;key app="EN" db-id="5tsvsseeuefw27e9zx352xrpxvvtws9rxxpe" timestamp="1778045817"&gt;22704&lt;/key&gt;&lt;/foreign-keys&gt;&lt;ref-type name="Journal Article"&gt;17&lt;/ref-type&gt;&lt;contributors&gt;&lt;authors&gt;&lt;author&gt;Gavin C. Cawley&lt;/author&gt;&lt;author&gt;Nicola L. C. Talbot&lt;/author&gt;&lt;/authors&gt;&lt;/contributors&gt;&lt;titles&gt;&lt;title&gt;On over-fitting in model selection and subsequent selection bias in performance evaluation&lt;/title&gt;&lt;secondary-title&gt;Journal of Machine Learning Research&lt;/secondary-title&gt;&lt;/titles&gt;&lt;periodical&gt;&lt;full-title&gt;Journal of Machine Learning Research&lt;/full-title&gt;&lt;/periodical&gt;&lt;pages&gt;2079-2107&lt;/pages&gt;&lt;volume&gt;11&lt;/volume&gt;&lt;number&gt;70&lt;/number&gt;&lt;dates&gt;&lt;year&gt;2010&lt;/year&gt;&lt;/dates&gt;&lt;urls&gt;&lt;related-urls&gt;&lt;url&gt;http://jmlr.org/papers/v11/cawley10a.html&lt;/url&gt;&lt;/related-urls&gt;&lt;pdf-urls&gt;&lt;url&gt;file://D:\D-All\Author_information\Endnote-Data\Libraries\niu_X9-Converted.Data\PDF\Newly\cawley10a.pdf&lt;/url&gt;&lt;/pdf-urls&gt;&lt;/urls&gt;&lt;/record&gt;&lt;/Cite&gt;&lt;/EndNote&gt;</w:instrText>
      </w:r>
      <w:r>
        <w:rPr>
          <w:rFonts w:eastAsia="等线"/>
        </w:rPr>
        <w:fldChar w:fldCharType="separate"/>
      </w:r>
      <w:r>
        <w:rPr>
          <w:rFonts w:eastAsia="等线"/>
        </w:rPr>
        <w:t>(2010)</w:t>
      </w:r>
      <w:r>
        <w:rPr>
          <w:rFonts w:eastAsia="等线"/>
        </w:rPr>
        <w:fldChar w:fldCharType="end"/>
      </w:r>
      <w:r>
        <w:rPr>
          <w:rFonts w:eastAsia="等线"/>
        </w:rPr>
        <w:t>: when a model-selection criterion is estimated from a limited sample, its variance can cause overfitting at the model-selection stage itself and bias subsequent performance evaluation. Such phylogenetically induced information loss can inflate the variance of the validation estimate and make hyperparameter choices more likely to track sampling noise or lineage-specific structure than genuinely generalizable biological relationships.</w:t>
      </w:r>
    </w:p>
    <w:p w14:paraId="455DE024">
      <w:pPr>
        <w:adjustRightInd w:val="0"/>
        <w:snapToGrid w:val="0"/>
        <w:spacing w:line="360" w:lineRule="auto"/>
        <w:rPr>
          <w:rFonts w:eastAsia="等线"/>
        </w:rPr>
      </w:pPr>
    </w:p>
    <w:p w14:paraId="4E6A9837">
      <w:pPr>
        <w:adjustRightInd w:val="0"/>
        <w:snapToGrid w:val="0"/>
        <w:spacing w:line="360" w:lineRule="auto"/>
        <w:jc w:val="center"/>
        <w:rPr>
          <w:b/>
          <w:bCs/>
          <w:i/>
          <w:iCs/>
        </w:rPr>
      </w:pPr>
      <w:r>
        <w:rPr>
          <w:b/>
          <w:bCs/>
          <w:i/>
          <w:iCs/>
        </w:rPr>
        <w:t>The Limits of Dispersion and the Role of Evolutionary Context</w:t>
      </w:r>
    </w:p>
    <w:p w14:paraId="0FFFD68E">
      <w:pPr>
        <w:adjustRightInd w:val="0"/>
        <w:snapToGrid w:val="0"/>
        <w:spacing w:line="360" w:lineRule="auto"/>
        <w:rPr>
          <w:rFonts w:eastAsia="等线"/>
        </w:rPr>
      </w:pPr>
      <w:r>
        <w:rPr>
          <w:rFonts w:eastAsia="等线"/>
        </w:rPr>
        <w:t xml:space="preserve">Although phylogenetically dispersed subsetting significantly reduced within-subset dependence relative to random sampling, the results also highlight an important limitation: even highly dispersed subsets can retain substantial dependence when traits follow a strict BM process </w:t>
      </w:r>
      <w:r>
        <w:rPr>
          <w:rFonts w:eastAsia="等线"/>
        </w:rPr>
        <w:fldChar w:fldCharType="begin"/>
      </w:r>
      <w:r>
        <w:rPr>
          <w:rFonts w:eastAsia="等线"/>
        </w:rPr>
        <w:instrText xml:space="preserve"> ADDIN EN.CITE &lt;EndNote&gt;&lt;Cite&gt;&lt;Author&gt;Freckleton&lt;/Author&gt;&lt;Year&gt;2002&lt;/Year&gt;&lt;RecNum&gt;14197&lt;/RecNum&gt;&lt;DisplayText&gt;(Freckleton et al. 2002)&lt;/DisplayText&gt;&lt;record&gt;&lt;rec-number&gt;14197&lt;/rec-number&gt;&lt;foreign-keys&gt;&lt;key app="EN" db-id="5tsvsseeuefw27e9zx352xrpxvvtws9rxxpe" timestamp="1494314819"&gt;14197&lt;/key&gt;&lt;/foreign-keys&gt;&lt;ref-type name="Journal Article"&gt;17&lt;/ref-type&gt;&lt;contributors&gt;&lt;authors&gt;&lt;author&gt;Freckleton, R. P.&lt;/author&gt;&lt;author&gt;Harvey, P. H.&lt;/author&gt;&lt;author&gt;Pagel, M.&lt;/author&gt;&lt;/authors&gt;&lt;/contributors&gt;&lt;titles&gt;&lt;title&gt;Phylogenetic analysis and comparative data: A test and review of evidence&lt;/title&gt;&lt;secondary-title&gt;American Naturalist&lt;/secondary-title&gt;&lt;/titles&gt;&lt;periodical&gt;&lt;full-title&gt;American Naturalist&lt;/full-title&gt;&lt;abbr-1&gt;Amer. Natur.&lt;/abbr-1&gt;&lt;/periodical&gt;&lt;pages&gt;712-726&lt;/pages&gt;&lt;volume&gt;160&lt;/volume&gt;&lt;number&gt;6&lt;/number&gt;&lt;dates&gt;&lt;year&gt;2002&lt;/year&gt;&lt;pub-dates&gt;&lt;date&gt;Dec&lt;/date&gt;&lt;/pub-dates&gt;&lt;/dates&gt;&lt;urls&gt;&lt;/urls&gt;&lt;electronic-resource-num&gt;10.1086/343873&lt;/electronic-resource-num&gt;&lt;/record&gt;&lt;/Cite&gt;&lt;/EndNote&gt;</w:instrText>
      </w:r>
      <w:r>
        <w:rPr>
          <w:rFonts w:eastAsia="等线"/>
        </w:rPr>
        <w:fldChar w:fldCharType="separate"/>
      </w:r>
      <w:r>
        <w:rPr>
          <w:rFonts w:eastAsia="等线"/>
        </w:rPr>
        <w:t>(Freckleton et al. 2002)</w:t>
      </w:r>
      <w:r>
        <w:rPr>
          <w:rFonts w:eastAsia="等线"/>
        </w:rPr>
        <w:fldChar w:fldCharType="end"/>
      </w:r>
      <w:r>
        <w:rPr>
          <w:rFonts w:eastAsia="等线"/>
        </w:rPr>
        <w:t xml:space="preserve">. Under </w:t>
      </w:r>
      <w:r>
        <w:rPr>
          <w:rFonts w:eastAsia="等线"/>
          <w:i/>
          <w:iCs/>
        </w:rPr>
        <w:t>λ</w:t>
      </w:r>
      <w:r>
        <w:rPr>
          <w:rFonts w:eastAsia="等线"/>
        </w:rPr>
        <w:t xml:space="preserve"> = 1.0, the most dispersed 64-species subset selected from 512 Cricetidae still had a MIESS of only 8.91, and its PIESS values were only approximately 13.20 for RMSE, 11.71 for MAE, and 15.10 for </w:t>
      </w:r>
      <w:r>
        <w:rPr>
          <w:rFonts w:eastAsia="等线"/>
          <w:i/>
          <w:iCs/>
        </w:rPr>
        <w:t>R</w:t>
      </w:r>
      <w:r>
        <w:rPr>
          <w:rFonts w:eastAsia="等线"/>
        </w:rPr>
        <w:t xml:space="preserve">². The direct </w:t>
      </w:r>
      <w:r>
        <w:rPr>
          <w:rFonts w:eastAsia="等线"/>
          <w:i/>
          <w:iCs/>
        </w:rPr>
        <w:t>λ</w:t>
      </w:r>
      <w:r>
        <w:rPr>
          <w:rFonts w:eastAsia="等线"/>
        </w:rPr>
        <w:t xml:space="preserve"> = 1 versus </w:t>
      </w:r>
      <w:r>
        <w:rPr>
          <w:rFonts w:eastAsia="等线"/>
          <w:i/>
          <w:iCs/>
        </w:rPr>
        <w:t>λ</w:t>
      </w:r>
      <w:r>
        <w:rPr>
          <w:rFonts w:eastAsia="等线"/>
        </w:rPr>
        <w:t xml:space="preserve"> = 0 comparison further showed that conventional performance metrics could shift in an optimistic direction: </w:t>
      </w:r>
      <w:r>
        <w:rPr>
          <w:rFonts w:eastAsia="等线"/>
          <w:i/>
          <w:iCs/>
        </w:rPr>
        <w:t>R</w:t>
      </w:r>
      <w:r>
        <w:rPr>
          <w:rFonts w:eastAsia="等线"/>
        </w:rPr>
        <w:t>² was inflated by approximately [...]%, whereas RMSE and MAE were deflated by approximately [...]% and [...]%, respectively (Table 1). Together, these covariance-based, prediction-metric-based, and direct metric-comparison results show that phylogenetic dispersion reduces redundancy but does not guarantee independent-like evaluation behavior. When phylogenetic signal is strong, residual dependence can remain an inherent consequence of tree topology and evolutionary covariance structure, rather than simply a consequence of poor subset choice.</w:t>
      </w:r>
    </w:p>
    <w:p w14:paraId="65DF50E0">
      <w:pPr>
        <w:adjustRightInd w:val="0"/>
        <w:snapToGrid w:val="0"/>
        <w:spacing w:line="360" w:lineRule="auto"/>
        <w:rPr>
          <w:rFonts w:eastAsia="等线"/>
        </w:rPr>
      </w:pPr>
      <w:r>
        <w:rPr>
          <w:rFonts w:eastAsia="等线"/>
        </w:rPr>
        <w:tab/>
      </w:r>
      <w:r>
        <w:rPr>
          <w:rFonts w:eastAsia="等线"/>
        </w:rPr>
        <w:t xml:space="preserve">This scenario is far from a theoretical curiosity, because strong phylogenetic signals have been reported for many routinely analyzed biological traits. For example, plant seed mass and plant height showed Pagel’s </w:t>
      </w:r>
      <w:r>
        <w:rPr>
          <w:rFonts w:eastAsia="等线"/>
          <w:i/>
          <w:iCs/>
        </w:rPr>
        <w:t>λ</w:t>
      </w:r>
      <w:r>
        <w:rPr>
          <w:rFonts w:eastAsia="等线"/>
        </w:rPr>
        <w:t xml:space="preserve"> values of 1.00 and 0.98, respectively, in a subtropical regional flora </w:t>
      </w:r>
      <w:r>
        <w:rPr>
          <w:rFonts w:eastAsia="等线"/>
        </w:rPr>
        <w:fldChar w:fldCharType="begin"/>
      </w:r>
      <w:r>
        <w:rPr>
          <w:rFonts w:eastAsia="等线"/>
        </w:rPr>
        <w:instrText xml:space="preserve"> ADDIN EN.CITE &lt;EndNote&gt;&lt;Cite&gt;&lt;Author&gt;Wang&lt;/Author&gt;&lt;Year&gt;2021&lt;/Year&gt;&lt;RecNum&gt;22701&lt;/RecNum&gt;&lt;DisplayText&gt;(Wang et al. 2021)&lt;/DisplayText&gt;&lt;record&gt;&lt;rec-number&gt;22701&lt;/rec-number&gt;&lt;foreign-keys&gt;&lt;key app="EN" db-id="5tsvsseeuefw27e9zx352xrpxvvtws9rxxpe" timestamp="1778040228"&gt;22701&lt;/key&gt;&lt;/foreign-keys&gt;&lt;ref-type name="Journal Article"&gt;17&lt;/ref-type&gt;&lt;contributors&gt;&lt;authors&gt;&lt;author&gt;Wang, JuHong&lt;/author&gt;&lt;author&gt;Xu, GeXi&lt;/author&gt;&lt;author&gt;Chen, Wen&lt;/author&gt;&lt;author&gt;Ma, YanBo&lt;/author&gt;&lt;author&gt;Qi, Wei&lt;/author&gt;&lt;author&gt;Zhang, ChunHui&lt;/author&gt;&lt;author&gt;Cui, XianLiang&lt;/author&gt;&lt;/authors&gt;&lt;/contributors&gt;&lt;titles&gt;&lt;title&gt;Impacts of growth form and phylogenetic relatedness on seed germination: A large-scale analysis of a subtropical regional flora&lt;/title&gt;&lt;secondary-title&gt;Ecology and Evolution&lt;/secondary-title&gt;&lt;/titles&gt;&lt;periodical&gt;&lt;full-title&gt;Ecology and Evolution&lt;/full-title&gt;&lt;abbr-1&gt;Ecol. Evol.&lt;/abbr-1&gt;&lt;/periodical&gt;&lt;pages&gt;1280-1293&lt;/pages&gt;&lt;volume&gt;11&lt;/volume&gt;&lt;number&gt;3&lt;/number&gt;&lt;dates&gt;&lt;year&gt;2021&lt;/year&gt;&lt;/dates&gt;&lt;isbn&gt;2045-7758&lt;/isbn&gt;&lt;urls&gt;&lt;related-urls&gt;&lt;url&gt;https://onlinelibrary.wiley.com/doi/abs/10.1002/ece3.7132&lt;/url&gt;&lt;/related-urls&gt;&lt;/urls&gt;&lt;electronic-resource-num&gt;https://doi.org/10.1002/ece3.7132&lt;/electronic-resource-num&gt;&lt;/record&gt;&lt;/Cite&gt;&lt;/EndNote&gt;</w:instrText>
      </w:r>
      <w:r>
        <w:rPr>
          <w:rFonts w:eastAsia="等线"/>
        </w:rPr>
        <w:fldChar w:fldCharType="separate"/>
      </w:r>
      <w:r>
        <w:rPr>
          <w:rFonts w:eastAsia="等线"/>
        </w:rPr>
        <w:t>(Wang et al. 2021)</w:t>
      </w:r>
      <w:r>
        <w:rPr>
          <w:rFonts w:eastAsia="等线"/>
        </w:rPr>
        <w:fldChar w:fldCharType="end"/>
      </w:r>
      <w:r>
        <w:rPr>
          <w:rFonts w:eastAsia="等线"/>
        </w:rPr>
        <w:t xml:space="preserve">. In rodents, basal metabolic rate and body mass also showed strong phylogenetic signals, with </w:t>
      </w:r>
      <w:r>
        <w:rPr>
          <w:rFonts w:eastAsia="等线"/>
          <w:i/>
          <w:iCs/>
        </w:rPr>
        <w:t>λ</w:t>
      </w:r>
      <w:r>
        <w:rPr>
          <w:rFonts w:eastAsia="等线"/>
        </w:rPr>
        <w:t xml:space="preserve"> values of 0.99 and 0.98, respectively </w:t>
      </w:r>
      <w:r>
        <w:rPr>
          <w:rFonts w:eastAsia="等线"/>
        </w:rPr>
        <w:fldChar w:fldCharType="begin"/>
      </w:r>
      <w:r>
        <w:rPr>
          <w:rFonts w:eastAsia="等线"/>
        </w:rPr>
        <w:instrText xml:space="preserve"> ADDIN EN.CITE &lt;EndNote&gt;&lt;Cite&gt;&lt;Author&gt;Cutrera&lt;/Author&gt;&lt;Year&gt;2025&lt;/Year&gt;&lt;RecNum&gt;22703&lt;/RecNum&gt;&lt;DisplayText&gt;(Cutrera and Luna 2025)&lt;/DisplayText&gt;&lt;record&gt;&lt;rec-number&gt;22703&lt;/rec-number&gt;&lt;foreign-keys&gt;&lt;key app="EN" db-id="5tsvsseeuefw27e9zx352xrpxvvtws9rxxpe" timestamp="1778040845"&gt;22703&lt;/key&gt;&lt;/foreign-keys&gt;&lt;ref-type name="Journal Article"&gt;17&lt;/ref-type&gt;&lt;contributors&gt;&lt;authors&gt;&lt;author&gt;Cutrera, Ana Paula&lt;/author&gt;&lt;author&gt;Luna, Facundo&lt;/author&gt;&lt;/authors&gt;&lt;/contributors&gt;&lt;titles&gt;&lt;title&gt;The effects of genome size and climate on basal metabolic rate variation in rodents&lt;/title&gt;&lt;secondary-title&gt;Journal of Experimental Biology&lt;/secondary-title&gt;&lt;/titles&gt;&lt;periodical&gt;&lt;full-title&gt;Journal of Experimental Biology&lt;/full-title&gt;&lt;abbr-1&gt;J. Exp. Biol.&lt;/abbr-1&gt;&lt;/periodical&gt;&lt;pages&gt;jeb249864&lt;/pages&gt;&lt;volume&gt;228&lt;/volume&gt;&lt;number&gt;7&lt;/number&gt;&lt;dates&gt;&lt;year&gt;2025&lt;/year&gt;&lt;/dates&gt;&lt;isbn&gt;0022-0949&lt;/isbn&gt;&lt;urls&gt;&lt;related-urls&gt;&lt;url&gt;https://doi.org/10.1242/jeb.249864&lt;/url&gt;&lt;/related-urls&gt;&lt;/urls&gt;&lt;custom1&gt;jeb249864&lt;/custom1&gt;&lt;electronic-resource-num&gt;10.1242/jeb.249864&lt;/electronic-resource-num&gt;&lt;access-date&gt;5/6/2026&lt;/access-date&gt;&lt;/record&gt;&lt;/Cite&gt;&lt;/EndNote&gt;</w:instrText>
      </w:r>
      <w:r>
        <w:rPr>
          <w:rFonts w:eastAsia="等线"/>
        </w:rPr>
        <w:fldChar w:fldCharType="separate"/>
      </w:r>
      <w:r>
        <w:rPr>
          <w:rFonts w:eastAsia="等线"/>
        </w:rPr>
        <w:t>(Cutrera and Luna 2025)</w:t>
      </w:r>
      <w:r>
        <w:rPr>
          <w:rFonts w:eastAsia="等线"/>
        </w:rPr>
        <w:fldChar w:fldCharType="end"/>
      </w:r>
      <w:r>
        <w:rPr>
          <w:rFonts w:eastAsia="等线"/>
        </w:rPr>
        <w:t xml:space="preserve">. Comparable patterns have been reported in prokaryotes, where growth-temperature traits show high phylogenetic signals, with Pagel’s </w:t>
      </w:r>
      <w:r>
        <w:rPr>
          <w:rFonts w:eastAsia="等线"/>
          <w:i/>
          <w:iCs/>
        </w:rPr>
        <w:t>λ</w:t>
      </w:r>
      <w:r>
        <w:rPr>
          <w:rFonts w:eastAsia="等线"/>
        </w:rPr>
        <w:t xml:space="preserve"> values generally above 0.93, while multiple GC-content measures show even stronger signals, often close to or equal to 1.0 </w:t>
      </w:r>
      <w:r>
        <w:rPr>
          <w:rFonts w:eastAsia="等线"/>
        </w:rPr>
        <w:fldChar w:fldCharType="begin"/>
      </w:r>
      <w:r>
        <w:rPr>
          <w:rFonts w:eastAsia="等线"/>
        </w:rPr>
        <w:instrText xml:space="preserve"> ADDIN EN.CITE &lt;EndNote&gt;&lt;Cite&gt;&lt;Author&gt;Hu&lt;/Author&gt;&lt;Year&gt;2022&lt;/Year&gt;&lt;RecNum&gt;19758&lt;/RecNum&gt;&lt;DisplayText&gt;(Hu et al. 2022)&lt;/DisplayText&gt;&lt;record&gt;&lt;rec-number&gt;19758&lt;/rec-number&gt;&lt;foreign-keys&gt;&lt;key app="EN" db-id="5tsvsseeuefw27e9zx352xrpxvvtws9rxxpe" timestamp="1644401434"&gt;19758&lt;/key&gt;&lt;/foreign-keys&gt;&lt;ref-type name="Journal Article"&gt;17&lt;/ref-type&gt;&lt;contributors&gt;&lt;authors&gt;&lt;author&gt;Hu, En-Ze&lt;/author&gt;&lt;author&gt;Lan, Xin-Ran&lt;/author&gt;&lt;author&gt;Liu, Zhi-Ling&lt;/author&gt;&lt;author&gt;Gao, Jie&lt;/author&gt;&lt;author&gt;Niu, Deng-Ke&lt;/author&gt;&lt;/authors&gt;&lt;/contributors&gt;&lt;titles&gt;&lt;title&gt;A positive correlation between GC content and growth temperature in prokaryotes&lt;/title&gt;&lt;secondary-title&gt;BMC Genomics&lt;/secondary-title&gt;&lt;alt-title&gt;&amp;#xD;&lt;/alt-title&gt;&lt;/titles&gt;&lt;periodical&gt;&lt;full-title&gt;BMC Genomics&lt;/full-title&gt;&lt;/periodical&gt;&lt;pages&gt;110&lt;/pages&gt;&lt;volume&gt;23&lt;/volume&gt;&lt;number&gt;1&lt;/number&gt;&lt;dates&gt;&lt;year&gt;2022&lt;/year&gt;&lt;pub-dates&gt;&lt;date&gt;2022/02/09&lt;/date&gt;&lt;/pub-dates&gt;&lt;/dates&gt;&lt;isbn&gt;1471-2164&lt;/isbn&gt;&lt;urls&gt;&lt;related-urls&gt;&lt;url&gt;https://doi.org/10.1186/s12864-022-08353-7&lt;/url&gt;&lt;url&gt;https://bmcgenomics.biomedcentral.com/track/pdf/10.1186/s12864-022-08353-7.pdf&lt;/url&gt;&lt;/related-urls&gt;&lt;/urls&gt;&lt;electronic-resource-num&gt;10.1186/s12864-022-08353-7&lt;/electronic-resource-num&gt;&lt;/record&gt;&lt;/Cite&gt;&lt;/EndNote&gt;</w:instrText>
      </w:r>
      <w:r>
        <w:rPr>
          <w:rFonts w:eastAsia="等线"/>
        </w:rPr>
        <w:fldChar w:fldCharType="separate"/>
      </w:r>
      <w:r>
        <w:rPr>
          <w:rFonts w:eastAsia="等线"/>
        </w:rPr>
        <w:t>(Hu et al. 2022)</w:t>
      </w:r>
      <w:r>
        <w:rPr>
          <w:rFonts w:eastAsia="等线"/>
        </w:rPr>
        <w:fldChar w:fldCharType="end"/>
      </w:r>
      <w:r>
        <w:rPr>
          <w:rFonts w:eastAsia="等线"/>
        </w:rPr>
        <w:t xml:space="preserve">. Bacterial CRISPR-Cas-related traits also show strong phylogenetic signals, with </w:t>
      </w:r>
      <w:r>
        <w:rPr>
          <w:rFonts w:eastAsia="等线"/>
          <w:i/>
          <w:iCs/>
        </w:rPr>
        <w:t>λ</w:t>
      </w:r>
      <w:r>
        <w:rPr>
          <w:rFonts w:eastAsia="等线"/>
        </w:rPr>
        <w:t xml:space="preserve"> values ranging from 0.846 to 0.922 </w:t>
      </w:r>
      <w:r>
        <w:rPr>
          <w:rFonts w:eastAsia="等线"/>
        </w:rPr>
        <w:fldChar w:fldCharType="begin"/>
      </w:r>
      <w:r>
        <w:rPr>
          <w:rFonts w:eastAsia="等线"/>
        </w:rPr>
        <w:instrText xml:space="preserve"> ADDIN EN.CITE &lt;EndNote&gt;&lt;Cite&gt;&lt;Author&gt;Lan&lt;/Author&gt;&lt;Year&gt;2022&lt;/Year&gt;&lt;RecNum&gt;19827&lt;/RecNum&gt;&lt;DisplayText&gt;(Lan et al. 2022)&lt;/DisplayText&gt;&lt;record&gt;&lt;rec-number&gt;19827&lt;/rec-number&gt;&lt;foreign-keys&gt;&lt;key app="EN" db-id="5tsvsseeuefw27e9zx352xrpxvvtws9rxxpe" timestamp="1646175465"&gt;19827&lt;/key&gt;&lt;/foreign-keys&gt;&lt;ref-type name="Journal Article"&gt;17&lt;/ref-type&gt;&lt;contributors&gt;&lt;authors&gt;&lt;author&gt;Lan, Xin-Ran&lt;/author&gt;&lt;author&gt;Liu, Zhi-Ling&lt;/author&gt;&lt;author&gt;Niu, Deng-Ke&lt;/author&gt;&lt;/authors&gt;&lt;/contributors&gt;&lt;titles&gt;&lt;title&gt;Precipitous increase of bacterial CRISPR-Cas abundance at around 45°C&lt;/title&gt;&lt;secondary-title&gt;Frontiers in Microbiology&lt;/secondary-title&gt;&lt;short-title&gt;Thermal Distribution of CRISPR-Cas&lt;/short-title&gt;&lt;/titles&gt;&lt;periodical&gt;&lt;full-title&gt;Frontiers in Microbiology&lt;/full-title&gt;&lt;abbr-1&gt;Front. Microbiol.&lt;/abbr-1&gt;&lt;/periodical&gt;&lt;pages&gt;773114&lt;/pages&gt;&lt;volume&gt;13&lt;/volume&gt;&lt;keywords&gt;&lt;keyword&gt;CRISPR-Cas,Optimal growth temperature,Bacteria,protistan grazing,viral lysis,Mortality&lt;/keyword&gt;&lt;/keywords&gt;&lt;dates&gt;&lt;year&gt;2022&lt;/year&gt;&lt;pub-dates&gt;&lt;date&gt;2022-March-01&lt;/date&gt;&lt;/pub-dates&gt;&lt;/dates&gt;&lt;isbn&gt;1664-302X&lt;/isbn&gt;&lt;work-type&gt;Hypothesis and Theory&lt;/work-type&gt;&lt;urls&gt;&lt;related-urls&gt;&lt;url&gt;https://www.frontiersin.org/article/10.3389/fmicb.2022.773114&lt;/url&gt;&lt;/related-urls&gt;&lt;/urls&gt;&lt;electronic-resource-num&gt;10.3389/fmicb.2022.773114&lt;/electronic-resource-num&gt;&lt;language&gt;English&lt;/language&gt;&lt;/record&gt;&lt;/Cite&gt;&lt;/EndNote&gt;</w:instrText>
      </w:r>
      <w:r>
        <w:rPr>
          <w:rFonts w:eastAsia="等线"/>
        </w:rPr>
        <w:fldChar w:fldCharType="separate"/>
      </w:r>
      <w:r>
        <w:rPr>
          <w:rFonts w:eastAsia="等线"/>
        </w:rPr>
        <w:t>(Lan et al. 2022)</w:t>
      </w:r>
      <w:r>
        <w:rPr>
          <w:rFonts w:eastAsia="等线"/>
        </w:rPr>
        <w:fldChar w:fldCharType="end"/>
      </w:r>
      <w:r>
        <w:rPr>
          <w:rFonts w:eastAsia="等线"/>
        </w:rPr>
        <w:t>.</w:t>
      </w:r>
    </w:p>
    <w:p w14:paraId="5A9CC5C7">
      <w:pPr>
        <w:adjustRightInd w:val="0"/>
        <w:snapToGrid w:val="0"/>
        <w:spacing w:line="360" w:lineRule="auto"/>
        <w:rPr>
          <w:rFonts w:eastAsia="等线"/>
        </w:rPr>
      </w:pPr>
      <w:r>
        <w:rPr>
          <w:rFonts w:eastAsia="等线"/>
        </w:rPr>
        <w:tab/>
      </w:r>
      <w:r>
        <w:rPr>
          <w:rFonts w:eastAsia="等线"/>
        </w:rPr>
        <w:t xml:space="preserve">The constraint also persisted as the evolutionary model was relaxed. For instance, at </w:t>
      </w:r>
      <w:r>
        <w:rPr>
          <w:rFonts w:eastAsia="等线"/>
          <w:i/>
          <w:iCs/>
        </w:rPr>
        <w:t>λ</w:t>
      </w:r>
      <w:r>
        <w:rPr>
          <w:rFonts w:eastAsia="等线"/>
        </w:rPr>
        <w:t xml:space="preserve"> = 0.5, the PIESS for </w:t>
      </w:r>
      <w:r>
        <w:rPr>
          <w:rFonts w:eastAsia="等线"/>
          <w:i/>
          <w:iCs/>
        </w:rPr>
        <w:t>R</w:t>
      </w:r>
      <w:r>
        <w:rPr>
          <w:rFonts w:eastAsia="等线"/>
        </w:rPr>
        <w:t xml:space="preserve">² of the dispersed 64-species subset remained strikingly low at approximately […], implying that even a moderate phylogenetic signal can neutralize more than three quarters of the nominal sample size. Only when the signal was further reduced did MIESS begin to represent a more substantial portion of the data, exceeding half of the nominal subset size only at </w:t>
      </w:r>
      <w:r>
        <w:rPr>
          <w:rFonts w:eastAsia="等线"/>
          <w:i/>
          <w:iCs/>
        </w:rPr>
        <w:t>λ</w:t>
      </w:r>
      <w:r>
        <w:rPr>
          <w:rFonts w:eastAsia="等线"/>
        </w:rPr>
        <w:t xml:space="preserve"> = 0.x, where PIESS for </w:t>
      </w:r>
      <w:r>
        <w:rPr>
          <w:rFonts w:eastAsia="等线"/>
          <w:i/>
          <w:iCs/>
        </w:rPr>
        <w:t>R</w:t>
      </w:r>
      <w:r>
        <w:rPr>
          <w:rFonts w:eastAsia="等线"/>
        </w:rPr>
        <w:t>² reached […]. These thresholds suggest that, for many biological traits with moderate to strong phylogenetic signal, the effective information available for model evaluation may be much sparser than the nominal number of species implies.</w:t>
      </w:r>
    </w:p>
    <w:p w14:paraId="5FE7EC3C">
      <w:pPr>
        <w:adjustRightInd w:val="0"/>
        <w:snapToGrid w:val="0"/>
        <w:spacing w:line="360" w:lineRule="auto"/>
        <w:rPr>
          <w:rFonts w:eastAsia="等线"/>
        </w:rPr>
      </w:pPr>
    </w:p>
    <w:p w14:paraId="161FFAC3">
      <w:pPr>
        <w:adjustRightInd w:val="0"/>
        <w:snapToGrid w:val="0"/>
        <w:spacing w:line="360" w:lineRule="auto"/>
        <w:rPr>
          <w:rFonts w:eastAsia="等线"/>
        </w:rPr>
      </w:pPr>
    </w:p>
    <w:p w14:paraId="5DA92207">
      <w:pPr>
        <w:adjustRightInd w:val="0"/>
        <w:snapToGrid w:val="0"/>
        <w:spacing w:line="360" w:lineRule="auto"/>
        <w:rPr>
          <w:rFonts w:eastAsia="等线"/>
        </w:rPr>
      </w:pPr>
    </w:p>
    <w:p w14:paraId="561083C5">
      <w:pPr>
        <w:adjustRightInd w:val="0"/>
        <w:snapToGrid w:val="0"/>
        <w:spacing w:line="360" w:lineRule="auto"/>
        <w:jc w:val="center"/>
        <w:rPr>
          <w:b/>
          <w:bCs/>
          <w:i/>
          <w:iCs/>
        </w:rPr>
      </w:pPr>
      <w:bookmarkStart w:id="11" w:name="_Hlk230263103"/>
      <w:r>
        <w:rPr>
          <w:b/>
          <w:bCs/>
          <w:i/>
          <w:iCs/>
        </w:rPr>
        <w:t xml:space="preserve">Towards Dependence-Aware </w:t>
      </w:r>
      <w:r>
        <w:rPr>
          <w:rFonts w:eastAsiaTheme="minorEastAsia"/>
          <w:b/>
          <w:bCs/>
          <w:i/>
          <w:iCs/>
        </w:rPr>
        <w:t xml:space="preserve">Model </w:t>
      </w:r>
      <w:r>
        <w:rPr>
          <w:b/>
          <w:bCs/>
          <w:i/>
          <w:iCs/>
        </w:rPr>
        <w:t>Evaluation</w:t>
      </w:r>
    </w:p>
    <w:bookmarkEnd w:id="11"/>
    <w:p w14:paraId="6289EE93">
      <w:pPr>
        <w:adjustRightInd w:val="0"/>
        <w:snapToGrid w:val="0"/>
        <w:spacing w:line="360" w:lineRule="auto"/>
        <w:rPr>
          <w:rFonts w:eastAsia="等线"/>
        </w:rPr>
      </w:pPr>
      <w:r>
        <w:rPr>
          <w:rFonts w:eastAsia="等线"/>
        </w:rPr>
        <w:t>A nominal evaluation set may contain far fewer independent observations than its species count suggests. This recognition also highlights a practical trade-off in species-level machine-learning evaluation. When all available species can be included in an evaluation set, using the full candidate pool will usually provide more absolute effective information than any smaller subset including the most phylogenetically dispersed subset, even if many species in the full pool are phylogenetically redundant. However, a larger evaluation set may also contain stronger internal dependence, especially when additional species come from already well-represented clades. Conversely, a smaller phylogenetically dispersed subset can reduce internal dependence and increase the independence efficiency of the selected species, but it cannot exceed the absolute information available from the full candidate pool. Thus, maximizing total effective information and minimizing within-subset dependence are related but not identical goals.</w:t>
      </w:r>
    </w:p>
    <w:p w14:paraId="16C2E951">
      <w:pPr>
        <w:adjustRightInd w:val="0"/>
        <w:snapToGrid w:val="0"/>
        <w:spacing w:line="360" w:lineRule="auto"/>
        <w:rPr>
          <w:rFonts w:eastAsia="等线"/>
        </w:rPr>
      </w:pPr>
      <w:r>
        <w:rPr>
          <w:rFonts w:eastAsia="等线"/>
        </w:rPr>
        <w:tab/>
      </w:r>
      <w:r>
        <w:rPr>
          <w:rFonts w:eastAsia="等线"/>
        </w:rPr>
        <w:t>This distinction clarifies the role of phylogenetically dispersed subsetting. Dispersed subsets should not be interpreted as a recommendation to discard available evaluation species whenever the goal is to maximize the total precision of performance estimates. Rather, they are most useful when the candidate pool is large enough to allow selective sampling and a fixed-size benchmark subset is desired, when balanced comparisons across models or datasets are required, or when researchers want to construct a stricter low-dependence evaluation set. In such settings, dispersed subsetting provides a deliberately favorable case for assessing how much internal dependence remains after phylogenetic redundancy has been reduced as far as possible, given a fixed subset size and a defined candidate pool.</w:t>
      </w:r>
    </w:p>
    <w:p w14:paraId="3B6B0F04">
      <w:pPr>
        <w:adjustRightInd w:val="0"/>
        <w:snapToGrid w:val="0"/>
        <w:spacing w:line="360" w:lineRule="auto"/>
        <w:rPr>
          <w:rFonts w:eastAsia="等线"/>
        </w:rPr>
      </w:pPr>
      <w:r>
        <w:rPr>
          <w:rFonts w:eastAsia="等线"/>
        </w:rPr>
        <w:tab/>
      </w:r>
      <w:r>
        <w:rPr>
          <w:rFonts w:eastAsia="等线"/>
        </w:rPr>
        <w:t xml:space="preserve">A more complete dependence-aware evaluation protocol could combine subset design with phylogenetically adjusted performance assessment. For regression-type performance summaries such as </w:t>
      </w:r>
      <w:r>
        <w:rPr>
          <w:rFonts w:eastAsia="等线"/>
          <w:i/>
          <w:iCs/>
        </w:rPr>
        <w:t>R</w:t>
      </w:r>
      <w:r>
        <w:rPr>
          <w:rFonts w:eastAsia="等线"/>
          <w:vertAlign w:val="superscript"/>
        </w:rPr>
        <w:t>2</w:t>
      </w:r>
      <w:r>
        <w:rPr>
          <w:rFonts w:eastAsia="等线"/>
        </w:rPr>
        <w:t xml:space="preserve">, one practical extension is to compare observed and predicted values using PGLS </w:t>
      </w:r>
      <w:r>
        <w:rPr>
          <w:rFonts w:eastAsia="等线"/>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Y29yZD48L0NpdGU+PC9FbmROb3RlPgBAAA==
</w:fldData>
        </w:fldChar>
      </w:r>
      <w:r>
        <w:rPr>
          <w:rFonts w:eastAsia="等线"/>
        </w:rPr>
        <w:instrText xml:space="preserve"> ADDIN EN.CITE </w:instrText>
      </w:r>
      <w:r>
        <w:rPr>
          <w:rFonts w:eastAsia="等线"/>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Y29yZD48L0NpdGU+PC9FbmROb3RlPgBAAA==
</w:fldData>
        </w:fldChar>
      </w:r>
      <w:r>
        <w:rPr>
          <w:rFonts w:eastAsia="等线"/>
        </w:rPr>
        <w:instrText xml:space="preserve"> ADDIN EN.CITE.DATA </w:instrText>
      </w:r>
      <w:r>
        <w:rPr>
          <w:rFonts w:eastAsia="等线"/>
        </w:rPr>
        <w:fldChar w:fldCharType="end"/>
      </w:r>
      <w:r>
        <w:rPr>
          <w:rFonts w:eastAsia="等线"/>
        </w:rPr>
        <w:fldChar w:fldCharType="separate"/>
      </w:r>
      <w:r>
        <w:rPr>
          <w:rFonts w:eastAsia="等线"/>
        </w:rPr>
        <w:t>(Grafen 1989, Pagel 1999, Symonds and Blomberg 2014)</w:t>
      </w:r>
      <w:r>
        <w:rPr>
          <w:rFonts w:eastAsia="等线"/>
        </w:rPr>
        <w:fldChar w:fldCharType="end"/>
      </w:r>
      <w:r>
        <w:rPr>
          <w:rFonts w:eastAsia="等线"/>
        </w:rPr>
        <w:t xml:space="preserve">. Instead of relying only on an ordinary regression of observed values against model predictions, researchers could compare the ordinary </w:t>
      </w:r>
      <w:r>
        <w:rPr>
          <w:rFonts w:eastAsia="等线"/>
          <w:i/>
          <w:iCs/>
        </w:rPr>
        <w:t>R</w:t>
      </w:r>
      <w:r>
        <w:rPr>
          <w:rFonts w:eastAsia="等线"/>
          <w:vertAlign w:val="superscript"/>
        </w:rPr>
        <w:t>2</w:t>
      </w:r>
      <w:r>
        <w:rPr>
          <w:rFonts w:eastAsia="等线"/>
        </w:rPr>
        <w:t xml:space="preserve"> with a PGLS-based </w:t>
      </w:r>
      <w:r>
        <w:rPr>
          <w:rFonts w:eastAsia="等线"/>
          <w:i/>
          <w:iCs/>
        </w:rPr>
        <w:t>R</w:t>
      </w:r>
      <w:r>
        <w:rPr>
          <w:rFonts w:eastAsia="等线"/>
          <w:vertAlign w:val="superscript"/>
        </w:rPr>
        <w:t>2</w:t>
      </w:r>
      <w:r>
        <w:rPr>
          <w:rFonts w:eastAsia="等线"/>
        </w:rPr>
        <w:t xml:space="preserve"> or pseudo-</w:t>
      </w:r>
      <w:r>
        <w:rPr>
          <w:rFonts w:eastAsia="等线"/>
          <w:i/>
          <w:iCs/>
        </w:rPr>
        <w:t xml:space="preserve"> R</w:t>
      </w:r>
      <w:r>
        <w:rPr>
          <w:rFonts w:eastAsia="等线"/>
          <w:vertAlign w:val="superscript"/>
        </w:rPr>
        <w:t>2</w:t>
      </w:r>
      <w:r>
        <w:rPr>
          <w:rFonts w:eastAsia="等线"/>
        </w:rPr>
        <w:t xml:space="preserve"> that incorporates the phylogenetic covariance matrix of the evaluation species. Such a comparison would not by itself decompose predictive performance into “feature learning” and “phylogenetic interpolation,” but a substantial decline from ordinary to PGLS-based </w:t>
      </w:r>
      <w:r>
        <w:rPr>
          <w:rFonts w:eastAsia="等线"/>
          <w:i/>
          <w:iCs/>
        </w:rPr>
        <w:t>R</w:t>
      </w:r>
      <w:r>
        <w:rPr>
          <w:rFonts w:eastAsia="等线"/>
          <w:vertAlign w:val="superscript"/>
        </w:rPr>
        <w:t>2</w:t>
      </w:r>
      <w:r>
        <w:rPr>
          <w:rFonts w:eastAsia="等线"/>
        </w:rPr>
        <w:t xml:space="preserve"> would suggest that apparent model accuracy is partly supported by phylogenetic structure within the evaluation set.</w:t>
      </w:r>
    </w:p>
    <w:p w14:paraId="585F24CF">
      <w:pPr>
        <w:adjustRightInd w:val="0"/>
        <w:snapToGrid w:val="0"/>
        <w:spacing w:line="360" w:lineRule="auto"/>
        <w:rPr>
          <w:rFonts w:eastAsia="等线"/>
        </w:rPr>
      </w:pPr>
      <w:r>
        <w:rPr>
          <w:rFonts w:eastAsia="等线"/>
        </w:rPr>
        <w:tab/>
      </w:r>
      <w:r>
        <w:rPr>
          <w:rFonts w:eastAsia="等线"/>
        </w:rPr>
        <w:t>Other performance metrics require more cautious treatment. RMSE and MAE do not have direct PGLS analogues in the same sense as regression-based performance summaries, because they measure prediction errors on the original trait scale rather than the strength of an observed–predicted relationship. Calibrating the uncertainty of RMSE and MAE under phylogenetically correlated error structures remains a topic for future methodological development, as no standard correction currently exists. Under BM-like covariance assumptions, comparisons based on phylogenetically independent contrasts (PICs) between observed and predicted values may provide an additional sensitivity analysis, especially for assessing whether predictive agreement persists after removing shared-ancestry effects. However, PIC-based error summaries should be interpreted as contrast-space agreement rather than direct replacements for original-scale RMSE or MAE.</w:t>
      </w:r>
    </w:p>
    <w:p w14:paraId="0E54DA40">
      <w:pPr>
        <w:adjustRightInd w:val="0"/>
        <w:snapToGrid w:val="0"/>
        <w:spacing w:line="360" w:lineRule="auto"/>
        <w:rPr>
          <w:rFonts w:eastAsia="等线"/>
        </w:rPr>
      </w:pPr>
      <w:r>
        <w:rPr>
          <w:rFonts w:eastAsia="等线"/>
        </w:rPr>
        <w:tab/>
      </w:r>
      <w:r>
        <w:rPr>
          <w:rFonts w:eastAsia="等线"/>
        </w:rPr>
        <w:t xml:space="preserve">The PIESS results further indicate that effective information is metric-specific. In the present analyses, R² yielded a larger independence-equivalent sample size than RMSE and MAE despite being evaluated on the same dispersed subset under the same phylogenetic covariance structure. This pattern should be interpreted as metric-specific sampling uncertainty rather than as evidence that </w:t>
      </w:r>
      <w:r>
        <w:rPr>
          <w:rFonts w:eastAsia="等线"/>
          <w:i/>
          <w:iCs/>
        </w:rPr>
        <w:t>R</w:t>
      </w:r>
      <w:r>
        <w:rPr>
          <w:rFonts w:eastAsia="等线"/>
        </w:rPr>
        <w:t xml:space="preserve">² is generally less sensitive to phylogenetic non-independence or less biased under phylogenetically structured evaluation. RMSE, MAE, and predictive </w:t>
      </w:r>
      <w:r>
        <w:rPr>
          <w:rFonts w:eastAsia="等线"/>
          <w:i/>
          <w:iCs/>
        </w:rPr>
        <w:t>R</w:t>
      </w:r>
      <w:r>
        <w:rPr>
          <w:rFonts w:eastAsia="等线"/>
        </w:rPr>
        <w:t>² were used here as representative performance summaries for quantifying independence-equivalent information, not as an exhaustive comparison of metric robustness. A full assessment of metric-specific bias would require a dedicated study that systematically evaluates the full range of performance metrics used in previous species-level prediction studies, as well as alternative metrics that could plausibly be adopted for dependence-aware evaluation. The central conclusion of the present study does not depend on resolving that broader comparison: across the metrics examined here, the dispersed subset still contained substantially less independence-equivalent information than its nominal size.</w:t>
      </w:r>
    </w:p>
    <w:p w14:paraId="3A6EBFA8">
      <w:pPr>
        <w:adjustRightInd w:val="0"/>
        <w:snapToGrid w:val="0"/>
        <w:spacing w:line="360" w:lineRule="auto"/>
        <w:rPr>
          <w:rFonts w:eastAsia="等线"/>
        </w:rPr>
      </w:pPr>
      <w:r>
        <w:rPr>
          <w:rFonts w:eastAsia="等线"/>
        </w:rPr>
        <w:tab/>
      </w:r>
      <w:r>
        <w:rPr>
          <w:rFonts w:eastAsia="等线"/>
        </w:rPr>
        <w:t>Overall, dependence-aware model evaluation should distinguish among three related but different aims: maximizing absolute effective information, reducing internal dependence within the evaluation set, and interpreting performance estimates with explicit awareness of residual phylogenetic dependence. Phylogenetic dependence cannot always be eliminated by subset design, but it can be reduced where possible, quantified explicitly, and incorporated into sensitivity analyses. In this sense, dependence-aware evaluation provides a practical middle ground: it does not assume that phylogenetic dependence can be fully removed, but it prevents such dependence from remaining invisible in species-level model assessment.</w:t>
      </w:r>
    </w:p>
    <w:p w14:paraId="28075EAE">
      <w:pPr>
        <w:adjustRightInd w:val="0"/>
        <w:snapToGrid w:val="0"/>
        <w:spacing w:line="360" w:lineRule="auto"/>
        <w:rPr>
          <w:rFonts w:eastAsia="等线"/>
        </w:rPr>
      </w:pPr>
    </w:p>
    <w:p w14:paraId="010F9485">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Funding</w:t>
      </w:r>
    </w:p>
    <w:p w14:paraId="5F8EE61E">
      <w:pPr>
        <w:adjustRightInd w:val="0"/>
        <w:snapToGrid w:val="0"/>
        <w:spacing w:line="360" w:lineRule="auto"/>
        <w:rPr>
          <w:bCs/>
          <w:shd w:val="clear" w:color="auto" w:fill="FFFFFF"/>
        </w:rPr>
      </w:pPr>
      <w:r>
        <w:rPr>
          <w:bCs/>
          <w:shd w:val="clear" w:color="auto" w:fill="FFFFFF"/>
        </w:rPr>
        <w:tab/>
      </w:r>
      <w:r>
        <w:rPr>
          <w:bCs/>
          <w:shd w:val="clear" w:color="auto" w:fill="FFFFFF"/>
        </w:rPr>
        <w:t>This study received limited support from remaining funds of the National Natural Science Foundation of China (grant number 31671321). No dedicated funding was received for this specific project.</w:t>
      </w:r>
    </w:p>
    <w:p w14:paraId="1C0CCEFE">
      <w:pPr>
        <w:adjustRightInd w:val="0"/>
        <w:snapToGrid w:val="0"/>
        <w:spacing w:line="360" w:lineRule="auto"/>
        <w:rPr>
          <w:bCs/>
          <w:shd w:val="clear" w:color="auto" w:fill="FFFFFF"/>
        </w:rPr>
      </w:pPr>
    </w:p>
    <w:p w14:paraId="7B91EAF7">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Acknowledgments</w:t>
      </w:r>
    </w:p>
    <w:p w14:paraId="021E1498">
      <w:pPr>
        <w:adjustRightInd w:val="0"/>
        <w:snapToGrid w:val="0"/>
        <w:spacing w:line="360" w:lineRule="auto"/>
        <w:rPr>
          <w:rFonts w:eastAsia="等线"/>
        </w:rPr>
      </w:pPr>
      <w:r>
        <w:rPr>
          <w:bCs/>
          <w:shd w:val="clear" w:color="auto" w:fill="FFFFFF"/>
        </w:rPr>
        <w:tab/>
      </w:r>
      <w:r>
        <w:rPr>
          <w:rFonts w:eastAsia="等线"/>
        </w:rPr>
        <w:t>Many sentences in this article were drafted or refined with the assistance of ChatGPT and Gemini, large language models developed by OpenAI and Google, respectively. The authors thoroughly reviewed and revised each sentence and take full responsibility for the language and content of the entire article.</w:t>
      </w:r>
    </w:p>
    <w:p w14:paraId="3097624F">
      <w:pPr>
        <w:adjustRightInd w:val="0"/>
        <w:snapToGrid w:val="0"/>
        <w:spacing w:line="360" w:lineRule="auto"/>
      </w:pPr>
    </w:p>
    <w:p w14:paraId="6B8F47CA">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Supplementary Materials</w:t>
      </w:r>
    </w:p>
    <w:p w14:paraId="47FB93A5">
      <w:pPr>
        <w:adjustRightInd w:val="0"/>
        <w:snapToGrid w:val="0"/>
        <w:spacing w:line="360" w:lineRule="auto"/>
      </w:pPr>
      <w:r>
        <w:tab/>
      </w:r>
      <w:r>
        <w:t>Supplementary materials, including Supplementary Methods, Results, Appendix 1, and Table</w:t>
      </w:r>
      <w:r>
        <w:rPr>
          <w:rFonts w:hint="eastAsia" w:asciiTheme="minorEastAsia" w:hAnsiTheme="minorEastAsia" w:eastAsiaTheme="minorEastAsia"/>
        </w:rPr>
        <w:t>s</w:t>
      </w:r>
      <w:r>
        <w:t xml:space="preserve"> S1–S8, are submitted together with the main text.</w:t>
      </w:r>
    </w:p>
    <w:p w14:paraId="55B378B3">
      <w:pPr>
        <w:adjustRightInd w:val="0"/>
        <w:snapToGrid w:val="0"/>
        <w:spacing w:line="360" w:lineRule="auto"/>
        <w:rPr>
          <w:color w:val="A6A6A6" w:themeColor="background1" w:themeShade="A6"/>
        </w:rPr>
      </w:pPr>
    </w:p>
    <w:p w14:paraId="4C8ED621">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Data availability</w:t>
      </w:r>
    </w:p>
    <w:p w14:paraId="1F85F949">
      <w:pPr>
        <w:adjustRightInd w:val="0"/>
        <w:snapToGrid w:val="0"/>
        <w:spacing w:line="360" w:lineRule="auto"/>
        <w:rPr>
          <w:bCs/>
          <w:shd w:val="clear" w:color="auto" w:fill="FFFFFF"/>
        </w:rPr>
      </w:pPr>
      <w:bookmarkStart w:id="12" w:name="_Hlk229267479"/>
      <w:r>
        <w:rPr>
          <w:bCs/>
          <w:shd w:val="clear" w:color="auto" w:fill="FFFFFF"/>
        </w:rPr>
        <w:t xml:space="preserve">Species lists and subset memberships used in the analyses are provided in the Supplementary Materials. The proposed framework was implemented in the R package PhyloTestESS, freely available at </w:t>
      </w:r>
      <w:r>
        <w:fldChar w:fldCharType="begin"/>
      </w:r>
      <w:r>
        <w:instrText xml:space="preserve"> HYPERLINK "https://github.com/HuangR-etc/PhyloTestESS" </w:instrText>
      </w:r>
      <w:r>
        <w:fldChar w:fldCharType="separate"/>
      </w:r>
      <w:r>
        <w:rPr>
          <w:rStyle w:val="17"/>
          <w:bCs/>
          <w:shd w:val="clear" w:color="auto" w:fill="FFFFFF"/>
        </w:rPr>
        <w:t>https://github.com/HuangR-etc/PhyloTestESS</w:t>
      </w:r>
      <w:r>
        <w:rPr>
          <w:rStyle w:val="17"/>
          <w:bCs/>
          <w:shd w:val="clear" w:color="auto" w:fill="FFFFFF"/>
        </w:rPr>
        <w:fldChar w:fldCharType="end"/>
      </w:r>
      <w:r>
        <w:rPr>
          <w:bCs/>
          <w:shd w:val="clear" w:color="auto" w:fill="FFFFFF"/>
        </w:rPr>
        <w:t>, which includes functions for subset selection, dependence-diagnostic evaluation, and calculation of both MIESS and PIESS to quantify internal phylogenetic dependence and uncertainty in predictive performance metrics.</w:t>
      </w:r>
    </w:p>
    <w:p w14:paraId="448E072D">
      <w:pPr>
        <w:adjustRightInd w:val="0"/>
        <w:snapToGrid w:val="0"/>
        <w:spacing w:line="360" w:lineRule="auto"/>
        <w:rPr>
          <w:bCs/>
          <w:shd w:val="clear" w:color="auto" w:fill="FFFFFF"/>
        </w:rPr>
      </w:pPr>
    </w:p>
    <w:bookmarkEnd w:id="12"/>
    <w:p w14:paraId="55B9EE72">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References</w:t>
      </w:r>
    </w:p>
    <w:p w14:paraId="232677A5">
      <w:pPr>
        <w:pStyle w:val="31"/>
      </w:pPr>
      <w:r>
        <w:fldChar w:fldCharType="begin"/>
      </w:r>
      <w:r>
        <w:instrText xml:space="preserve"> ADDIN EN.REFLIST </w:instrText>
      </w:r>
      <w:r>
        <w:fldChar w:fldCharType="separate"/>
      </w:r>
      <w:r>
        <w:t>Aitken A.C. 1936. IV.—On least squares and linear combination of observations. Proc. R. Soc. Edinb., 55:42-48.</w:t>
      </w:r>
    </w:p>
    <w:p w14:paraId="05F66B57">
      <w:pPr>
        <w:pStyle w:val="31"/>
      </w:pPr>
      <w:r>
        <w:t>Alam M.N.U., Basava K., Chitransh A., Fattah H.M.A., Garcia-Verdugo H.D., Lo S.-H., Lohchab T., Martinet K.M., Román-Palacios C., Salazar J.C., Van Boxel D. 2025. Machine learning in biological research: key algorithms, applications, and future directions. BMC Biol., 23(1):324.</w:t>
      </w:r>
    </w:p>
    <w:p w14:paraId="0D4F009A">
      <w:pPr>
        <w:pStyle w:val="31"/>
      </w:pPr>
      <w:r>
        <w:t>Bartoszek K. 2016. Phylogenetic effective sample size. J. Theor. Biol., 407:371-386.</w:t>
      </w:r>
    </w:p>
    <w:p w14:paraId="68B29BD5">
      <w:pPr>
        <w:pStyle w:val="31"/>
      </w:pPr>
      <w:r>
        <w:t>Bedford T., Rambaut A., Pascual M. 2012. Canalization of the evolutionary trajectory of the human influenza virus. BMC Biol., 10(1):38.</w:t>
      </w:r>
    </w:p>
    <w:p w14:paraId="38689D42">
      <w:pPr>
        <w:pStyle w:val="31"/>
      </w:pPr>
      <w:r>
        <w:t>Blomberg S.P., Garland T., Ives A.R. 2003. Testing for phylogenetic signal in comparative data: Behavioral traits are more labile. Evolution, 57(4):717-745.</w:t>
      </w:r>
    </w:p>
    <w:p w14:paraId="23740591">
      <w:pPr>
        <w:pStyle w:val="31"/>
      </w:pPr>
      <w:r>
        <w:t>Bordewich M., Rodrigo A.G., Semple C. 2008. Selecting taxa to save or sequence: desirable criteria and a greedy solution. Syst. Biol., 57(6):825-834.</w:t>
      </w:r>
    </w:p>
    <w:p w14:paraId="4D8C1CA0">
      <w:pPr>
        <w:pStyle w:val="31"/>
      </w:pPr>
      <w:r>
        <w:t>Cawley G.C., Talbot N.L.C. 2010. On over-fitting in model selection and subsequent selection bias in performance evaluation. Journal of Machine Learning Research, 11(70):2079-2107.</w:t>
      </w:r>
    </w:p>
    <w:p w14:paraId="51BA99AA">
      <w:pPr>
        <w:pStyle w:val="31"/>
      </w:pPr>
      <w:r>
        <w:t>Colette S., François J., De Moor B., van Noort V. 2026. OGTFinder: a curated growth temperature data set and its application to predict optimal growth temperatures of bacteria and archaea. J. Chem Inf. Model., 66(8):4903-4912.</w:t>
      </w:r>
    </w:p>
    <w:p w14:paraId="2F4A5659">
      <w:pPr>
        <w:pStyle w:val="31"/>
      </w:pPr>
      <w:r>
        <w:t>Cutrera A.P., Luna F. 2025. The effects of genome size and climate on basal metabolic rate variation in rodents. J. Exp. Biol., 228(7):jeb249864.</w:t>
      </w:r>
    </w:p>
    <w:p w14:paraId="7B1EEEC8">
      <w:pPr>
        <w:pStyle w:val="31"/>
      </w:pPr>
      <w:r>
        <w:t>Faes C., Molenberghs G., Aerts M., Verbeke G., Kenward M.G. 2009. The effective sample size and an alternative small-sample degrees-of-freedom method. Am. Stat., 63:389-399.</w:t>
      </w:r>
    </w:p>
    <w:p w14:paraId="3E303388">
      <w:pPr>
        <w:pStyle w:val="31"/>
      </w:pPr>
      <w:r>
        <w:t>Faith D.P. 1992. Conservation evaluation and phylogenetic diversity. Biol. Conser., 61(1):1-10.</w:t>
      </w:r>
    </w:p>
    <w:p w14:paraId="731CE886">
      <w:pPr>
        <w:pStyle w:val="31"/>
      </w:pPr>
      <w:r>
        <w:t>Felsenstein J. 1985. Phylogenies and the comparative method. Amer. Natur., 125(1):1-15.</w:t>
      </w:r>
    </w:p>
    <w:p w14:paraId="15FA9D68">
      <w:pPr>
        <w:pStyle w:val="31"/>
      </w:pPr>
      <w:r>
        <w:t>Fitch W.M., Bush R.M., Bender C.A., Cox N.J. 1997. Long term trends in the evolution of H(3) HA1 human influenza type A. Proc Natl Acad Sci U S A, 94(15):7712-7718.</w:t>
      </w:r>
    </w:p>
    <w:p w14:paraId="6E335142">
      <w:pPr>
        <w:pStyle w:val="31"/>
      </w:pPr>
      <w:r>
        <w:t>Freckleton R.P., Harvey P.H., Pagel M. 2002. Phylogenetic analysis and comparative data: A test and review of evidence. Amer. Natur., 160(6):712-726.</w:t>
      </w:r>
    </w:p>
    <w:p w14:paraId="07657237">
      <w:pPr>
        <w:pStyle w:val="31"/>
      </w:pPr>
      <w:r>
        <w:t>Grafen A. 1989. The phylogenetic regression. Philos. Trans. R. Soc. Lond. B Biol. Sci., 326(1233):119-157.</w:t>
      </w:r>
    </w:p>
    <w:p w14:paraId="6B3F734E">
      <w:pPr>
        <w:pStyle w:val="31"/>
      </w:pPr>
      <w:r>
        <w:t>Grenfell B.T., Pybus O.G., Gog J.R., Wood J.L.N., Daly J.M., Mumford J.A., Holmes E.C. 2004. Unifying the Epidemiological and Evolutionary Dynamics of Pathogens. Science, 303(5656):327-332.</w:t>
      </w:r>
    </w:p>
    <w:p w14:paraId="6A7A4292">
      <w:pPr>
        <w:pStyle w:val="31"/>
      </w:pPr>
      <w:r>
        <w:t>Harmon L.J., Losos J.B., Jonathan Davies T., Gillespie R.G., Gittleman J.L., Bryan Jennings W., Kozak K.H., McPeek M.A., Moreno-Roark F., Near T.J., Purvis A., Ricklefs R.E., Schluter D., Schulte Ii J.A., Seehausen O., Sidlauskas B.L., Torres-Carvajal O., Weir J.T., Mooers A.Ø. 2010. Early bursts of body size and shape evolution are rare in comparative data. Evolution, 64(8):2385-2396.</w:t>
      </w:r>
    </w:p>
    <w:p w14:paraId="2973E85A">
      <w:pPr>
        <w:pStyle w:val="31"/>
      </w:pPr>
      <w:r>
        <w:t>Hu E.-Z., Lan X.-R., Liu Z.-L., Gao J., Niu D.-K. 2022. A positive correlation between GC content and growth temperature in prokaryotes. BMC Genomics, 23(1):110.</w:t>
      </w:r>
    </w:p>
    <w:p w14:paraId="4DD6C7FE">
      <w:pPr>
        <w:pStyle w:val="31"/>
      </w:pPr>
      <w:r>
        <w:t>Lan X.-R., Liu Z.-L., Niu D.-K. 2022. Precipitous increase of bacterial CRISPR-Cas abundance at around 45°C. Front. Microbiol., 13:773114.</w:t>
      </w:r>
    </w:p>
    <w:p w14:paraId="0D5FB01F">
      <w:pPr>
        <w:pStyle w:val="31"/>
      </w:pPr>
      <w:r>
        <w:t>Markin A., Wagle S., Grover S., Vincent Baker A.L., Eulenstein O., Anderson T.K. 2023. PARNAS: objectively selecting the most representative taxa on a phylogeny. Syst. Biol., 72(5):1052-1063.</w:t>
      </w:r>
    </w:p>
    <w:p w14:paraId="08F10280">
      <w:pPr>
        <w:pStyle w:val="31"/>
      </w:pPr>
      <w:r>
        <w:t>Matsen F.A., IV, Gallagher A., McCoy C.O. 2013. Minimizing the average distance to a closest leaf in a phylogenetic tree. Syst. Biol., 62(6):824-836.</w:t>
      </w:r>
    </w:p>
    <w:p w14:paraId="1F080B25">
      <w:pPr>
        <w:pStyle w:val="31"/>
      </w:pPr>
      <w:r>
        <w:t>Pagel M. 1999. Inferring the historical patterns of biological evolution. Nature, 401(6756):877-884.</w:t>
      </w:r>
    </w:p>
    <w:p w14:paraId="1B6591F0">
      <w:pPr>
        <w:pStyle w:val="31"/>
      </w:pPr>
      <w:r>
        <w:t>Paradis E. 2014. Simulation of phylogenetic data. In: Garamszegi LZ editor. Modern Phylogenetic Comparative Methods and Their Application in Evolutionary Biology: Concepts and Practice. Berlin, Heidelberg, Springer Berlin Heidelberg, p. 335-350.</w:t>
      </w:r>
    </w:p>
    <w:p w14:paraId="4CF83221">
      <w:pPr>
        <w:pStyle w:val="31"/>
      </w:pPr>
      <w:r>
        <w:t>Paradis E., Schliep K. 2019. ape 5.0: an environment for modern phylogenetics and evolutionary analyses in R. Bioinformatics, 35(3):526-528.</w:t>
      </w:r>
    </w:p>
    <w:p w14:paraId="17151F19">
      <w:pPr>
        <w:pStyle w:val="31"/>
      </w:pPr>
      <w:r>
        <w:t xml:space="preserve">R Core Team. 2022. R: A language and environment for statistical computing. R Foundation for Statistical Computing, Vienna, Austria. </w:t>
      </w:r>
      <w:r>
        <w:fldChar w:fldCharType="begin"/>
      </w:r>
      <w:r>
        <w:instrText xml:space="preserve"> HYPERLINK "https://www.R-project.org/" </w:instrText>
      </w:r>
      <w:r>
        <w:fldChar w:fldCharType="separate"/>
      </w:r>
      <w:r>
        <w:rPr>
          <w:rStyle w:val="17"/>
        </w:rPr>
        <w:t>https://www.R-project.org/</w:t>
      </w:r>
      <w:r>
        <w:rPr>
          <w:rStyle w:val="17"/>
        </w:rPr>
        <w:fldChar w:fldCharType="end"/>
      </w:r>
      <w:r>
        <w:t>.</w:t>
      </w:r>
    </w:p>
    <w:p w14:paraId="40E5FAAB">
      <w:pPr>
        <w:pStyle w:val="31"/>
      </w:pPr>
      <w:r>
        <w:t>Roberts D.R., Bahn V., Ciuti S., Boyce M.S., Elith J., Guillera-Arroita G., Hauenstein S., Lahoz-Monfort J.J., Schröder B., Thuiller W., Warton D.I., Wintle B.A., Hartig F., Dormann C.F. 2017. Cross-validation strategies for data with temporal, spatial, hierarchical, or phylogenetic structure. Ecography, 40(8):913-929.</w:t>
      </w:r>
    </w:p>
    <w:p w14:paraId="19590DB6">
      <w:pPr>
        <w:pStyle w:val="31"/>
      </w:pPr>
      <w:r>
        <w:t>Shanker K., Torsekar V.R., Vijayakumar S.P., Dinesh K.P., Marathe A., Cyriac V.P. 2026. Body size evolution and the co-occurrence of stream-dwelling frogs in the Western Ghats of India. Evolution:qpag060.</w:t>
      </w:r>
    </w:p>
    <w:p w14:paraId="2AC80A62">
      <w:pPr>
        <w:pStyle w:val="31"/>
      </w:pPr>
      <w:r>
        <w:t>Symonds M.R.E., Blomberg S.P. 2014. A primer on phylogenetic generalised least squares. In: Garamszegi LZ editor. Modern Phylogenetic Comparative Methods and Their Application in Evolutionary Biology: Concepts and Practice. Berlin, Heidelberg, Springer Berlin Heidelberg, p. 105-130.</w:t>
      </w:r>
    </w:p>
    <w:p w14:paraId="5487CBF0">
      <w:pPr>
        <w:pStyle w:val="31"/>
      </w:pPr>
      <w:r>
        <w:t>Tucker C.M., Cadotte M.W., Carvalho S.B., Davies T.J., Ferrier S., Fritz S.A., Grenyer R., Helmus M.R., Jin L.S., Mooers A.O., Pavoine S., Purschke O., Redding D.W., Rosauer D.F., Winter M., Mazel F. 2017. A guide to phylogenetic metrics for conservation, community ecology and macroecology. Biol. Rev., 92(2):698-715.</w:t>
      </w:r>
    </w:p>
    <w:p w14:paraId="2A7E0938">
      <w:pPr>
        <w:pStyle w:val="31"/>
      </w:pPr>
      <w:r>
        <w:t>Upham N.S., Esselstyn J.A., Jetz W. 2019. Inferring the mammal tree: Species-level sets of phylogenies for questions in ecology, evolution, and conservation. PLoS Biol., 17(12):e3000494.</w:t>
      </w:r>
    </w:p>
    <w:p w14:paraId="78532BB9">
      <w:pPr>
        <w:pStyle w:val="31"/>
      </w:pPr>
      <w:r>
        <w:t>Wang J., Xu G., Chen W., Ma Y., Qi W., Zhang C., Cui X. 2021. Impacts of growth form and phylogenetic relatedness on seed germination: A large-scale analysis of a subtropical regional flora. Ecol. Evol., 11(3):1280-1293.</w:t>
      </w:r>
    </w:p>
    <w:p w14:paraId="4A512008">
      <w:pPr>
        <w:pStyle w:val="31"/>
      </w:pPr>
      <w:r>
        <w:t>Yu Y., Wheeler N.E., Barquist L. 2025. Biased sampling driven by bacterial population structure confounds machine learning prediction of antimicrobial resistance. PLoS Biol., 23(12):e3003539.</w:t>
      </w:r>
    </w:p>
    <w:p w14:paraId="0EEE8A09">
      <w:pPr>
        <w:adjustRightInd w:val="0"/>
        <w:snapToGrid w:val="0"/>
        <w:spacing w:line="360" w:lineRule="auto"/>
        <w:ind w:left="340" w:hanging="340"/>
      </w:pPr>
      <w:r>
        <w:fldChar w:fldCharType="end"/>
      </w:r>
    </w:p>
    <w:sectPr>
      <w:headerReference r:id="rId3" w:type="default"/>
      <w:footerReference r:id="rId5" w:type="default"/>
      <w:headerReference r:id="rId4" w:type="even"/>
      <w:pgSz w:w="11906" w:h="16838"/>
      <w:pgMar w:top="1474" w:right="1418" w:bottom="1418" w:left="1474" w:header="851" w:footer="680" w:gutter="0"/>
      <w:lnNumType w:countBy="1" w:restart="continuous"/>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138FE62">
        <w:pPr>
          <w:pStyle w:val="5"/>
          <w:jc w:val="center"/>
        </w:pPr>
        <w:r>
          <w:fldChar w:fldCharType="begin"/>
        </w:r>
        <w:r>
          <w:instrText xml:space="preserve">PAGE   \* MERGEFORMAT</w:instrText>
        </w:r>
        <w:r>
          <w:fldChar w:fldCharType="separate"/>
        </w:r>
        <w:r>
          <w:rPr>
            <w:lang w:val="zh-CN"/>
          </w:rPr>
          <w:t>2</w:t>
        </w:r>
        <w:r>
          <w:fldChar w:fldCharType="end"/>
        </w:r>
      </w:p>
    </w:sdtContent>
  </w:sdt>
  <w:p w14:paraId="5069211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2F094">
    <w:pPr>
      <w:pStyle w:val="6"/>
    </w:pPr>
    <w:r>
      <w:ptab w:relativeTo="margin" w:alignment="center" w:leader="none"/>
    </w:r>
    <w:r>
      <w:rPr>
        <w:rFonts w:eastAsia="黑体"/>
        <w:bCs/>
      </w:rPr>
      <w:t>PHYLOGENETICALLY DISPERSED SUBSETS</w:t>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96A2A">
    <w:pPr>
      <w:pStyle w:val="6"/>
      <w:jc w:val="center"/>
    </w:pPr>
    <w:r>
      <w:t>HUANG ET 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340"/>
  <w:evenAndOddHeaders w:val="1"/>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bAwtjQxNjO1NDE3MDZX0lEKTi0uzszPAykwNDavBQDAH624LgAAAA=="/>
    <w:docVar w:name="EN.InstantFormat" w:val="&lt;ENInstantFormat&gt;&lt;Enabled&gt;0&lt;/Enabled&gt;&lt;ScanUnformatted&gt;1&lt;/ScanUnformatted&gt;&lt;ScanChanges&gt;1&lt;/ScanChanges&gt;&lt;Suspended&gt;0&lt;/Suspended&gt;&lt;/ENInstantFormat&gt;"/>
    <w:docVar w:name="EN.Layout" w:val="&lt;ENLayout&gt;&lt;Style&gt;Systematic Biology Copy&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5tsvsseeuefw27e9zx352xrpxvvtws9rxxpe&quot;&gt;niu_X9-Converted&lt;record-ids&gt;&lt;item&gt;5393&lt;/item&gt;&lt;item&gt;5413&lt;/item&gt;&lt;item&gt;5431&lt;/item&gt;&lt;item&gt;14196&lt;/item&gt;&lt;item&gt;14197&lt;/item&gt;&lt;item&gt;14460&lt;/item&gt;&lt;item&gt;16882&lt;/item&gt;&lt;item&gt;19758&lt;/item&gt;&lt;item&gt;19827&lt;/item&gt;&lt;item&gt;20462&lt;/item&gt;&lt;item&gt;21677&lt;/item&gt;&lt;item&gt;22224&lt;/item&gt;&lt;item&gt;22275&lt;/item&gt;&lt;item&gt;22301&lt;/item&gt;&lt;item&gt;22373&lt;/item&gt;&lt;item&gt;22513&lt;/item&gt;&lt;item&gt;22579&lt;/item&gt;&lt;item&gt;22668&lt;/item&gt;&lt;item&gt;22669&lt;/item&gt;&lt;item&gt;22670&lt;/item&gt;&lt;item&gt;22671&lt;/item&gt;&lt;item&gt;22673&lt;/item&gt;&lt;item&gt;22684&lt;/item&gt;&lt;item&gt;22685&lt;/item&gt;&lt;item&gt;22686&lt;/item&gt;&lt;item&gt;22687&lt;/item&gt;&lt;item&gt;22701&lt;/item&gt;&lt;item&gt;22703&lt;/item&gt;&lt;item&gt;22704&lt;/item&gt;&lt;item&gt;22732&lt;/item&gt;&lt;item&gt;22733&lt;/item&gt;&lt;item&gt;22734&lt;/item&gt;&lt;/record-ids&gt;&lt;/item&gt;&lt;/Libraries&gt;"/>
    <w:docVar w:name="EN.UseJSCitationFormat" w:val="False"/>
  </w:docVars>
  <w:rsids>
    <w:rsidRoot w:val="00000000"/>
    <w:rsid w:val="0997694A"/>
    <w:rsid w:val="36003E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zh-CN" w:bidi="ar-SA"/>
    </w:rPr>
  </w:style>
  <w:style w:type="paragraph" w:styleId="2">
    <w:name w:val="heading 3"/>
    <w:basedOn w:val="1"/>
    <w:link w:val="49"/>
    <w:qFormat/>
    <w:uiPriority w:val="9"/>
    <w:pPr>
      <w:spacing w:before="100" w:beforeAutospacing="1" w:after="100" w:afterAutospacing="1"/>
      <w:outlineLvl w:val="2"/>
    </w:pPr>
    <w:rPr>
      <w:b/>
      <w:bCs/>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pPr>
      <w:spacing w:line="360" w:lineRule="auto"/>
    </w:pPr>
    <w:rPr>
      <w:rFonts w:eastAsia="黑体" w:asciiTheme="majorHAnsi" w:hAnsiTheme="majorHAnsi" w:cstheme="majorBidi"/>
      <w:sz w:val="20"/>
      <w:szCs w:val="20"/>
    </w:rPr>
  </w:style>
  <w:style w:type="paragraph" w:styleId="4">
    <w:name w:val="annotation text"/>
    <w:basedOn w:val="1"/>
    <w:link w:val="37"/>
    <w:semiHidden/>
    <w:unhideWhenUsed/>
    <w:qFormat/>
    <w:uiPriority w:val="99"/>
    <w:pPr>
      <w:spacing w:line="360" w:lineRule="auto"/>
    </w:pPr>
    <w:rPr>
      <w:rFonts w:eastAsia="宋体" w:cs="宋体"/>
    </w:rPr>
  </w:style>
  <w:style w:type="paragraph" w:styleId="5">
    <w:name w:val="footer"/>
    <w:basedOn w:val="1"/>
    <w:link w:val="34"/>
    <w:unhideWhenUsed/>
    <w:qFormat/>
    <w:uiPriority w:val="99"/>
    <w:pPr>
      <w:tabs>
        <w:tab w:val="center" w:pos="4320"/>
        <w:tab w:val="right" w:pos="8640"/>
      </w:tabs>
    </w:pPr>
    <w:rPr>
      <w:rFonts w:eastAsia="宋体" w:cs="宋体"/>
    </w:rPr>
  </w:style>
  <w:style w:type="paragraph" w:styleId="6">
    <w:name w:val="header"/>
    <w:basedOn w:val="1"/>
    <w:link w:val="33"/>
    <w:unhideWhenUsed/>
    <w:qFormat/>
    <w:uiPriority w:val="99"/>
    <w:pPr>
      <w:tabs>
        <w:tab w:val="center" w:pos="4320"/>
        <w:tab w:val="right" w:pos="8640"/>
      </w:tabs>
    </w:pPr>
    <w:rPr>
      <w:rFonts w:eastAsia="宋体" w:cs="宋体"/>
    </w:rPr>
  </w:style>
  <w:style w:type="paragraph" w:styleId="7">
    <w:name w:val="HTML Preformatted"/>
    <w:basedOn w:val="1"/>
    <w:link w:val="5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8">
    <w:name w:val="Normal (Web)"/>
    <w:basedOn w:val="1"/>
    <w:unhideWhenUsed/>
    <w:qFormat/>
    <w:uiPriority w:val="99"/>
    <w:pPr>
      <w:spacing w:line="360" w:lineRule="auto"/>
    </w:pPr>
    <w:rPr>
      <w:rFonts w:eastAsia="宋体"/>
    </w:rPr>
  </w:style>
  <w:style w:type="paragraph" w:styleId="9">
    <w:name w:val="annotation subject"/>
    <w:basedOn w:val="4"/>
    <w:next w:val="4"/>
    <w:link w:val="38"/>
    <w:semiHidden/>
    <w:unhideWhenUsed/>
    <w:qFormat/>
    <w:uiPriority w:val="99"/>
    <w:rPr>
      <w:b/>
      <w:bC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FollowedHyperlink"/>
    <w:basedOn w:val="12"/>
    <w:semiHidden/>
    <w:unhideWhenUsed/>
    <w:qFormat/>
    <w:uiPriority w:val="99"/>
    <w:rPr>
      <w:color w:val="954F72" w:themeColor="followedHyperlink"/>
      <w:u w:val="single"/>
      <w14:textFill>
        <w14:solidFill>
          <w14:schemeClr w14:val="folHlink"/>
        </w14:solidFill>
      </w14:textFill>
    </w:rPr>
  </w:style>
  <w:style w:type="character" w:styleId="15">
    <w:name w:val="Emphasis"/>
    <w:basedOn w:val="12"/>
    <w:qFormat/>
    <w:uiPriority w:val="20"/>
    <w:rPr>
      <w:i/>
      <w:iCs/>
    </w:rPr>
  </w:style>
  <w:style w:type="character" w:styleId="16">
    <w:name w:val="line number"/>
    <w:basedOn w:val="12"/>
    <w:semiHidden/>
    <w:unhideWhenUsed/>
    <w:qFormat/>
    <w:uiPriority w:val="99"/>
  </w:style>
  <w:style w:type="character" w:styleId="17">
    <w:name w:val="Hyperlink"/>
    <w:basedOn w:val="12"/>
    <w:unhideWhenUsed/>
    <w:qFormat/>
    <w:uiPriority w:val="99"/>
    <w:rPr>
      <w:color w:val="0563C1" w:themeColor="hyperlink"/>
      <w:u w:val="single"/>
      <w14:textFill>
        <w14:solidFill>
          <w14:schemeClr w14:val="hlink"/>
        </w14:solidFill>
      </w14:textFill>
    </w:rPr>
  </w:style>
  <w:style w:type="character" w:styleId="18">
    <w:name w:val="HTML Code"/>
    <w:basedOn w:val="12"/>
    <w:semiHidden/>
    <w:unhideWhenUsed/>
    <w:qFormat/>
    <w:uiPriority w:val="99"/>
    <w:rPr>
      <w:rFonts w:ascii="Courier New" w:hAnsi="Courier New" w:eastAsia="Times New Roman" w:cs="Courier New"/>
      <w:sz w:val="20"/>
      <w:szCs w:val="20"/>
    </w:rPr>
  </w:style>
  <w:style w:type="character" w:styleId="19">
    <w:name w:val="annotation reference"/>
    <w:basedOn w:val="12"/>
    <w:semiHidden/>
    <w:unhideWhenUsed/>
    <w:qFormat/>
    <w:uiPriority w:val="99"/>
    <w:rPr>
      <w:sz w:val="21"/>
      <w:szCs w:val="21"/>
    </w:rPr>
  </w:style>
  <w:style w:type="paragraph" w:styleId="20">
    <w:name w:val="List Paragraph"/>
    <w:basedOn w:val="1"/>
    <w:link w:val="21"/>
    <w:qFormat/>
    <w:uiPriority w:val="34"/>
    <w:pPr>
      <w:spacing w:line="360" w:lineRule="auto"/>
      <w:ind w:firstLine="420" w:firstLineChars="200"/>
    </w:pPr>
    <w:rPr>
      <w:rFonts w:eastAsia="宋体" w:cs="宋体"/>
    </w:rPr>
  </w:style>
  <w:style w:type="character" w:customStyle="1" w:styleId="21">
    <w:name w:val="List Paragraph Char"/>
    <w:basedOn w:val="12"/>
    <w:link w:val="20"/>
    <w:qFormat/>
    <w:uiPriority w:val="34"/>
    <w:rPr>
      <w:rFonts w:ascii="Times New Roman" w:hAnsi="Times New Roman" w:eastAsia="宋体" w:cs="宋体"/>
      <w:kern w:val="0"/>
      <w:sz w:val="24"/>
    </w:rPr>
  </w:style>
  <w:style w:type="paragraph" w:customStyle="1" w:styleId="22">
    <w:name w:val="书目1"/>
    <w:basedOn w:val="1"/>
    <w:link w:val="23"/>
    <w:qFormat/>
    <w:uiPriority w:val="0"/>
    <w:pPr>
      <w:spacing w:after="240"/>
      <w:ind w:left="720" w:hanging="720"/>
    </w:pPr>
    <w:rPr>
      <w:rFonts w:eastAsia="宋体"/>
    </w:rPr>
  </w:style>
  <w:style w:type="character" w:customStyle="1" w:styleId="23">
    <w:name w:val="Bibliography 字符"/>
    <w:basedOn w:val="12"/>
    <w:link w:val="22"/>
    <w:qFormat/>
    <w:uiPriority w:val="0"/>
    <w:rPr>
      <w:rFonts w:ascii="Times New Roman" w:hAnsi="Times New Roman" w:eastAsia="宋体" w:cs="Times New Roman"/>
      <w:kern w:val="0"/>
      <w:sz w:val="24"/>
    </w:rPr>
  </w:style>
  <w:style w:type="character" w:customStyle="1" w:styleId="24">
    <w:name w:val="图标题格式 字符"/>
    <w:basedOn w:val="12"/>
    <w:link w:val="25"/>
    <w:qFormat/>
    <w:locked/>
    <w:uiPriority w:val="0"/>
    <w:rPr>
      <w:rFonts w:ascii="Times New Roman" w:hAnsi="Times New Roman" w:eastAsia="宋体" w:cstheme="majorBidi"/>
      <w:bCs/>
      <w:szCs w:val="20"/>
    </w:rPr>
  </w:style>
  <w:style w:type="paragraph" w:customStyle="1" w:styleId="25">
    <w:name w:val="图标题格式"/>
    <w:basedOn w:val="3"/>
    <w:link w:val="24"/>
    <w:qFormat/>
    <w:uiPriority w:val="0"/>
    <w:pPr>
      <w:widowControl w:val="0"/>
      <w:spacing w:before="120" w:after="240" w:line="240" w:lineRule="auto"/>
      <w:jc w:val="center"/>
    </w:pPr>
    <w:rPr>
      <w:rFonts w:ascii="Times New Roman" w:hAnsi="Times New Roman" w:eastAsia="宋体"/>
      <w:bCs/>
      <w:kern w:val="2"/>
      <w:sz w:val="21"/>
    </w:rPr>
  </w:style>
  <w:style w:type="character" w:customStyle="1" w:styleId="26">
    <w:name w:val="表标题格式 字符"/>
    <w:basedOn w:val="12"/>
    <w:link w:val="27"/>
    <w:qFormat/>
    <w:locked/>
    <w:uiPriority w:val="0"/>
    <w:rPr>
      <w:rFonts w:ascii="Times New Roman" w:hAnsi="Times New Roman" w:eastAsia="宋体" w:cstheme="majorBidi"/>
      <w:bCs/>
      <w:szCs w:val="20"/>
    </w:rPr>
  </w:style>
  <w:style w:type="paragraph" w:customStyle="1" w:styleId="27">
    <w:name w:val="表标题格式"/>
    <w:basedOn w:val="3"/>
    <w:link w:val="26"/>
    <w:qFormat/>
    <w:uiPriority w:val="0"/>
    <w:pPr>
      <w:widowControl w:val="0"/>
      <w:spacing w:before="120" w:after="120" w:line="240" w:lineRule="auto"/>
      <w:jc w:val="center"/>
    </w:pPr>
    <w:rPr>
      <w:rFonts w:ascii="Times New Roman" w:hAnsi="Times New Roman" w:eastAsia="宋体"/>
      <w:bCs/>
      <w:kern w:val="2"/>
      <w:sz w:val="21"/>
    </w:rPr>
  </w:style>
  <w:style w:type="character" w:styleId="28">
    <w:name w:val="Placeholder Text"/>
    <w:basedOn w:val="12"/>
    <w:semiHidden/>
    <w:qFormat/>
    <w:uiPriority w:val="99"/>
    <w:rPr>
      <w:color w:val="666666"/>
    </w:rPr>
  </w:style>
  <w:style w:type="paragraph" w:customStyle="1" w:styleId="29">
    <w:name w:val="EndNote Bibliography Title"/>
    <w:basedOn w:val="1"/>
    <w:link w:val="30"/>
    <w:qFormat/>
    <w:uiPriority w:val="0"/>
    <w:pPr>
      <w:spacing w:line="360" w:lineRule="auto"/>
      <w:jc w:val="center"/>
    </w:pPr>
    <w:rPr>
      <w:rFonts w:eastAsia="宋体"/>
    </w:rPr>
  </w:style>
  <w:style w:type="character" w:customStyle="1" w:styleId="30">
    <w:name w:val="EndNote Bibliography Title 字符"/>
    <w:basedOn w:val="12"/>
    <w:link w:val="29"/>
    <w:qFormat/>
    <w:uiPriority w:val="0"/>
    <w:rPr>
      <w:rFonts w:ascii="Times New Roman" w:hAnsi="Times New Roman" w:eastAsia="宋体" w:cs="Times New Roman"/>
      <w:sz w:val="24"/>
      <w:szCs w:val="24"/>
    </w:rPr>
  </w:style>
  <w:style w:type="paragraph" w:customStyle="1" w:styleId="31">
    <w:name w:val="EndNote Bibliography"/>
    <w:basedOn w:val="1"/>
    <w:link w:val="32"/>
    <w:qFormat/>
    <w:uiPriority w:val="0"/>
    <w:pPr>
      <w:spacing w:line="360" w:lineRule="auto"/>
    </w:pPr>
    <w:rPr>
      <w:rFonts w:eastAsia="宋体"/>
    </w:rPr>
  </w:style>
  <w:style w:type="character" w:customStyle="1" w:styleId="32">
    <w:name w:val="EndNote Bibliography 字符"/>
    <w:basedOn w:val="12"/>
    <w:link w:val="31"/>
    <w:qFormat/>
    <w:uiPriority w:val="0"/>
    <w:rPr>
      <w:rFonts w:ascii="Times New Roman" w:hAnsi="Times New Roman" w:eastAsia="宋体" w:cs="Times New Roman"/>
      <w:sz w:val="24"/>
      <w:szCs w:val="24"/>
    </w:rPr>
  </w:style>
  <w:style w:type="character" w:customStyle="1" w:styleId="33">
    <w:name w:val="Header Char"/>
    <w:basedOn w:val="12"/>
    <w:link w:val="6"/>
    <w:qFormat/>
    <w:uiPriority w:val="99"/>
    <w:rPr>
      <w:rFonts w:ascii="Times New Roman" w:hAnsi="Times New Roman" w:eastAsia="宋体" w:cs="宋体"/>
      <w:kern w:val="0"/>
      <w:sz w:val="24"/>
    </w:rPr>
  </w:style>
  <w:style w:type="character" w:customStyle="1" w:styleId="34">
    <w:name w:val="Footer Char"/>
    <w:basedOn w:val="12"/>
    <w:link w:val="5"/>
    <w:qFormat/>
    <w:uiPriority w:val="99"/>
    <w:rPr>
      <w:rFonts w:ascii="Times New Roman" w:hAnsi="Times New Roman" w:eastAsia="宋体" w:cs="宋体"/>
      <w:kern w:val="0"/>
      <w:sz w:val="24"/>
    </w:rPr>
  </w:style>
  <w:style w:type="character" w:customStyle="1" w:styleId="35">
    <w:name w:val="未处理的提及1"/>
    <w:basedOn w:val="12"/>
    <w:semiHidden/>
    <w:unhideWhenUsed/>
    <w:qFormat/>
    <w:uiPriority w:val="99"/>
    <w:rPr>
      <w:color w:val="605E5C"/>
      <w:shd w:val="clear" w:color="auto" w:fill="E1DFDD"/>
    </w:rPr>
  </w:style>
  <w:style w:type="paragraph" w:customStyle="1" w:styleId="36">
    <w:name w:val="修订1"/>
    <w:hidden/>
    <w:semiHidden/>
    <w:qFormat/>
    <w:uiPriority w:val="99"/>
    <w:rPr>
      <w:rFonts w:ascii="Times New Roman" w:hAnsi="Times New Roman" w:eastAsia="宋体" w:cs="宋体"/>
      <w:sz w:val="24"/>
      <w:szCs w:val="24"/>
      <w:lang w:val="en-US" w:eastAsia="zh-CN" w:bidi="ar-SA"/>
    </w:rPr>
  </w:style>
  <w:style w:type="character" w:customStyle="1" w:styleId="37">
    <w:name w:val="Comment Text Char"/>
    <w:basedOn w:val="12"/>
    <w:link w:val="4"/>
    <w:semiHidden/>
    <w:qFormat/>
    <w:uiPriority w:val="99"/>
    <w:rPr>
      <w:rFonts w:ascii="Times New Roman" w:hAnsi="Times New Roman" w:eastAsia="宋体" w:cs="宋体"/>
      <w:kern w:val="0"/>
      <w:sz w:val="24"/>
    </w:rPr>
  </w:style>
  <w:style w:type="character" w:customStyle="1" w:styleId="38">
    <w:name w:val="Comment Subject Char"/>
    <w:basedOn w:val="37"/>
    <w:link w:val="9"/>
    <w:semiHidden/>
    <w:qFormat/>
    <w:uiPriority w:val="99"/>
    <w:rPr>
      <w:rFonts w:ascii="Times New Roman" w:hAnsi="Times New Roman" w:eastAsia="宋体" w:cs="宋体"/>
      <w:b/>
      <w:bCs/>
      <w:kern w:val="0"/>
      <w:sz w:val="24"/>
    </w:rPr>
  </w:style>
  <w:style w:type="character" w:customStyle="1" w:styleId="39">
    <w:name w:val="apple-converted-space"/>
    <w:basedOn w:val="12"/>
    <w:qFormat/>
    <w:uiPriority w:val="0"/>
  </w:style>
  <w:style w:type="paragraph" w:customStyle="1" w:styleId="40">
    <w:name w:val="list-inline-item"/>
    <w:basedOn w:val="1"/>
    <w:qFormat/>
    <w:uiPriority w:val="0"/>
    <w:pPr>
      <w:spacing w:before="100" w:beforeAutospacing="1" w:after="100" w:afterAutospacing="1"/>
    </w:pPr>
    <w:rPr>
      <w:rFonts w:ascii="宋体" w:hAnsi="宋体" w:eastAsia="宋体" w:cs="宋体"/>
    </w:rPr>
  </w:style>
  <w:style w:type="character" w:customStyle="1" w:styleId="41">
    <w:name w:val="cited-by__entry__title"/>
    <w:basedOn w:val="12"/>
    <w:qFormat/>
    <w:uiPriority w:val="0"/>
  </w:style>
  <w:style w:type="character" w:customStyle="1" w:styleId="42">
    <w:name w:val="cited-by__entry__series-title"/>
    <w:basedOn w:val="12"/>
    <w:qFormat/>
    <w:uiPriority w:val="0"/>
  </w:style>
  <w:style w:type="character" w:customStyle="1" w:styleId="43">
    <w:name w:val="cited-by__entry__volume"/>
    <w:basedOn w:val="12"/>
    <w:qFormat/>
    <w:uiPriority w:val="0"/>
  </w:style>
  <w:style w:type="character" w:customStyle="1" w:styleId="44">
    <w:name w:val="cited-by__entry__issue"/>
    <w:basedOn w:val="12"/>
    <w:qFormat/>
    <w:uiPriority w:val="0"/>
  </w:style>
  <w:style w:type="character" w:customStyle="1" w:styleId="45">
    <w:name w:val="cited-by__entry__pub-date"/>
    <w:basedOn w:val="12"/>
    <w:qFormat/>
    <w:uiPriority w:val="0"/>
  </w:style>
  <w:style w:type="character" w:customStyle="1" w:styleId="46">
    <w:name w:val="mord"/>
    <w:basedOn w:val="12"/>
    <w:qFormat/>
    <w:uiPriority w:val="0"/>
  </w:style>
  <w:style w:type="character" w:customStyle="1" w:styleId="47">
    <w:name w:val="vlist-s"/>
    <w:basedOn w:val="12"/>
    <w:qFormat/>
    <w:uiPriority w:val="0"/>
  </w:style>
  <w:style w:type="character" w:customStyle="1" w:styleId="48">
    <w:name w:val="katex-mathml"/>
    <w:basedOn w:val="12"/>
    <w:qFormat/>
    <w:uiPriority w:val="0"/>
  </w:style>
  <w:style w:type="character" w:customStyle="1" w:styleId="49">
    <w:name w:val="Heading 3 Char"/>
    <w:basedOn w:val="12"/>
    <w:link w:val="2"/>
    <w:qFormat/>
    <w:uiPriority w:val="9"/>
    <w:rPr>
      <w:rFonts w:ascii="Times New Roman" w:hAnsi="Times New Roman" w:eastAsia="Times New Roman" w:cs="Times New Roman"/>
      <w:b/>
      <w:bCs/>
      <w:kern w:val="0"/>
      <w:sz w:val="27"/>
      <w:szCs w:val="27"/>
    </w:rPr>
  </w:style>
  <w:style w:type="character" w:customStyle="1" w:styleId="50">
    <w:name w:val="mopen"/>
    <w:basedOn w:val="12"/>
    <w:qFormat/>
    <w:uiPriority w:val="0"/>
  </w:style>
  <w:style w:type="character" w:customStyle="1" w:styleId="51">
    <w:name w:val="mop"/>
    <w:basedOn w:val="12"/>
    <w:qFormat/>
    <w:uiPriority w:val="0"/>
  </w:style>
  <w:style w:type="character" w:customStyle="1" w:styleId="52">
    <w:name w:val="mclose"/>
    <w:basedOn w:val="12"/>
    <w:qFormat/>
    <w:uiPriority w:val="0"/>
  </w:style>
  <w:style w:type="character" w:customStyle="1" w:styleId="53">
    <w:name w:val="math-inline"/>
    <w:basedOn w:val="12"/>
    <w:qFormat/>
    <w:uiPriority w:val="0"/>
  </w:style>
  <w:style w:type="character" w:customStyle="1" w:styleId="54">
    <w:name w:val="HTML Preformatted Char"/>
    <w:basedOn w:val="12"/>
    <w:link w:val="7"/>
    <w:semiHidden/>
    <w:qFormat/>
    <w:uiPriority w:val="99"/>
    <w:rPr>
      <w:rFonts w:ascii="Courier New" w:hAnsi="Courier New" w:eastAsia="Times New Roman" w:cs="Courier New"/>
    </w:rPr>
  </w:style>
  <w:style w:type="character" w:customStyle="1" w:styleId="55">
    <w:name w:val="Unresolved Mention"/>
    <w:basedOn w:val="12"/>
    <w:semiHidden/>
    <w:unhideWhenUsed/>
    <w:qFormat/>
    <w:uiPriority w:val="99"/>
    <w:rPr>
      <w:color w:val="605E5C"/>
      <w:shd w:val="clear" w:color="auto" w:fill="E1DFDD"/>
    </w:rPr>
  </w:style>
  <w:style w:type="character" w:customStyle="1" w:styleId="56">
    <w:name w:val="mrel"/>
    <w:basedOn w:val="12"/>
    <w:qFormat/>
    <w:uiPriority w:val="0"/>
  </w:style>
  <w:style w:type="character" w:customStyle="1" w:styleId="57">
    <w:name w:val="mpunct"/>
    <w:basedOn w:val="12"/>
    <w:qFormat/>
    <w:uiPriority w:val="0"/>
  </w:style>
  <w:style w:type="character" w:customStyle="1" w:styleId="58">
    <w:name w:val="text-token-text-primary"/>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image" Target="media/image2.tiff"/><Relationship Id="rId7" Type="http://schemas.openxmlformats.org/officeDocument/2006/relationships/image" Target="media/image1.tif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24F5409C-167E-C241-8B76-498FCE27571C}">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2236</Words>
  <Characters>14269</Characters>
  <Lines>650</Lines>
  <Paragraphs>183</Paragraphs>
  <TotalTime>29</TotalTime>
  <ScaleCrop>false</ScaleCrop>
  <LinksUpToDate>false</LinksUpToDate>
  <CharactersWithSpaces>16460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2026-06-14T10:53:00Z</dcterms:created>
  <dc:creator>Deng-Ke Niu</dc:creator>
  <cp:lastModifiedBy>Pine</cp:lastModifiedBy>
  <cp:lastPrinted>2026-05-28T07:14:00Z</cp:lastPrinted>
  <dcterms:modified xsi:type="dcterms:W3CDTF">2026-06-15T06:56:08Z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id="wDSfbUli"/&gt;&lt;style id="http://www.zotero.org/styles/systematic-biology" hasBibliography="1" bibliographyStyleHasBeenSet="1"/&gt;&lt;prefs&gt;&lt;pref name="fieldType" value="Field"/&gt;&lt;/prefs&gt;&lt;/data&gt;</vt:lpwstr>
  </property>
  <property fmtid="{D5CDD505-2E9C-101B-9397-08002B2CF9AE}" pid="3" name="KSOProductBuildVer">
    <vt:lpwstr>2052-12.1.0.23542</vt:lpwstr>
  </property>
  <property fmtid="{D5CDD505-2E9C-101B-9397-08002B2CF9AE}" pid="4" name="ICV">
    <vt:lpwstr>892F07310BC341D8BCD2D490C3C05F01_13</vt:lpwstr>
  </property>
  <property fmtid="{D5CDD505-2E9C-101B-9397-08002B2CF9AE}" pid="5" name="KSOTemplateDocerSaveRecord">
    <vt:lpwstr>eyJoZGlkIjoiZDZjMDQ5M2M4ODU5YzljZGI1YzMxNzU4ZjhiOGU5NzIiLCJ1c2VySWQiOiIxMTAwMjQwNCJ9</vt:lpwstr>
  </property>
</Properties>
</file>