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bb31cdc1a649331d2d99c75a335f27f43454ed"/>
    <w:p>
      <w:pPr>
        <w:pStyle w:val="Heading1"/>
      </w:pPr>
      <w:r>
        <w:t xml:space="preserve">Strain2bScan: strain-level 2bRAD-marker profiling of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resolve</w:t>
      </w:r>
      <w:r>
        <w:t xml:space="preserve"> </w:t>
      </w:r>
      <w:r>
        <w:t xml:space="preserve">species rather than strains, whereas commonly used full-k-mer strain profilers can incur repeated per-species</w:t>
      </w:r>
      <w:r>
        <w:t xml:space="preserve"> </w:t>
      </w:r>
      <w:r>
        <w:t xml:space="preserve">search costs and lose signal in host-rich samples. We present Strain2bScan, a Rust profiler that converts</w:t>
      </w:r>
      <w:r>
        <w:t xml:space="preserve"> </w:t>
      </w:r>
      <w:r>
        <w:t xml:space="preserve">type-IIB 2bRAD restriction markers into a strain-resolved, digest-once search framework for native BcgI</w:t>
      </w:r>
      <w:r>
        <w:t xml:space="preserve"> </w:t>
      </w:r>
      <w:r>
        <w:t xml:space="preserve">2bRAD-M libraries and conventional shotgun reads. Across 15 species, 2bRAD markers preserved genome-wide</w:t>
      </w:r>
      <w:r>
        <w:t xml:space="preserve"> </w:t>
      </w:r>
      <w:r>
        <w:t xml:space="preserve">strain relationships that 16S markers did not (median Spearman ρ = 0.94 versus 0.36). Native BcgI profiling</w:t>
      </w:r>
      <w:r>
        <w:t xml:space="preserve"> </w:t>
      </w:r>
      <w:r>
        <w:t xml:space="preserve">retained F1 = 1.0 at a 10⁻⁴ abundance threshold in a 99% human-DNA mock, where Strain2bScan was the only</w:t>
      </w:r>
      <w:r>
        <w:t xml:space="preserve"> </w:t>
      </w:r>
      <w:r>
        <w:t xml:space="preserve">tested tool preserving both detection and abundance. In 225 matched simulations, it matched StrainScan</w:t>
      </w:r>
      <w:r>
        <w:t xml:space="preserve"> </w:t>
      </w:r>
      <w:r>
        <w:t xml:space="preserve">species-median precision and had higher failure-as-absence recall (+0.127; 95% CI 0.007–0.248). Database</w:t>
      </w:r>
      <w:r>
        <w:t xml:space="preserve"> </w:t>
      </w:r>
      <w:r>
        <w:t xml:space="preserve">construction used 249–614× less wall time and 43–138× less memory than StrainScan. In saliva, strain</w:t>
      </w:r>
      <w:r>
        <w:t xml:space="preserve"> </w:t>
      </w:r>
      <w:r>
        <w:t xml:space="preserve">features supported within-subject discrimination (100% versus 78.1% leave-one-timepoint-out</w:t>
      </w:r>
      <w:r>
        <w:t xml:space="preserve"> </w:t>
      </w:r>
      <w:r>
        <w:t xml:space="preserve">classification). Accuracy depended on reference completeness and niche-matched panel design.</w:t>
      </w:r>
      <w:r>
        <w:t xml:space="preserve"> </w:t>
      </w:r>
      <w:r>
        <w:t xml:space="preserve">Strain2bScan therefore extends reduced-representation sequencing from species profiles to scalable strain</w:t>
      </w:r>
      <w:r>
        <w:t xml:space="preserve"> </w:t>
      </w:r>
      <w:r>
        <w:t xml:space="preserve">resolution.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within a species can differ in virulence, antibiotic resistance, metabolic capacity and</w:t>
      </w:r>
      <w:r>
        <w:t xml:space="preserve"> </w:t>
      </w:r>
      <w:r>
        <w:t xml:space="preserve">host interaction. Resolving which strains are present, and at what abundance, is therefore central to</w:t>
      </w:r>
      <w:r>
        <w:t xml:space="preserve"> </w:t>
      </w:r>
      <w:r>
        <w:t xml:space="preserve">microbiome and clinical metagenomics. The 16S rRNA gene, the workhorse of community surveys, resolves</w:t>
      </w:r>
      <w:r>
        <w:t xml:space="preserve"> </w:t>
      </w:r>
      <w:r>
        <w:t xml:space="preserve">species but not strains because its between-strain distances are essentially uncorrelated with genome-wide</w:t>
      </w:r>
      <w:r>
        <w:t xml:space="preserve"> </w:t>
      </w:r>
      <w:r>
        <w:t xml:space="preserve">divergence (below, and Fig 2). Shotgun metagenomes retain this signal, and reference k-mer methods such as</w:t>
      </w:r>
      <w:r>
        <w:t xml:space="preserve"> </w:t>
      </w:r>
      <w:r>
        <w:t xml:space="preserve">StrainScan [1] and StrainGE [2], marker-gene methods such as StrainPhlAn [3], and sketch-based abundance</w:t>
      </w:r>
      <w:r>
        <w:t xml:space="preserve"> </w:t>
      </w:r>
      <w:r>
        <w:t xml:space="preserve">estimators such as sylph [4] now make strain-level profiling routine for individual samples and species.</w:t>
      </w:r>
    </w:p>
    <w:p>
      <w:pPr>
        <w:pStyle w:val="BodyText"/>
      </w:pPr>
      <w:r>
        <w:t xml:space="preserve">Two constraints restrict broad use of shotgun-based strain profiling. The first is scale: full k-mer</w:t>
      </w:r>
      <w:r>
        <w:t xml:space="preserve"> </w:t>
      </w:r>
      <w:r>
        <w:t xml:space="preserve">methods index and query the k-mer content of each reference genome, and a sample’s k-mers are counted again</w:t>
      </w:r>
      <w:r>
        <w:t xml:space="preserve"> </w:t>
      </w:r>
      <w:r>
        <w:t xml:space="preserve">for every species database.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cost therefore grows approximately as</w:t>
      </w:r>
      <w:r>
        <w:t xml:space="preserve"> </w:t>
      </w:r>
      <w:r>
        <w:rPr>
          <w:i/>
          <w:iCs/>
        </w:rPr>
        <w:t xml:space="preserve">N × S × (k-mer count + search)</w:t>
      </w:r>
      <w:r>
        <w:t xml:space="preserve">, creating a practical barrier to population-scale, multi-species</w:t>
      </w:r>
      <w:r>
        <w:t xml:space="preserve"> </w:t>
      </w:r>
      <w:r>
        <w:t xml:space="preserve">surveillance. The second is host-rich, low-biomass material. Saliva and other oral sites, tumour and FFPE</w:t>
      </w:r>
      <w:r>
        <w:t xml:space="preserve"> </w:t>
      </w:r>
      <w:r>
        <w:t xml:space="preserve">tissue, and skin often contain 90–99% host DNA, so shotgun sequencing spends most reads on the host and</w:t>
      </w:r>
      <w:r>
        <w:t xml:space="preserve"> </w:t>
      </w:r>
      <w:r>
        <w:t xml:space="preserve">the informative bacterial fraction is depleted precisely where strain resolution would be most valuable.</w:t>
      </w:r>
    </w:p>
    <w:p>
      <w:pPr>
        <w:pStyle w:val="BodyText"/>
      </w:pPr>
      <w:r>
        <w:t xml:space="preserve">Reduced-representation sequencing offers a route through both constraints. Type-IIB restriction (</w:t>
      </w:r>
      <w:r>
        <w:t xml:space="preserve">“2bRAD”</w:t>
      </w:r>
      <w:r>
        <w:t xml:space="preserve">)</w:t>
      </w:r>
      <w:r>
        <w:t xml:space="preserve"> </w:t>
      </w:r>
      <w:r>
        <w:t xml:space="preserve">digestion releases a sparse, reproducible set of fixed-length tags that represent roughly 1–2% of the</w:t>
      </w:r>
      <w:r>
        <w:t xml:space="preserve"> </w:t>
      </w:r>
      <w:r>
        <w:t xml:space="preserve">genome [5]. As a wet-lab protocol (2bRAD-M / Fast2bRAD-M) [6,7], it enriches informative markers before</w:t>
      </w:r>
      <w:r>
        <w:t xml:space="preserve"> </w:t>
      </w:r>
      <w:r>
        <w:t xml:space="preserve">host DNA dominates the library and supports profiling of picogram inputs, heavily host-contaminated samples</w:t>
      </w:r>
      <w:r>
        <w:t xml:space="preserve"> </w:t>
      </w:r>
      <w:r>
        <w:t xml:space="preserve">and degraded material. This marker space has mainly supported species-level profiling, but strain-resolved</w:t>
      </w:r>
      <w:r>
        <w:t xml:space="preserve"> </w:t>
      </w:r>
      <w:r>
        <w:t xml:space="preserve">methods do not require the whole genome. They score samples on unique markers that distinguish a strain or</w:t>
      </w:r>
      <w:r>
        <w:t xml:space="preserve"> </w:t>
      </w:r>
      <w:r>
        <w:t xml:space="preserve">a cluster of near-identical strains, and a 2bRAD tag set is exactly such a low-redundancy, taxonomically</w:t>
      </w:r>
      <w:r>
        <w:t xml:space="preserve"> </w:t>
      </w:r>
      <w:r>
        <w:t xml:space="preserve">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of within-species</w:t>
      </w:r>
      <w:r>
        <w:t xml:space="preserve"> </w:t>
      </w:r>
      <w:r>
        <w:t xml:space="preserve">clustering, unique-marker scoring and abundance estimation onto 2bRAD tags in Rust. Its tag lengths and</w:t>
      </w:r>
      <w:r>
        <w:t xml:space="preserve"> </w:t>
      </w:r>
      <w:r>
        <w:t xml:space="preserve">recognition patterns match Fast2bRAD-M /</w:t>
      </w:r>
      <w:r>
        <w:t xml:space="preserve"> </w:t>
      </w:r>
      <w:r>
        <w:rPr>
          <w:rStyle w:val="VerbatimChar"/>
        </w:rPr>
        <w:t xml:space="preserve">2bRADExtraction.pl</w:t>
      </w:r>
      <w:r>
        <w:t xml:space="preserve"> </w:t>
      </w:r>
      <w:r>
        <w:t xml:space="preserve">[7] exactly, so the species and strain layers</w:t>
      </w:r>
      <w:r>
        <w:t xml:space="preserve"> </w:t>
      </w:r>
      <w:r>
        <w:t xml:space="preserve">share one marker space. The implementation supports two entry points. Native BcgI 2bRAD experimental</w:t>
      </w:r>
      <w:r>
        <w:t xml:space="preserve"> </w:t>
      </w:r>
      <w:r>
        <w:t xml:space="preserve">libraries enable strain-level analysis of low-biomass, high-host microbiomes. In-silico digestion of</w:t>
      </w:r>
      <w:r>
        <w:t xml:space="preserve"> </w:t>
      </w:r>
      <w:r>
        <w:t xml:space="preserve">conventional shotgun metagenomes enables digest-once, cohort-scale analysis, in which the marginal cost of</w:t>
      </w:r>
      <w:r>
        <w:t xml:space="preserve"> </w:t>
      </w:r>
      <w:r>
        <w:t xml:space="preserve">another species is a search against a compact panel rather than a second pass over sample k-mers. We</w:t>
      </w:r>
      <w:r>
        <w:t xml:space="preserve"> </w:t>
      </w:r>
      <w:r>
        <w:t xml:space="preserve">evaluate marker information content, strain detection and abundance accuracy, comparator performance,</w:t>
      </w:r>
      <w:r>
        <w:t xml:space="preserve"> </w:t>
      </w:r>
      <w:r>
        <w:t xml:space="preserve">computational scaling and application to real oral, vaginal, meconium and infant-gut metagenomes.</w:t>
      </w:r>
    </w:p>
    <w:bookmarkEnd w:id="10"/>
    <w:bookmarkStart w:id="23"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 species at 0.95 Jaccard similarity, and builds a compact cluster-by-marker database. Profiling digests a sample once, gates species on panel-specific markers, and scores strain-resolved clusters on unique markers. The same tag space accepts native BcgI 2bRAD-M libraries and in-silico-digested shotgun reads. Tag definitions match Fast2bRAD-M, so species and strain profiling share one marker space.</w:t>
      </w:r>
    </w:p>
    <w:bookmarkEnd w:id="11"/>
    <w:bookmarkStart w:id="21" w:name="X588fc7105f115651b369a746a1c419f8b882a05"/>
    <w:p>
      <w:pPr>
        <w:pStyle w:val="Heading4"/>
      </w:pPr>
      <w:r>
        <w:t xml:space="preserve">2bRAD tags retain strain-level signal that 16S does not (Fig 2)</w:t>
      </w:r>
    </w:p>
    <w:p>
      <w:pPr>
        <w:pStyle w:val="FirstParagraph"/>
      </w:pPr>
      <w:r>
        <w:t xml:space="preserve">Across 15 species with complete or near-complete genomes, 2bRAD-tag distances tracked whole-genome strain distances in every species (median Spearman ρ = 0.94; range 0.59–0.99), whereas 16S distances were much weaker (median ρ = 0.36). Thus, 16S resolved species, while 2bRAD markers retained genome-wide strain relationships.</w:t>
      </w:r>
    </w:p>
    <w:p>
      <w:pPr>
        <w:pStyle w:val="BodyText"/>
      </w:pPr>
      <w:r>
        <w:rPr>
          <w:b/>
          <w:bCs/>
        </w:rPr>
        <w:t xml:space="preserve">Part I. Native 2bRAD-M performance.</w:t>
      </w:r>
    </w:p>
    <w:bookmarkStart w:id="12" w:name="X9568d002ec9b92cde82df69a8669dd01a6ca4e5"/>
    <w:p>
      <w:pPr>
        <w:pStyle w:val="Heading5"/>
      </w:pPr>
      <w:r>
        <w:t xml:space="preserve">In-silico marker-density simulation (Fig 3)</w:t>
      </w:r>
    </w:p>
    <w:p>
      <w:pPr>
        <w:pStyle w:val="FirstParagraph"/>
      </w:pPr>
      <w:r>
        <w:t xml:space="preserve">We reran the enzyme ladder on the 225 matched simulations, giving 1,125 sample-level predictions across 15 species. Increasing enzymes from 1 to 14 increased median strain-specific markers from 816 to 12,298 while median cluster count remained 19, showing that the ladder increased marker density rather than cluster resolution. Across species, median precision/recall/F1 improved from 0.667/0.333/0.500 with BcgI alone to 1.000/1.000/1.000 with 14 enzymes; four enzymes already reached median precision 1.000 and F1 0.667 (Fig 3;</w:t>
      </w:r>
      <w:r>
        <w:t xml:space="preserve"> </w:t>
      </w:r>
      <w:r>
        <w:rPr>
          <w:rStyle w:val="VerbatimChar"/>
        </w:rPr>
        <w:t xml:space="preserve">results/enzyme_sweep_225/</w:t>
      </w:r>
      <w:r>
        <w:t xml:space="preserve">). BcgI therefore enables native 2bRAD-M operation, although single-enzyme panels are panel-dependent and less precise.</w:t>
      </w:r>
    </w:p>
    <w:bookmarkEnd w:id="12"/>
    <w:bookmarkStart w:id="13" w:name="dna-mocks-fig-4"/>
    <w:p>
      <w:pPr>
        <w:pStyle w:val="Heading5"/>
      </w:pPr>
      <w:r>
        <w:t xml:space="preserve">DNA mocks (Fig 4)</w:t>
      </w:r>
    </w:p>
    <w:p>
      <w:pPr>
        <w:pStyle w:val="FirstParagraph"/>
      </w:pPr>
      <w:r>
        <w:t xml:space="preserve">Four ATCC whole-cell mocks were profiled against a unified 28-species, 164-genome tree. In the primary MSA-1002 comparison, native BcgI 2bRAD-M retained F1 at 1e-4 = 0.909 at 0.1 ng DNA and F1 = 1.0 with AUPR = 1.0 at 90–99% human DNA. Across the four mocks, F1 was 0.976–1.0 at 90–99% host DNA and Bray–Curtis similarity was 0.745–0.756. F1 was 0.952 at 0.1 ng DNA and 1.0 at 1 ng, whereas 0.001 ng was below the practical detection floor. These mocks therefore support robust strain detection under high host content and low input, with a remaining noise floor near approximately 1× marker depth.</w:t>
      </w:r>
    </w:p>
    <w:bookmarkEnd w:id="13"/>
    <w:bookmarkStart w:id="14" w:name="real-saliva-time-course-fig-5"/>
    <w:p>
      <w:pPr>
        <w:pStyle w:val="Heading5"/>
      </w:pPr>
      <w:r>
        <w:t xml:space="preserve">Real saliva time-course (Fig 5)</w:t>
      </w:r>
    </w:p>
    <w:p>
      <w:pPr>
        <w:pStyle w:val="FirstParagraph"/>
      </w:pPr>
      <w:r>
        <w:t xml:space="preserve">Thirty-two native BcgI 2bRAD-M saliva libraries from eight subjects and four within-day timepoints were profiled against a 19-species oral panel. Strain features identified the subject in every leave-one-timepoint-out test (100% versus 78.1% for species features), and within-subject Bray–Curtis distance was lower than between-subject distance (0.327 versus 0.696; p = 8.05 × 10⁻¹⁹). These data show a stable, person-specific strain signature, although the small within-subject classifier is not independent strain-identity validation.</w:t>
      </w:r>
    </w:p>
    <w:bookmarkEnd w:id="14"/>
    <w:bookmarkStart w:id="15" w:name="Xdd05510a6c88ea41205be34bd58e2aadf43ac83"/>
    <w:p>
      <w:pPr>
        <w:pStyle w:val="Heading5"/>
      </w:pPr>
      <w:r>
        <w:t xml:space="preserve">Paired saliva: 2bRAD-M versus shotgun (Fig 6)</w:t>
      </w:r>
    </w:p>
    <w:p>
      <w:pPr>
        <w:pStyle w:val="FirstParagraph"/>
      </w:pPr>
      <w:r>
        <w:t xml:space="preserve">In three usable paired samples, all 65 shotgun strain-cluster calls were also present in native BcgI 2bRAD-M (65/65). Native libraries yielded 128–163 additional candidate strain-cluster calls per sample; these calls had lower median relative abundance than shared calls (0.0029 versus 0.0097; Mann–Whitney p = 1.2 × 10⁻²³). This directional comparison supports greater recovery of low-abundance strains by native 2bRAD-M, but the additional calls require independent validation.</w:t>
      </w:r>
    </w:p>
    <w:p>
      <w:pPr>
        <w:pStyle w:val="BodyText"/>
      </w:pPr>
      <w:r>
        <w:rPr>
          <w:b/>
          <w:bCs/>
        </w:rPr>
        <w:t xml:space="preserve">Part II. Conventional shotgun performance.</w:t>
      </w:r>
    </w:p>
    <w:bookmarkEnd w:id="15"/>
    <w:bookmarkStart w:id="16" w:name="Xcc9f7719b92a2f6984d24d9b04a0bc77494279d"/>
    <w:p>
      <w:pPr>
        <w:pStyle w:val="Heading5"/>
      </w:pPr>
      <w:r>
        <w:t xml:space="preserve">Complete 15-species simulation pool (Fig 7)</w:t>
      </w:r>
    </w:p>
    <w:p>
      <w:pPr>
        <w:pStyle w:val="FirstParagraph"/>
      </w:pPr>
      <w:r>
        <w:t xml:space="preserve">We evaluated current-source Strain2bScan on all 2,025 single-species ART error-modelled shotgun metagenomes generated from the same 15-species genome pool. Each sample contained 2, 3 or 5 co-present strains at 0.5–10× per-strain depth. Median precision, recall and F1 were 1.000 across the full pool; mean precision, recall and F1 were 0.890, 0.846 and 0.862. Mean F1 increased from 0.786 at 0.5× to 0.888 at 10×, while median precision remained 1.000. These simulations establish the accuracy envelope of the 2bRAD marker framework.</w:t>
      </w:r>
    </w:p>
    <w:bookmarkEnd w:id="16"/>
    <w:bookmarkStart w:id="17" w:name="X2fc8ead17102b8c877d4bae032b5568ecd8d0f6"/>
    <w:p>
      <w:pPr>
        <w:pStyle w:val="Heading5"/>
      </w:pPr>
      <w:r>
        <w:t xml:space="preserve">Matched 225-sample multi-tool benchmark (Fig 8, Tables 1–3)</w:t>
      </w:r>
    </w:p>
    <w:p>
      <w:pPr>
        <w:pStyle w:val="FirstParagraph"/>
      </w:pPr>
      <w:r>
        <w:t xml:space="preserve">On 225 matched single-species simulations, Strain2bScan and StrainScan both achieved species-median precision 1.0 across the 204 completed StrainScan pairs. Species-median recall and F1 were 1.000 and 1.000 for Strain2bScan versus 0.667 and 0.800 for StrainScan; paired recall and F1 differences included zero (+0.063 recall; 95% CI −0.037 to 0.133; +0.005 F1; 95% CI −0.091 to 0.069). StrainScan’s depth profile was non-monotonic, whereas Strain2bScan reached full median recall from 1× onward. In a failure-as-absence sensitivity that retained all 225 intended entries, Strain2bScan had +0.127 higher recall (95% CI 0.007 to 0.248), because StrainScan lacked calls for 21 runs. Strain2bScan was also faster and lighter: database construction used 249–614× less wall time and 43–138× less memory, and per-sample profiling was 4–33× faster and 5–39× lighter. Multi-species F1 was lower for Strain2bScan at all three depths, so the scale advantage should not be interpreted as uniform accuracy advantage.</w:t>
      </w:r>
    </w:p>
    <w:p>
      <w:pPr>
        <w:pStyle w:val="BodyText"/>
      </w:pPr>
      <w:r>
        <w:t xml:space="preserve">StrainGST and inStrain extended this comparison. StrainGST completed all simulations and ATCC shotgun mocks but used 53.31× more wall time and 25.49× more peak memory for single-species samples; accuracy was reported separately in its 0.90-reference space. inStrain completed all 225 matched samples and retained high recall, but median precision declined from 0.750 at 0.5× to 0.185 at 10× after mapping genomes to truth 0.95 clusters. Because each tool uses a different reference or cluster space, accuracies were not pooled.</w:t>
      </w:r>
    </w:p>
    <w:bookmarkEnd w:id="17"/>
    <w:bookmarkStart w:id="18" w:name="computational-scaling-fig-9"/>
    <w:p>
      <w:pPr>
        <w:pStyle w:val="Heading5"/>
      </w:pPr>
      <w:r>
        <w:t xml:space="preserve">Computational scaling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 and 828 MB for StrainScan, an approximately 8× runtime and 11× memory advantage. Database build and profiling parallelised to 4.6× and 5.8× speed at 16 threads. On a 55-species panel, runtime was approximately flat in species count, giving a projected 121–146× cohort-level advantage because StrainScan lacks native multi-species profiling.</w:t>
      </w:r>
    </w:p>
    <w:bookmarkEnd w:id="18"/>
    <w:bookmarkStart w:id="19" w:name="X8d52d390eb57f74f17085b37d7d72237ee65b50"/>
    <w:p>
      <w:pPr>
        <w:pStyle w:val="Heading5"/>
      </w:pPr>
      <w:r>
        <w:t xml:space="preserve">Supplementary curated-reference comparison (Supplementary Fig S5)</w:t>
      </w:r>
    </w:p>
    <w:p>
      <w:pPr>
        <w:pStyle w:val="FirstParagraph"/>
      </w:pPr>
      <w:r>
        <w:t xml:space="preserve">On StrainScan-curated reference sets,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was 17–23× faster and 15–24× lighter, and completed near-clonal</w:t>
      </w:r>
      <w:r>
        <w:t xml:space="preserve"> </w:t>
      </w:r>
      <w:r>
        <w:rPr>
          <w:i/>
          <w:iCs/>
        </w:rPr>
        <w:t xml:space="preserve">M. tuberculosis</w:t>
      </w:r>
      <w:r>
        <w:t xml:space="preserve"> </w:t>
      </w:r>
      <w:r>
        <w:t xml:space="preserve">in 0.89 s, whereas StrainScan did not complete. Low</w:t>
      </w:r>
      <w:r>
        <w:t xml:space="preserve"> </w:t>
      </w:r>
      <w:r>
        <w:rPr>
          <w:i/>
          <w:iCs/>
        </w:rPr>
        <w:t xml:space="preserve">M. tuberculosis</w:t>
      </w:r>
      <w:r>
        <w:t xml:space="preserve"> </w:t>
      </w:r>
      <w:r>
        <w:t xml:space="preserve">recall reflected collapse of the panel to five 0.95-similarity clusters.</w:t>
      </w:r>
    </w:p>
    <w:bookmarkEnd w:id="19"/>
    <w:bookmarkStart w:id="20" w:name="Xdcae5eff66ed62d5dca2a744bf2aa90745a236a"/>
    <w:p>
      <w:pPr>
        <w:pStyle w:val="Heading5"/>
      </w:pPr>
      <w:r>
        <w:t xml:space="preserve">DNA mocks and real shotgun cohorts (Fig 10, Tables 4–7)</w:t>
      </w:r>
    </w:p>
    <w:p>
      <w:pPr>
        <w:pStyle w:val="FirstParagraph"/>
      </w:pPr>
      <w:r>
        <w:t xml:space="preserve">On four ATCC shotgun mocks, Strain2bScan retained F1 = 1.0 in MSA-1002 at 90, 95 and 99% host DNA. At 99% host, StrainScan and inStrain had F1 = 0.095 and 0.333. Clean-mock thresholded precision varied with input composition, so the primary advantage was retention under host contamination rather than uniform clean-mock superiority.</w:t>
      </w:r>
    </w:p>
    <w:p>
      <w:pPr>
        <w:pStyle w:val="BodyText"/>
      </w:pPr>
      <w:r>
        <w:t xml:space="preserve">Public WGS cohorts showed three application boundaries. A pregnancy multi-site subset produced 34 strain-cluster calls across five of six libraries, with saliva cluster-rich and longitudinal profiles. Preterm vaginal/meconium libraries produced no strain calls because strain-marker evidence was sparse and panels were incomplete. Preterm-infant stool profiling detected weekly turnover with a generic panel and persistent</w:t>
      </w:r>
      <w:r>
        <w:t xml:space="preserve"> </w:t>
      </w:r>
      <w:r>
        <w:rPr>
          <w:i/>
          <w:iCs/>
        </w:rPr>
        <w:t xml:space="preserve">Bifidobacterium bifidum</w:t>
      </w:r>
      <w:r>
        <w:t xml:space="preserve"> </w:t>
      </w:r>
      <w:r>
        <w:t xml:space="preserve">LHCA82 with a cohort-specific panel. Six isolate WGS read sets recovered their expected panel units (6/6), but this was a panel/read compatibility result rather than independent classification.</w:t>
      </w:r>
    </w:p>
    <w:bookmarkEnd w:id="20"/>
    <w:bookmarkEnd w:id="21"/>
    <w:bookmarkStart w:id="22" w:name="comparator-scope"/>
    <w:p>
      <w:pPr>
        <w:pStyle w:val="Heading4"/>
      </w:pPr>
      <w:r>
        <w:t xml:space="preserve">Comparator scope</w:t>
      </w:r>
    </w:p>
    <w:p>
      <w:pPr>
        <w:pStyle w:val="FirstParagraph"/>
      </w:pPr>
      <w:r>
        <w:t xml:space="preserve">The primary executed strain-resolved comparators were StrainScan and inStrain; StrainGST was run separately because it uses StrainGE 0.90-reference databases. StrainPhlAn was not included in this P/R/F1 benchmark because it infers strain phylogeny and types rather than cluster abundance calls. StrainPhlAn was not forced into the P/R/F1 framework because it infers strain phylogeny/types rather than cluster abundance calls. Accuracies were therefore compared only within prespecified, tool-specific resolution spaces.</w:t>
      </w:r>
    </w:p>
    <w:p>
      <w:pPr>
        <w:pStyle w:val="BodyText"/>
      </w:pPr>
      <w:r>
        <w:rPr>
          <w:b/>
          <w:bCs/>
        </w:rPr>
        <w:t xml:space="preserve">Conclusion.</w:t>
      </w:r>
      <w:r>
        <w:t xml:space="preserve"> </w:t>
      </w:r>
      <w:r>
        <w:t xml:space="preserve">Together, these benchmarks show that 2bRAD markers retain strain-resolved signal, that native 2bRAD-M remains robust in high-host and low-input settings, and that Strain2bScan extends reduced-representation sequencing to scalable shotgun strain profiling with substantially lower database and profiling cost.</w:t>
      </w:r>
    </w:p>
    <w:bookmarkEnd w:id="22"/>
    <w:bookmarkEnd w:id="23"/>
    <w:bookmarkStart w:id="24" w:name="discussion"/>
    <w:p>
      <w:pPr>
        <w:pStyle w:val="Heading2"/>
      </w:pPr>
      <w:r>
        <w:t xml:space="preserve">Discussion</w:t>
      </w:r>
    </w:p>
    <w:p>
      <w:pPr>
        <w:pStyle w:val="FirstParagraph"/>
      </w:pPr>
      <w:r>
        <w:t xml:space="preserve">Strain2bScan couples a sparse 2bRAD marker space to StrainScan-style [1] strain-cluster resolution in a</w:t>
      </w:r>
      <w:r>
        <w:t xml:space="preserve"> </w:t>
      </w:r>
      <w:r>
        <w:t xml:space="preserve">compact Rust implementation. The resulting capability is not another full-k-mer profiler with a faster</w:t>
      </w:r>
      <w:r>
        <w:t xml:space="preserve"> </w:t>
      </w:r>
      <w:r>
        <w:t xml:space="preserve">engine. It is a single marker framework in which native reduction precedes host depletion for low-biomass</w:t>
      </w:r>
      <w:r>
        <w:t xml:space="preserve"> </w:t>
      </w:r>
      <w:r>
        <w:t xml:space="preserve">libraries and one in-silico digest serves every species panel for cohort-scale shotgun analysis. Across the</w:t>
      </w:r>
      <w:r>
        <w:t xml:space="preserve"> </w:t>
      </w:r>
      <w:r>
        <w:t xml:space="preserve">benchmarks, 2bRAD markers preserved genome-wide strain relationships, precision matched StrainScan in</w:t>
      </w:r>
      <w:r>
        <w:t xml:space="preserve"> </w:t>
      </w:r>
      <w:r>
        <w:t xml:space="preserve">completed paired simulations, and the strongest operational gains appeared in database construction,</w:t>
      </w:r>
      <w:r>
        <w:t xml:space="preserve"> </w:t>
      </w:r>
      <w:r>
        <w:t xml:space="preserve">multi-species runtime and retention at 99% host DNA (Figs 2, 7–10).</w:t>
      </w:r>
    </w:p>
    <w:p>
      <w:pPr>
        <w:pStyle w:val="BodyText"/>
      </w:pPr>
      <w:r>
        <w:t xml:space="preserve">Native 2bRAD-M addresses the setting in which shotgun coverage is most constrained. Because reduction occurs</w:t>
      </w:r>
      <w:r>
        <w:t xml:space="preserve"> </w:t>
      </w:r>
      <w:r>
        <w:t xml:space="preserve">before host DNA dominates the library, the primary MSA-1002 comparison retained both detection and abundance</w:t>
      </w:r>
      <w:r>
        <w:t xml:space="preserve"> </w:t>
      </w:r>
      <w:r>
        <w:t xml:space="preserve">at 99% human DNA, whereas the tested shotgun profilers lost one or both quantities (Fig 10). The saliva</w:t>
      </w:r>
      <w:r>
        <w:t xml:space="preserve"> </w:t>
      </w:r>
      <w:r>
        <w:t xml:space="preserve">analysis extended this observation from synthetic host ladders to person-specific profiles: strain features</w:t>
      </w:r>
      <w:r>
        <w:t xml:space="preserve"> </w:t>
      </w:r>
      <w:r>
        <w:t xml:space="preserve">identified the subject in every leave-one-timepoint-out test, compared with 78.1% for species features</w:t>
      </w:r>
      <w:r>
        <w:t xml:space="preserve"> </w:t>
      </w:r>
      <w:r>
        <w:t xml:space="preserve">(Fig 5). This is a small within-subject classification result rather than independent strain-identity</w:t>
      </w:r>
      <w:r>
        <w:t xml:space="preserve"> </w:t>
      </w:r>
      <w:r>
        <w:t xml:space="preserve">validation. Its value lies in showing that native libraries carry enough strain-specific structure to</w:t>
      </w:r>
      <w:r>
        <w:t xml:space="preserve"> </w:t>
      </w:r>
      <w:r>
        <w:t xml:space="preserve">support subject-level discrimination, a property that 65/65 concordant shotgun calls and 128–163 additional</w:t>
      </w:r>
      <w:r>
        <w:t xml:space="preserve"> </w:t>
      </w:r>
      <w:r>
        <w:t xml:space="preserve">candidate strain-cluster calls per sample further support on usable paired libraries (Fig 6).</w:t>
      </w:r>
    </w:p>
    <w:p>
      <w:pPr>
        <w:pStyle w:val="BodyText"/>
      </w:pPr>
      <w:r>
        <w:t xml:space="preserve">In shotgun mode, the structural advantage is a change in search economics. A sample is digested once and the</w:t>
      </w:r>
      <w:r>
        <w:t xml:space="preserve"> </w:t>
      </w:r>
      <w:r>
        <w:t xml:space="preserve">resulting tags index against all species, so adding species increases panel searches rather than sample</w:t>
      </w:r>
      <w:r>
        <w:t xml:space="preserve"> </w:t>
      </w:r>
      <w:r>
        <w:t xml:space="preserve">k-mer counting. This design produced the 121–146× projected cohort-level advantage on the 55-species</w:t>
      </w:r>
      <w:r>
        <w:t xml:space="preserve"> </w:t>
      </w:r>
      <w:r>
        <w:t xml:space="preserve">analysis and made the marginal cost of community profiling approximately flat in species count (Fig 9).</w:t>
      </w:r>
      <w:r>
        <w:t xml:space="preserve"> </w:t>
      </w:r>
      <w:r>
        <w:t xml:space="preserve">Clean-mock precision depended on input composition and threshold semantics, so the scale claim should be</w:t>
      </w:r>
      <w:r>
        <w:t xml:space="preserve"> </w:t>
      </w:r>
      <w:r>
        <w:t xml:space="preserve">read together with the accuracy and cluster-space conditions in Tables 1–3. The framework’s strongest</w:t>
      </w:r>
      <w:r>
        <w:t xml:space="preserve"> </w:t>
      </w:r>
      <w:r>
        <w:t xml:space="preserve">current position is therefore scalable strain resolution across mixed cohorts, rather than uniform</w:t>
      </w:r>
      <w:r>
        <w:t xml:space="preserve"> </w:t>
      </w:r>
      <w:r>
        <w:t xml:space="preserve">higher precision on every mock.</w:t>
      </w:r>
    </w:p>
    <w:p>
      <w:pPr>
        <w:pStyle w:val="BodyText"/>
      </w:pPr>
      <w:r>
        <w:t xml:space="preserve">The biological unit of the claim is the strain cluster. At a 0.95 similarity cut, diverse species can</w:t>
      </w:r>
      <w:r>
        <w:t xml:space="preserve"> </w:t>
      </w:r>
      <w:r>
        <w:t xml:space="preserve">resolve close to individual genomes, whereas near-clonal populations resolve to fewer clusters. This is an</w:t>
      </w:r>
      <w:r>
        <w:t xml:space="preserve"> </w:t>
      </w:r>
      <w:r>
        <w:t xml:space="preserve">inherent property of short-read evidence shared by StrainScan [1] and Strain2bScan, not a loss introduced by</w:t>
      </w:r>
      <w:r>
        <w:t xml:space="preserve"> </w:t>
      </w:r>
      <w:r>
        <w:t xml:space="preserve">reduced-representation markers. Precision remained high in low-diversity species, while near-clonal recall</w:t>
      </w:r>
      <w:r>
        <w:t xml:space="preserve"> </w:t>
      </w:r>
      <w:r>
        <w:t xml:space="preserve">defined the most important algorithmic boundary (Fig 7). A within-cluster overlap or regression layer that</w:t>
      </w:r>
      <w:r>
        <w:t xml:space="preserve"> </w:t>
      </w:r>
      <w:r>
        <w:t xml:space="preserve">uses read placement after occurrence-based uniqueness would directly test whether near-clonal recall can</w:t>
      </w:r>
      <w:r>
        <w:t xml:space="preserve"> </w:t>
      </w:r>
      <w:r>
        <w:t xml:space="preserve">increase without sacrificing precision.</w:t>
      </w:r>
    </w:p>
    <w:p>
      <w:pPr>
        <w:pStyle w:val="BodyText"/>
      </w:pPr>
      <w:r>
        <w:t xml:space="preserve">Panel and reference quality control the transportability of all strain calls. A niche-appropriate,</w:t>
      </w:r>
      <w:r>
        <w:t xml:space="preserve"> </w:t>
      </w:r>
      <w:r>
        <w:t xml:space="preserve">genome-rich oral panel recovered individual-specific structure that a generic pathogen panel did not, and</w:t>
      </w:r>
      <w:r>
        <w:t xml:space="preserve"> </w:t>
      </w:r>
      <w:r>
        <w:t xml:space="preserve">body-site-complete pangenomes are needed before sparse vaginal or meconium marker evidence can support</w:t>
      </w:r>
      <w:r>
        <w:t xml:space="preserve"> </w:t>
      </w:r>
      <w:r>
        <w:t xml:space="preserve">biological absence calls (Tables 4–7). The containment mode addresses incomplete genomes that have a more</w:t>
      </w:r>
      <w:r>
        <w:t xml:space="preserve"> </w:t>
      </w:r>
      <w:r>
        <w:t xml:space="preserve">complete relative, but markers absent from every reference remain unavailable. Broader pangenome panels,</w:t>
      </w:r>
      <w:r>
        <w:t xml:space="preserve"> </w:t>
      </w:r>
      <w:r>
        <w:t xml:space="preserve">completeness-aware gating and explicit absent-strain models are therefore the next tests for open-world</w:t>
      </w:r>
      <w:r>
        <w:t xml:space="preserve"> </w:t>
      </w:r>
      <w:r>
        <w:t xml:space="preserve">surveillance rather than optional engineering refinements.</w:t>
      </w:r>
    </w:p>
    <w:p>
      <w:pPr>
        <w:pStyle w:val="BodyText"/>
      </w:pPr>
      <w:r>
        <w:t xml:space="preserve">The comparator scope is also explicit. StrainScan [1] and inStrain [8] were executed on the frozen shotgun</w:t>
      </w:r>
      <w:r>
        <w:t xml:space="preserve"> </w:t>
      </w:r>
      <w:r>
        <w:t xml:space="preserve">benchmarks, whereas StrainGST [2] was rerun in StrainGE’s 0.90-reference space and reported separately</w:t>
      </w:r>
      <w:r>
        <w:t xml:space="preserve"> </w:t>
      </w:r>
      <w:r>
        <w:t xml:space="preserve">because those calls cannot be pooled with 0.95-space Strain2bScan or StrainScan metrics (Tables 8–9). This</w:t>
      </w:r>
      <w:r>
        <w:t xml:space="preserve"> </w:t>
      </w:r>
      <w:r>
        <w:t xml:space="preserve">rerun covered the primary simulations and ATCC shotgun mocks, but native BcgI input for StrainGE, StrainGR</w:t>
      </w:r>
      <w:r>
        <w:t xml:space="preserve"> </w:t>
      </w:r>
      <w:r>
        <w:t xml:space="preserve">and the supplementary curated-database subset remain untested. The comparison therefore establishes cost and</w:t>
      </w:r>
      <w:r>
        <w:t xml:space="preserve"> </w:t>
      </w:r>
      <w:r>
        <w:t xml:space="preserve">feasibility boundaries for the tested StrainGST workflow without claiming equivalence to the full StrainGE</w:t>
      </w:r>
      <w:r>
        <w:t xml:space="preserve"> </w:t>
      </w:r>
      <w:r>
        <w:t xml:space="preserve">family.</w:t>
      </w:r>
    </w:p>
    <w:p>
      <w:pPr>
        <w:pStyle w:val="BodyText"/>
      </w:pPr>
      <w:r>
        <w:t xml:space="preserve">Two applications follow directly from the evidence. Native 2bRAD-M is appropriate when host content, input</w:t>
      </w:r>
      <w:r>
        <w:t xml:space="preserve"> </w:t>
      </w:r>
      <w:r>
        <w:t xml:space="preserve">mass or degradation limits shotgun recovery, with tumour, FFPE and skin as priority targets that remain to</w:t>
      </w:r>
      <w:r>
        <w:t xml:space="preserve"> </w:t>
      </w:r>
      <w:r>
        <w:t xml:space="preserve">be tested. In-silico digestion is appropriate for large shotgun cohorts in which repeated per-species</w:t>
      </w:r>
      <w:r>
        <w:t xml:space="preserve"> </w:t>
      </w:r>
      <w:r>
        <w:t xml:space="preserve">k-mer searches dominate cost. Resolving those two regimes in one marker space turns reduced-representation</w:t>
      </w:r>
      <w:r>
        <w:t xml:space="preserve"> </w:t>
      </w:r>
      <w:r>
        <w:t xml:space="preserve">sequencing from a species-profile protocol into a practical route to strain-resolved microbiome analysis.</w:t>
      </w:r>
    </w:p>
    <w:bookmarkEnd w:id="24"/>
    <w:bookmarkStart w:id="35" w:name="methods"/>
    <w:p>
      <w:pPr>
        <w:pStyle w:val="Heading2"/>
      </w:pPr>
      <w:r>
        <w:t xml:space="preserve">Methods</w:t>
      </w:r>
    </w:p>
    <w:bookmarkStart w:id="25"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5"/>
    <w:bookmarkStart w:id="26"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26"/>
    <w:bookmarkStart w:id="27"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marker source</w:t>
            </w:r>
          </w:p>
        </w:tc>
        <w:tc>
          <w:tcPr>
            <w:shd w:val="clear" w:color="auto" w:fill="DCE6F1"/>
          </w:tcPr>
          <w:p>
            <w:pPr>
              <w:pStyle w:val="Compact"/>
              <w:spacing w:before="0" w:after="0" w:line="240" w:lineRule="auto"/>
            </w:pPr>
            <w:r>
              <w:rPr>
                <w:b/>
                <w:sz w:val="17"/>
              </w:rPr>
              <w:t xml:space="preserve">markers per cluster (median)</w:t>
            </w:r>
          </w:p>
        </w:tc>
        <w:tc>
          <w:tcPr>
            <w:shd w:val="clear" w:color="auto" w:fill="DCE6F1"/>
          </w:tcPr>
          <w:p>
            <w:pPr>
              <w:pStyle w:val="Compact"/>
              <w:spacing w:before="0" w:after="0" w:line="240" w:lineRule="auto"/>
            </w:pPr>
            <w:r>
              <w:rPr>
                <w:b/>
                <w:sz w:val="17"/>
              </w:rPr>
              <w:t xml:space="preserve">internal-node group-specific markers (median)</w:t>
            </w:r>
          </w:p>
        </w:tc>
        <w:tc>
          <w:tcPr>
            <w:shd w:val="clear" w:color="auto" w:fill="DCE6F1"/>
          </w:tcPr>
          <w:p>
            <w:pPr>
              <w:pStyle w:val="Compact"/>
              <w:spacing w:before="0" w:after="0" w:line="240" w:lineRule="auto"/>
            </w:pPr>
            <w:r>
              <w:rPr>
                <w:b/>
                <w:sz w:val="17"/>
              </w:rPr>
              <w:t xml:space="preserve">tree usable?</w:t>
            </w:r>
          </w:p>
        </w:tc>
      </w:tr>
      <w:tr>
        <w:trPr>
          <w:cantSplit/>
        </w:trPr>
        <w:tc>
          <w:tcPr/>
          <w:p>
            <w:pPr>
              <w:pStyle w:val="Compact"/>
              <w:spacing w:before="0" w:after="0" w:line="240" w:lineRule="auto"/>
            </w:pPr>
            <w:r>
              <w:rPr>
                <w:b w:val="0"/>
                <w:sz w:val="16"/>
              </w:rPr>
              <w:t xml:space="preserve">BcgI (1 enzyme)</w:t>
            </w:r>
          </w:p>
        </w:tc>
        <w:tc>
          <w:tcPr/>
          <w:p>
            <w:pPr>
              <w:pStyle w:val="Compact"/>
              <w:spacing w:before="0" w:after="0" w:line="240" w:lineRule="auto"/>
            </w:pPr>
            <w:r>
              <w:rPr>
                <w:b w:val="0"/>
                <w:sz w:val="16"/>
              </w:rPr>
              <w:t xml:space="preserve">650</w:t>
            </w:r>
          </w:p>
        </w:tc>
        <w:tc>
          <w:tcPr/>
          <w:p>
            <w:pPr>
              <w:pStyle w:val="Compact"/>
              <w:spacing w:before="0" w:after="0" w:line="240" w:lineRule="auto"/>
            </w:pPr>
            <w:r>
              <w:rPr>
                <w:b w:val="0"/>
                <w:sz w:val="16"/>
              </w:rPr>
              <w:t xml:space="preserve">2</w:t>
            </w:r>
          </w:p>
        </w:tc>
        <w:tc>
          <w:tcPr/>
          <w:p>
            <w:pPr>
              <w:pStyle w:val="Compact"/>
              <w:spacing w:before="0" w:after="0" w:line="240" w:lineRule="auto"/>
            </w:pPr>
            <w:r>
              <w:rPr>
                <w:b w:val="0"/>
                <w:sz w:val="16"/>
              </w:rPr>
              <w:t xml:space="preserve">no</w:t>
            </w:r>
          </w:p>
        </w:tc>
      </w:tr>
      <w:tr>
        <w:trPr>
          <w:cantSplit/>
        </w:trPr>
        <w:tc>
          <w:tcPr/>
          <w:p>
            <w:pPr>
              <w:pStyle w:val="Compact"/>
              <w:spacing w:before="0" w:after="0" w:line="240" w:lineRule="auto"/>
            </w:pPr>
            <w:r>
              <w:rPr>
                <w:rStyle w:val="VerbatimChar"/>
                <w:b w:val="0"/>
                <w:sz w:val="16"/>
              </w:rPr>
              <w:t xml:space="preserve">recommended</w:t>
            </w:r>
            <w:r>
              <w:rPr>
                <w:b w:val="0"/>
                <w:sz w:val="16"/>
              </w:rPr>
              <w:t xml:space="preserve"> </w:t>
            </w:r>
            <w:r>
              <w:rPr>
                <w:b w:val="0"/>
                <w:sz w:val="16"/>
              </w:rPr>
              <w:t xml:space="preserve">(14)</w:t>
            </w:r>
          </w:p>
        </w:tc>
        <w:tc>
          <w:tcPr/>
          <w:p>
            <w:pPr>
              <w:pStyle w:val="Compact"/>
              <w:spacing w:before="0" w:after="0" w:line="240" w:lineRule="auto"/>
            </w:pPr>
            <w:r>
              <w:rPr>
                <w:b w:val="0"/>
                <w:sz w:val="16"/>
              </w:rPr>
              <w:t xml:space="preserve">11,711</w:t>
            </w:r>
          </w:p>
        </w:tc>
        <w:tc>
          <w:tcPr/>
          <w:p>
            <w:pPr>
              <w:pStyle w:val="Compact"/>
              <w:spacing w:before="0" w:after="0" w:line="240" w:lineRule="auto"/>
            </w:pPr>
            <w:r>
              <w:rPr>
                <w:b w:val="0"/>
                <w:sz w:val="16"/>
              </w:rPr>
              <w:t xml:space="preserve">32</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rStyle w:val="VerbatimChar"/>
                <w:b w:val="0"/>
                <w:sz w:val="16"/>
              </w:rPr>
              <w:t xml:space="preserve">all</w:t>
            </w:r>
            <w:r>
              <w:rPr>
                <w:b w:val="0"/>
                <w:sz w:val="16"/>
              </w:rPr>
              <w:t xml:space="preserve"> </w:t>
            </w:r>
            <w:r>
              <w:rPr>
                <w:b w:val="0"/>
                <w:sz w:val="16"/>
              </w:rPr>
              <w:t xml:space="preserve">(16; the ceiling)</w:t>
            </w:r>
          </w:p>
        </w:tc>
        <w:tc>
          <w:tcPr/>
          <w:p>
            <w:pPr>
              <w:pStyle w:val="Compact"/>
              <w:spacing w:before="0" w:after="0" w:line="240" w:lineRule="auto"/>
            </w:pPr>
            <w:r>
              <w:rPr>
                <w:b w:val="0"/>
                <w:sz w:val="16"/>
              </w:rPr>
              <w:t xml:space="preserve">16,008</w:t>
            </w:r>
          </w:p>
        </w:tc>
        <w:tc>
          <w:tcPr/>
          <w:p>
            <w:pPr>
              <w:pStyle w:val="Compact"/>
              <w:spacing w:before="0" w:after="0" w:line="240" w:lineRule="auto"/>
            </w:pPr>
            <w:r>
              <w:rPr>
                <w:b w:val="0"/>
                <w:sz w:val="16"/>
              </w:rPr>
              <w:t xml:space="preserve">45</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100</w:t>
            </w:r>
          </w:p>
        </w:tc>
        <w:tc>
          <w:tcPr/>
          <w:p>
            <w:pPr>
              <w:pStyle w:val="Compact"/>
              <w:spacing w:before="0" w:after="0" w:line="240" w:lineRule="auto"/>
            </w:pPr>
            <w:r>
              <w:rPr>
                <w:b w:val="0"/>
                <w:sz w:val="16"/>
              </w:rPr>
              <w:t xml:space="preserve">18,991</w:t>
            </w:r>
          </w:p>
        </w:tc>
        <w:tc>
          <w:tcPr/>
          <w:p>
            <w:pPr>
              <w:pStyle w:val="Compact"/>
              <w:spacing w:before="0" w:after="0" w:line="240" w:lineRule="auto"/>
            </w:pPr>
            <w:r>
              <w:rPr>
                <w:b w:val="0"/>
                <w:sz w:val="16"/>
              </w:rPr>
              <w:t xml:space="preserve">40</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30</w:t>
            </w:r>
          </w:p>
        </w:tc>
        <w:tc>
          <w:tcPr/>
          <w:p>
            <w:pPr>
              <w:pStyle w:val="Compact"/>
              <w:spacing w:before="0" w:after="0" w:line="240" w:lineRule="auto"/>
            </w:pPr>
            <w:r>
              <w:rPr>
                <w:b w:val="0"/>
                <w:sz w:val="16"/>
              </w:rPr>
              <w:t xml:space="preserve">63,554</w:t>
            </w:r>
          </w:p>
        </w:tc>
        <w:tc>
          <w:tcPr/>
          <w:p>
            <w:pPr>
              <w:pStyle w:val="Compact"/>
              <w:spacing w:before="0" w:after="0" w:line="240" w:lineRule="auto"/>
            </w:pPr>
            <w:r>
              <w:rPr>
                <w:b w:val="0"/>
                <w:sz w:val="16"/>
              </w:rPr>
              <w:t xml:space="preserve">134</w:t>
            </w:r>
          </w:p>
        </w:tc>
        <w:tc>
          <w:tcPr/>
          <w:p>
            <w:pPr>
              <w:pStyle w:val="Compact"/>
              <w:spacing w:before="0" w:after="0" w:line="240" w:lineRule="auto"/>
            </w:pPr>
            <w:r>
              <w:rPr>
                <w:b w:val="0"/>
                <w:sz w:val="16"/>
              </w:rPr>
              <w:t xml:space="preserve">yes</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w:t>
            </w:r>
          </w:p>
        </w:tc>
        <w:tc>
          <w:tcPr/>
          <w:p>
            <w:pPr>
              <w:pStyle w:val="Compact"/>
              <w:spacing w:before="0" w:after="0" w:line="240" w:lineRule="auto"/>
            </w:pPr>
            <w:r>
              <w:rPr>
                <w:b w:val="0"/>
                <w:sz w:val="16"/>
              </w:rPr>
              <w:t xml:space="preserve">189,986</w:t>
            </w:r>
          </w:p>
        </w:tc>
        <w:tc>
          <w:tcPr/>
          <w:p>
            <w:pPr>
              <w:pStyle w:val="Compact"/>
              <w:spacing w:before="0" w:after="0" w:line="240" w:lineRule="auto"/>
            </w:pPr>
            <w:r>
              <w:rPr>
                <w:b w:val="0"/>
                <w:sz w:val="16"/>
              </w:rPr>
              <w:t xml:space="preserve">372</w:t>
            </w:r>
          </w:p>
        </w:tc>
        <w:tc>
          <w:tcPr/>
          <w:p>
            <w:pPr>
              <w:pStyle w:val="Compact"/>
              <w:spacing w:before="0" w:after="0" w:line="240" w:lineRule="auto"/>
            </w:pPr>
            <w:r>
              <w:rPr>
                <w:b w:val="0"/>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27"/>
    <w:bookmarkStart w:id="28"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28"/>
    <w:bookmarkStart w:id="29"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column</w:t>
            </w:r>
          </w:p>
        </w:tc>
        <w:tc>
          <w:tcPr>
            <w:shd w:val="clear" w:color="auto" w:fill="DCE6F1"/>
          </w:tcPr>
          <w:p>
            <w:pPr>
              <w:pStyle w:val="Compact"/>
              <w:spacing w:before="0" w:after="0" w:line="240" w:lineRule="auto"/>
            </w:pPr>
            <w:r>
              <w:rPr>
                <w:b/>
                <w:sz w:val="17"/>
              </w:rPr>
              <w:t xml:space="preserve">definition</w:t>
            </w:r>
          </w:p>
        </w:tc>
        <w:tc>
          <w:tcPr>
            <w:shd w:val="clear" w:color="auto" w:fill="DCE6F1"/>
          </w:tcPr>
          <w:p>
            <w:pPr>
              <w:pStyle w:val="Compact"/>
              <w:spacing w:before="0" w:after="0" w:line="240" w:lineRule="auto"/>
            </w:pPr>
            <w:r>
              <w:rPr>
                <w:b/>
                <w:sz w:val="17"/>
              </w:rPr>
              <w:t xml:space="preserve">denominator</w:t>
            </w:r>
          </w:p>
        </w:tc>
        <w:tc>
          <w:tcPr>
            <w:shd w:val="clear" w:color="auto" w:fill="DCE6F1"/>
          </w:tcPr>
          <w:p>
            <w:pPr>
              <w:pStyle w:val="Compact"/>
              <w:spacing w:before="0" w:after="0" w:line="240" w:lineRule="auto"/>
            </w:pPr>
            <w:r>
              <w:rPr>
                <w:b/>
                <w:sz w:val="17"/>
              </w:rPr>
              <w:t xml:space="preserve">interpretation</w:t>
            </w:r>
          </w:p>
        </w:tc>
      </w:tr>
      <w:tr>
        <w:trPr>
          <w:cantSplit/>
        </w:trPr>
        <w:tc>
          <w:tcPr/>
          <w:p>
            <w:pPr>
              <w:pStyle w:val="Compact"/>
              <w:spacing w:before="0" w:after="0" w:line="240" w:lineRule="auto"/>
            </w:pPr>
            <w:r>
              <w:rPr>
                <w:rStyle w:val="VerbatimChar"/>
                <w:b w:val="0"/>
                <w:sz w:val="16"/>
              </w:rPr>
              <w:t xml:space="preserve">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 species</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this species</w:t>
            </w:r>
          </w:p>
        </w:tc>
        <w:tc>
          <w:tcPr/>
          <w:p>
            <w:pPr>
              <w:pStyle w:val="Compact"/>
              <w:spacing w:before="0" w:after="0" w:line="240" w:lineRule="auto"/>
            </w:pPr>
            <w:r>
              <w:rPr>
                <w:b w:val="0"/>
                <w:sz w:val="16"/>
              </w:rPr>
              <w:t xml:space="preserve">within-species split (primary)</w:t>
            </w:r>
          </w:p>
        </w:tc>
      </w:tr>
      <w:tr>
        <w:trPr>
          <w:cantSplit/>
        </w:trPr>
        <w:tc>
          <w:tcPr/>
          <w:p>
            <w:pPr>
              <w:pStyle w:val="Compact"/>
              <w:spacing w:before="0" w:after="0" w:line="240" w:lineRule="auto"/>
            </w:pPr>
            <w:r>
              <w:rPr>
                <w:rStyle w:val="VerbatimChar"/>
                <w:b w:val="0"/>
                <w:sz w:val="16"/>
              </w:rPr>
              <w:t xml:space="preserve">global_abundance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clusters this run resolved</w:t>
            </w:r>
          </w:p>
        </w:tc>
        <w:tc>
          <w:tcPr/>
          <w:p>
            <w:pPr>
              <w:pStyle w:val="Compact"/>
              <w:spacing w:before="0" w:after="0" w:line="240" w:lineRule="auto"/>
            </w:pPr>
            <w:r>
              <w:rPr>
                <w:b w:val="0"/>
                <w:sz w:val="16"/>
              </w:rPr>
              <w:t xml:space="preserve">community composition,</w:t>
            </w:r>
            <w:r>
              <w:rPr>
                <w:b w:val="0"/>
                <w:sz w:val="16"/>
              </w:rPr>
              <w:t xml:space="preserve"> </w:t>
            </w:r>
            <w:r>
              <w:rPr>
                <w:b w:val="0"/>
                <w:bCs/>
                <w:sz w:val="16"/>
              </w:rPr>
              <w:t xml:space="preserve">cell</w:t>
            </w:r>
            <w:r>
              <w:rPr>
                <w:b w:val="0"/>
                <w:sz w:val="16"/>
              </w:rPr>
              <w:t xml:space="preserve"> </w:t>
            </w:r>
            <w:r>
              <w:rPr>
                <w:b w:val="0"/>
                <w:sz w:val="16"/>
              </w:rPr>
              <w:t xml:space="preserve">fraction</w:t>
            </w:r>
          </w:p>
        </w:tc>
      </w:tr>
      <w:tr>
        <w:trPr>
          <w:cantSplit/>
        </w:trPr>
        <w:tc>
          <w:tcPr/>
          <w:p>
            <w:pPr>
              <w:pStyle w:val="Compact"/>
              <w:spacing w:before="0" w:after="0" w:line="240" w:lineRule="auto"/>
            </w:pPr>
            <w:r>
              <w:rPr>
                <w:rStyle w:val="VerbatimChar"/>
                <w:b w:val="0"/>
                <w:sz w:val="16"/>
              </w:rPr>
              <w:t xml:space="preserve">sample_fraction</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w:t>
            </w:r>
            <w:r>
              <w:rPr>
                <w:b w:val="0"/>
                <w:sz w:val="16"/>
              </w:rPr>
              <w:t xml:space="preserve"> </w:t>
            </w:r>
            <w:r>
              <w:rPr>
                <w:b w:val="0"/>
                <w:i/>
                <w:iCs/>
                <w:sz w:val="16"/>
              </w:rPr>
              <w:t xml:space="preserve">G</w:t>
            </w:r>
            <w:r>
              <w:rPr>
                <w:b w:val="0"/>
                <w:i/>
                <w:iCs/>
                <w:sz w:val="16"/>
              </w:rPr>
              <w:t xml:space="preserve">j</w:t>
            </w:r>
            <w:r>
              <w:rPr>
                <w:b w:val="0"/>
                <w:sz w:val="16"/>
              </w:rPr>
              <w:t xml:space="preserve"> </w:t>
            </w:r>
            <w:r>
              <w:rPr>
                <w:b w:val="0"/>
                <w:sz w:val="16"/>
              </w:rPr>
              <w:t xml:space="preserve">/ Σ</w:t>
            </w:r>
            <w:r>
              <w:rPr>
                <w:b w:val="0"/>
                <w:i/>
                <w:iCs/>
                <w:sz w:val="16"/>
              </w:rPr>
              <w:t xml:space="preserve">m</w:t>
            </w:r>
            <w:r>
              <w:rPr>
                <w:b w:val="0"/>
                <w:sz w:val="16"/>
              </w:rPr>
              <w:t xml:space="preserve"> </w:t>
            </w:r>
            <w:r>
              <w:rPr>
                <w:b w:val="0"/>
                <w:i/>
                <w:iCs/>
                <w:sz w:val="16"/>
              </w:rPr>
              <w:t xml:space="preserve">c</w:t>
            </w:r>
            <w:r>
              <w:rPr>
                <w:b w:val="0"/>
                <w:i/>
                <w:iCs/>
                <w:sz w:val="16"/>
              </w:rPr>
              <w:t xml:space="preserve">m</w:t>
            </w:r>
          </w:p>
        </w:tc>
        <w:tc>
          <w:tcPr/>
          <w:p>
            <w:pPr>
              <w:pStyle w:val="Compact"/>
              <w:spacing w:before="0" w:after="0" w:line="240" w:lineRule="auto"/>
            </w:pPr>
            <w:r>
              <w:rPr>
                <w:b w:val="0"/>
                <w:sz w:val="16"/>
              </w:rPr>
              <w:t xml:space="preserve">all tag observations</w:t>
            </w:r>
          </w:p>
        </w:tc>
        <w:tc>
          <w:tcPr/>
          <w:p>
            <w:pPr>
              <w:pStyle w:val="Compact"/>
              <w:spacing w:before="0" w:after="0" w:line="240" w:lineRule="auto"/>
            </w:pPr>
            <w:r>
              <w:rPr>
                <w:b w:val="0"/>
                <w:sz w:val="16"/>
              </w:rPr>
              <w:t xml:space="preserve">share of the sequencing,</w:t>
            </w:r>
            <w:r>
              <w:rPr>
                <w:b w:val="0"/>
                <w:sz w:val="16"/>
              </w:rPr>
              <w:t xml:space="preserve"> </w:t>
            </w:r>
            <w:r>
              <w:rPr>
                <w:b w:val="0"/>
                <w:bCs/>
                <w:sz w:val="16"/>
              </w:rPr>
              <w:t xml:space="preserve">DNA</w:t>
            </w:r>
            <w:r>
              <w:rPr>
                <w:b w:val="0"/>
                <w:sz w:val="16"/>
              </w:rPr>
              <w:t xml:space="preserve"> </w:t>
            </w:r>
            <w:r>
              <w:rPr>
                <w:b w:val="0"/>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29"/>
    <w:bookmarkStart w:id="30"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0"/>
    <w:bookmarkStart w:id="31"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1"/>
    <w:bookmarkStart w:id="32"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2"/>
    <w:bookmarkStart w:id="33"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3"/>
    <w:bookmarkStart w:id="34"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i/>
          <w:iCs/>
        </w:rPr>
        <w:t xml:space="preserve">Enzyme-ladder rerun.</w:t>
      </w:r>
      <w:r>
        <w:t xml:space="preserve"> </w:t>
      </w:r>
      <w:r>
        <w:t xml:space="preserve">To add per-sample provenance to the enzyme-set analysis (Fig 3), we rebuilt each</w:t>
      </w:r>
      <w:r>
        <w:t xml:space="preserve"> </w:t>
      </w:r>
      <w:r>
        <w:t xml:space="preserve">of the 15 simulation-pool species databases at five cumulative enzyme counts (1, 2, 4, 8 and 14) and</w:t>
      </w:r>
      <w:r>
        <w:t xml:space="preserve"> </w:t>
      </w:r>
      <w:r>
        <w:t xml:space="preserve">profiled the 225 matched single-species simulations against the matching species database, for 1,125</w:t>
      </w:r>
      <w:r>
        <w:t xml:space="preserve"> </w:t>
      </w:r>
      <w:r>
        <w:t xml:space="preserve">sample-level predictions. Runs used current-source Strain2bScan with default depth-adaptive gates and were</w:t>
      </w:r>
      <w:r>
        <w:t xml:space="preserve"> </w:t>
      </w:r>
      <w:r>
        <w:t xml:space="preserve">scored against each database’s own 0.95-cluster partition. Per-sample predictions and database marker</w:t>
      </w:r>
      <w:r>
        <w:t xml:space="preserve"> </w:t>
      </w:r>
      <w:r>
        <w:t xml:space="preserve">counts are in</w:t>
      </w:r>
      <w:r>
        <w:t xml:space="preserve"> </w:t>
      </w:r>
      <w:r>
        <w:rPr>
          <w:rStyle w:val="VerbatimChar"/>
        </w:rPr>
        <w:t xml:space="preserve">results/enzyme_sweep_225/</w:t>
      </w:r>
      <w:r>
        <w:t xml:space="preserve">.</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4, Fig 10, Fig S3, Fig S4)</w:t>
      </w:r>
      <w:r>
        <w:t xml:space="preserve">: four whole-cell mocks; MSA-1002 (20 strains,</w:t>
      </w:r>
      <w:r>
        <w:t xml:space="preserve"> </w:t>
      </w:r>
      <w:r>
        <w:t xml:space="preserve">even; native BcgI 2bRAD and shotgun WMS across a 0/90/95/99 %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5, Fig 6): native BcgI 2bRAD and paired shotgun WMS saliva from PRJNA1131785</w:t>
      </w:r>
      <w:r>
        <w:t xml:space="preserve"> </w:t>
      </w:r>
      <w:r>
        <w:t xml:space="preserve">(8 subjects × 4 within-day timepoints) were profiled against a 19-species oral-commensal panel (up to 25</w:t>
      </w:r>
      <w:r>
        <w:t xml:space="preserve"> </w:t>
      </w:r>
      <w:r>
        <w:t xml:space="preserve">genomes/species). The BioProject contains 32 paired WMS saliva runs</w:t>
      </w:r>
      <w:r>
        <w:t xml:space="preserve"> </w:t>
      </w:r>
      <w:r>
        <w:t xml:space="preserve">(</w:t>
      </w:r>
      <w:r>
        <w:rPr>
          <w:rStyle w:val="VerbatimChar"/>
        </w:rPr>
        <w:t xml:space="preserve">figure_raw_data/Fig08_saliva_shotgun/full_sra_wms_manifest.tsv</w:t>
      </w:r>
      <w:r>
        <w:t xml:space="preserve">); the frozen shotgun-native comparison used</w:t>
      </w:r>
      <w:r>
        <w:t xml:space="preserve"> </w:t>
      </w:r>
      <w:r>
        <w:t xml:space="preserve">the four libraries for which R1 prefixes had been downloaded. Strain- and species-level relative abundances</w:t>
      </w:r>
      <w:r>
        <w:t xml:space="preserve"> </w:t>
      </w:r>
      <w:r>
        <w:t xml:space="preserve">were converted to Bray–Curtis dissimilarities and tested by PERMANOVA [25] (</w:t>
      </w:r>
      <w:r>
        <w:rPr>
          <w:rStyle w:val="VerbatimChar"/>
        </w:rPr>
        <w:t xml:space="preserve">adonis</w:t>
      </w:r>
      <w:r>
        <w:t xml:space="preserve">, subject/timepoint</w:t>
      </w:r>
      <w:r>
        <w:t xml:space="preserve"> </w:t>
      </w:r>
      <w:r>
        <w:t xml:space="preserve">factors). Leave-one-timepoint-out 1-NN host classification was compared between feature types; uncertainty</w:t>
      </w:r>
      <w:r>
        <w:t xml:space="preserve"> </w:t>
      </w:r>
      <w:r>
        <w:t xml:space="preserve">used a subject-aware cluster bootstrap with 20,000 resamples, retaining all four timepoints together and</w:t>
      </w:r>
      <w:r>
        <w:t xml:space="preserve"> </w:t>
      </w:r>
      <w:r>
        <w:t xml:space="preserve">summarizing the strain-minus-species accuracy difference with a 95% percentile interval. Shotgun R1 reads</w:t>
      </w:r>
      <w:r>
        <w:t xml:space="preserve"> </w:t>
      </w:r>
      <w:r>
        <w:t xml:space="preserve">were digested in silico with BcgI and compared with native 2bRAD calls per sample. Full per-dataset</w:t>
      </w:r>
      <w:r>
        <w:t xml:space="preserve"> </w:t>
      </w:r>
      <w:r>
        <w:t xml:space="preserve">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Complete 15-species simulation pool and matched subset (Fig 7, Fig 8, Tables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Figure 7 summarizes a current-source Strain2bScan rerun of all 2,025 single-species samples</w:t>
      </w:r>
      <w:r>
        <w:t xml:space="preserve"> </w:t>
      </w:r>
      <w:r>
        <w:t xml:space="preserve">(</w:t>
      </w:r>
      <w:r>
        <w:rPr>
          <w:rStyle w:val="VerbatimChar"/>
        </w:rPr>
        <w:t xml:space="preserve">results/sim2025_current/current_single_persample.tsv</w:t>
      </w:r>
      <w:r>
        <w:t xml:space="preserve">; aggregate tables in</w:t>
      </w:r>
      <w:r>
        <w:t xml:space="preserve"> </w:t>
      </w:r>
      <w:r>
        <w:rPr>
          <w:rStyle w:val="VerbatimChar"/>
        </w:rPr>
        <w:t xml:space="preserve">results/sim2025_current_summary/</w:t>
      </w:r>
      <w:r>
        <w:t xml:space="preserve">). This complete-pool analysis characterizes the depth and</w:t>
      </w:r>
      <w:r>
        <w:t xml:space="preserve"> </w:t>
      </w:r>
      <w:r>
        <w:t xml:space="preserve">cluster-strategy accuracy envelope and supersedes the archived n=2025 table, which differed for 512 of</w:t>
      </w:r>
      <w:r>
        <w:t xml:space="preserve"> </w:t>
      </w:r>
      <w:r>
        <w:t xml:space="preserve">2,025 metric triplets. The multi-tool comparison in Fig 8 and Tables 1–3 uses the same current-source</w:t>
      </w:r>
      <w:r>
        <w:t xml:space="preserve"> </w:t>
      </w:r>
      <w:r>
        <w:t xml:space="preserve">matched subset.</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inStrain simulation rerun.</w:t>
      </w:r>
      <w:r>
        <w:t xml:space="preserve"> </w:t>
      </w:r>
      <w:r>
        <w:t xml:space="preserve">To extend inStrain to the matched simulation benchmark, we used inStrain</w:t>
      </w:r>
      <w:r>
        <w:t xml:space="preserve"> </w:t>
      </w:r>
      <w:r>
        <w:t xml:space="preserve">1.11.0 with Bowtie2 alignment against the complete species genome pool from the common simulation</w:t>
      </w:r>
      <w:r>
        <w:t xml:space="preserve"> </w:t>
      </w:r>
      <w:r>
        <w:t xml:space="preserve">(not a dereplicated mock-specific reference). For each of the 225 matched single-species samples,</w:t>
      </w:r>
      <w:r>
        <w:t xml:space="preserve"> </w:t>
      </w:r>
      <w:r>
        <w:t xml:space="preserve">sorted BAM files were processed with</w:t>
      </w:r>
      <w:r>
        <w:t xml:space="preserve"> </w:t>
      </w:r>
      <w:r>
        <w:rPr>
          <w:rStyle w:val="VerbatimChar"/>
        </w:rPr>
        <w:t xml:space="preserve">inStrain quick_profile</w:t>
      </w:r>
      <w:r>
        <w:t xml:space="preserve">, and a genome was considered detected when</w:t>
      </w:r>
      <w:r>
        <w:t xml:space="preserve"> </w:t>
      </w:r>
      <w:r>
        <w:t xml:space="preserve">reported coverage was ≥ 0.1 and breadth was ≥ 0.05. Detected genomes were then mapped to the truth</w:t>
      </w:r>
      <w:r>
        <w:t xml:space="preserve"> </w:t>
      </w:r>
      <w:r>
        <w:t xml:space="preserve">0.95-cluster partition before computing precision, recall and F1. These genome-resolved calls were not</w:t>
      </w:r>
      <w:r>
        <w:t xml:space="preserve"> </w:t>
      </w:r>
      <w:r>
        <w:t xml:space="preserve">pooled with Strain2bScan, StrainScan or StrainGST cluster calls, but they permit a read-level comparator</w:t>
      </w:r>
      <w:r>
        <w:t xml:space="preserve"> </w:t>
      </w:r>
      <w:r>
        <w:t xml:space="preserve">to be evaluated on the same simulation reads and truth genomes. Per-sample outputs are in</w:t>
      </w:r>
      <w:r>
        <w:t xml:space="preserve"> </w:t>
      </w:r>
      <w:r>
        <w:rPr>
          <w:rStyle w:val="VerbatimChar"/>
        </w:rPr>
        <w:t xml:space="preserve">results/instrain_sim225/</w:t>
      </w:r>
      <w:r>
        <w:t xml:space="preserve">.</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8E/Table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4 or</w:t>
      </w:r>
      <w:r>
        <w:t xml:space="preserve"> </w:t>
      </w:r>
      <w:r>
        <w:t xml:space="preserve">10.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4"/>
    <w:bookmarkEnd w:id="35"/>
    <w:bookmarkStart w:id="36"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36"/>
    <w:bookmarkStart w:id="37" w:name="funding"/>
    <w:p>
      <w:pPr>
        <w:pStyle w:val="Heading2"/>
      </w:pPr>
      <w:r>
        <w:t xml:space="preserve">Funding</w:t>
      </w:r>
    </w:p>
    <w:p>
      <w:pPr>
        <w:pStyle w:val="FirstParagraph"/>
      </w:pPr>
      <w:r>
        <w:t xml:space="preserve">This work was supported by award 32572519.</w:t>
      </w:r>
    </w:p>
    <w:bookmarkEnd w:id="37"/>
    <w:bookmarkStart w:id="38" w:name="acknowledgements"/>
    <w:p>
      <w:pPr>
        <w:pStyle w:val="Heading2"/>
      </w:pPr>
      <w:r>
        <w:t xml:space="preserve">Acknowledgements</w:t>
      </w:r>
    </w:p>
    <w:p>
      <w:pPr>
        <w:pStyle w:val="FirstParagraph"/>
      </w:pPr>
      <w:r>
        <w:t xml:space="preserve">We thank the developers of the public benchmarking tools and the investigators who deposited the</w:t>
      </w:r>
      <w:r>
        <w:t xml:space="preserve"> </w:t>
      </w:r>
      <w:r>
        <w:t xml:space="preserve">public metagenomic datasets used here.</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used only publicly deposited sequencing data and ATCC commercial mock communities. No new</w:t>
      </w:r>
      <w:r>
        <w:t xml:space="preserve"> </w:t>
      </w:r>
      <w:r>
        <w:t xml:space="preserve">human participants were recruited, and no new human subject data were generated by this study.</w:t>
      </w:r>
    </w:p>
    <w:bookmarkEnd w:id="40"/>
    <w:bookmarkStart w:id="41" w:name="data-and-code-availability"/>
    <w:p>
      <w:pPr>
        <w:pStyle w:val="Heading2"/>
      </w:pPr>
      <w:r>
        <w:t xml:space="preserve">Data and code availability</w:t>
      </w:r>
    </w:p>
    <w:p>
      <w:pPr>
        <w:pStyle w:val="FirstParagraph"/>
      </w:pPr>
      <w:r>
        <w:t xml:space="preserve">The Strain2bScan source code is available at https://github.com/HuangShiLab/Strain2bScan. The simulation benchmark used commit 6ae760c2f3bd2f39efc0e6aa06c53a84366cb16e (tag benchmark-v0.1.1-6ae760c); the ATCC mock benchmark used commit f26f234b817ba7772a3f1df59ce720751e9b45b9 (tag benchmark-v0.1.0-f26f234). Derived tables, benchmark configurations, checksums and assembly scripts are available at https://github.com/HuangShiLab/Strain2bScan-paper (tag results-simplified-2026-10-19 and subsequent history).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41"/>
    <w:bookmarkEnd w:id="42"/>
    <w:bookmarkStart w:id="73" w:name="main-figures"/>
    <w:p>
      <w:pPr>
        <w:pStyle w:val="Heading1"/>
      </w:pPr>
      <w:r>
        <w:t xml:space="preserve">Main figures</w:t>
      </w:r>
    </w:p>
    <w:p>
      <w:r>
        <w:br w:type="page"/>
      </w:r>
    </w:p>
    <w:p>
      <w:pPr>
        <w:pStyle w:val="FirstParagraph"/>
      </w:pPr>
      <w:r>
        <w:drawing>
          <wp:inline>
            <wp:extent cx="5334000" cy="3025253"/>
            <wp:effectExtent b="0" l="0" r="0" t="0"/>
            <wp:docPr descr="" title="" id="44" name="Picture"/>
            <a:graphic>
              <a:graphicData uri="http://schemas.openxmlformats.org/drawingml/2006/picture">
                <pic:pic>
                  <pic:nvPicPr>
                    <pic:cNvPr descr="figures/numbered/Fig01_overview.png" id="45" name="Picture"/>
                    <pic:cNvPicPr>
                      <a:picLocks noChangeArrowheads="1" noChangeAspect="1"/>
                    </pic:cNvPicPr>
                  </pic:nvPicPr>
                  <pic:blipFill>
                    <a:blip r:embed="rId43"/>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7" name="Picture"/>
            <a:graphic>
              <a:graphicData uri="http://schemas.openxmlformats.org/drawingml/2006/picture">
                <pic:pic>
                  <pic:nvPicPr>
                    <pic:cNvPr descr="figures/numbered/Fig02_mash_2brad_vs_16s.png" id="48" name="Picture"/>
                    <pic:cNvPicPr>
                      <a:picLocks noChangeArrowheads="1" noChangeAspect="1"/>
                    </pic:cNvPicPr>
                  </pic:nvPicPr>
                  <pic:blipFill>
                    <a:blip r:embed="rId46"/>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strain distance and 2bRAD-tag or 16S distance across 15 complete/near-complete genome panels; 2bRAD median 0.94 versus 16S median 0.36.</w:t>
      </w:r>
      <w:r>
        <w:t xml:space="preserve"> </w:t>
      </w:r>
      <w:r>
        <w:rPr>
          <w:b/>
          <w:bCs/>
        </w:rPr>
        <w:t xml:space="preserve">(B)</w:t>
      </w:r>
      <w:r>
        <w:t xml:space="preserve"> </w:t>
      </w:r>
      <w:r>
        <w:t xml:space="preserve">Rank-rank matrices show that 2bRAD preserves genome-wide strain ordering whereas 16S collapses many unrelated pairs.</w:t>
      </w:r>
    </w:p>
    <w:p>
      <w:r>
        <w:br w:type="page"/>
      </w:r>
    </w:p>
    <w:p>
      <w:pPr>
        <w:pStyle w:val="BodyText"/>
      </w:pPr>
      <w:r>
        <w:drawing>
          <wp:inline>
            <wp:extent cx="5334000" cy="2011308"/>
            <wp:effectExtent b="0" l="0" r="0" t="0"/>
            <wp:docPr descr="" title="" id="50" name="Picture"/>
            <a:graphic>
              <a:graphicData uri="http://schemas.openxmlformats.org/drawingml/2006/picture">
                <pic:pic>
                  <pic:nvPicPr>
                    <pic:cNvPr descr="figures/numbered/Fig03_enzyme_sweep.png" id="51" name="Picture"/>
                    <pic:cNvPicPr>
                      <a:picLocks noChangeArrowheads="1" noChangeAspect="1"/>
                    </pic:cNvPicPr>
                  </pic:nvPicPr>
                  <pic:blipFill>
                    <a:blip r:embed="rId49"/>
                    <a:stretch>
                      <a:fillRect/>
                    </a:stretch>
                  </pic:blipFill>
                  <pic:spPr bwMode="auto">
                    <a:xfrm>
                      <a:off x="0" y="0"/>
                      <a:ext cx="5334000" cy="2011308"/>
                    </a:xfrm>
                    <a:prstGeom prst="rect">
                      <a:avLst/>
                    </a:prstGeom>
                    <a:noFill/>
                    <a:ln w="9525">
                      <a:noFill/>
                      <a:headEnd/>
                      <a:tailEnd/>
                    </a:ln>
                  </pic:spPr>
                </pic:pic>
              </a:graphicData>
            </a:graphic>
          </wp:inline>
        </w:drawing>
      </w:r>
    </w:p>
    <w:p>
      <w:pPr>
        <w:pStyle w:val="BodyText"/>
      </w:pPr>
      <w:r>
        <w:rPr>
          <w:b/>
          <w:bCs/>
        </w:rPr>
        <w:t xml:space="preserve">Figure 3. The 2bRAD enzyme set is a marker-density and recall control.</w:t>
      </w:r>
      <w:r>
        <w:t xml:space="preserve"> </w:t>
      </w:r>
      <w:r>
        <w:t xml:space="preserve">On 225 matched simulations per enzyme level (1,125 sample-level predictions across 15 species), increasing enzymes from 1 to 14 raised median strain-specific markers from 816 to 12,298 while median cluster count stayed 19. Median precision/recall/F1 improved from 0.667/0.333/0.500 to 1.000/1.000/1.000; four enzymes reached median precision 1.000 and F1 0.667. This is an in-silico design experiment, not a native wet-lab library benchmark.</w:t>
      </w:r>
    </w:p>
    <w:p>
      <w:r>
        <w:br w:type="page"/>
      </w:r>
    </w:p>
    <w:p>
      <w:pPr>
        <w:pStyle w:val="BodyText"/>
      </w:pPr>
      <w:r>
        <w:drawing>
          <wp:inline>
            <wp:extent cx="5334000" cy="2962728"/>
            <wp:effectExtent b="0" l="0" r="0" t="0"/>
            <wp:docPr descr="" title="" id="53" name="Picture"/>
            <a:graphic>
              <a:graphicData uri="http://schemas.openxmlformats.org/drawingml/2006/picture">
                <pic:pic>
                  <pic:nvPicPr>
                    <pic:cNvPr descr="figures/numbered/Fig04_native_2brad_mocks.png" id="54" name="Picture"/>
                    <pic:cNvPicPr>
                      <a:picLocks noChangeArrowheads="1" noChangeAspect="1"/>
                    </pic:cNvPicPr>
                  </pic:nvPicPr>
                  <pic:blipFill>
                    <a:blip r:embed="rId52"/>
                    <a:stretch>
                      <a:fillRect/>
                    </a:stretch>
                  </pic:blipFill>
                  <pic:spPr bwMode="auto">
                    <a:xfrm>
                      <a:off x="0" y="0"/>
                      <a:ext cx="5334000" cy="2962728"/>
                    </a:xfrm>
                    <a:prstGeom prst="rect">
                      <a:avLst/>
                    </a:prstGeom>
                    <a:noFill/>
                    <a:ln w="9525">
                      <a:noFill/>
                      <a:headEnd/>
                      <a:tailEnd/>
                    </a:ln>
                  </pic:spPr>
                </pic:pic>
              </a:graphicData>
            </a:graphic>
          </wp:inline>
        </w:drawing>
      </w:r>
    </w:p>
    <w:p>
      <w:pPr>
        <w:pStyle w:val="BodyText"/>
      </w:pPr>
      <w:r>
        <w:rPr>
          <w:b/>
          <w:bCs/>
        </w:rPr>
        <w:t xml:space="preserve">Figure 4. Native BcgI 2bRAD-M across four ATCC DNA mocks.</w:t>
      </w:r>
      <w:r>
        <w:t xml:space="preserve"> </w:t>
      </w:r>
      <w:r>
        <w:t xml:space="preserve">MSA-1002, MSA-1003, MSA-1005 and MSA-1007 were profiled against a 28-species, 164-genome containment tree. At 90, 95 and 99% human DNA, F1 was 0.976–1.0 and Bray–Curtis similarity 0.745–0.756. A 0.1-ng input retained F1 0.952; 0.01 ng approached the marker-depth noise floor and 0.001 ng was below the detection floor.</w:t>
      </w:r>
    </w:p>
    <w:p>
      <w:r>
        <w:br w:type="page"/>
      </w:r>
    </w:p>
    <w:p>
      <w:pPr>
        <w:pStyle w:val="BodyText"/>
      </w:pPr>
      <w:r>
        <w:drawing>
          <wp:inline>
            <wp:extent cx="5334000" cy="3113081"/>
            <wp:effectExtent b="0" l="0" r="0" t="0"/>
            <wp:docPr descr="" title="" id="56" name="Picture"/>
            <a:graphic>
              <a:graphicData uri="http://schemas.openxmlformats.org/drawingml/2006/picture">
                <pic:pic>
                  <pic:nvPicPr>
                    <pic:cNvPr descr="figures/numbered/Fig05_saliva_fig07.png" id="57" name="Picture"/>
                    <pic:cNvPicPr>
                      <a:picLocks noChangeArrowheads="1" noChangeAspect="1"/>
                    </pic:cNvPicPr>
                  </pic:nvPicPr>
                  <pic:blipFill>
                    <a:blip r:embed="rId55"/>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5. Real saliva contains individual-specific, within-day strain signatures.</w:t>
      </w:r>
      <w:r>
        <w:t xml:space="preserve"> </w:t>
      </w:r>
      <w:r>
        <w:t xml:space="preserve">Thirty-two native BcgI 2bRAD-M saliva libraries from eight subjects sampled four times in one day were profiled against a 19-species oral panel. Leave-one-timepoint-out subject classification reached 100% with strain features versus 78.1% with species features. Within-subject Bray–Curtis distance was 0.327 versus 0.696 between subjects. This is a small within-subject result, not independent strain-identity validation.</w:t>
      </w:r>
    </w:p>
    <w:p>
      <w:r>
        <w:br w:type="page"/>
      </w:r>
    </w:p>
    <w:p>
      <w:pPr>
        <w:pStyle w:val="BodyText"/>
      </w:pPr>
      <w:r>
        <w:drawing>
          <wp:inline>
            <wp:extent cx="5334000" cy="2253289"/>
            <wp:effectExtent b="0" l="0" r="0" t="0"/>
            <wp:docPr descr="" title="" id="59" name="Picture"/>
            <a:graphic>
              <a:graphicData uri="http://schemas.openxmlformats.org/drawingml/2006/picture">
                <pic:pic>
                  <pic:nvPicPr>
                    <pic:cNvPr descr="figures/numbered/Fig06_saliva_fig08.png" id="60" name="Picture"/>
                    <pic:cNvPicPr>
                      <a:picLocks noChangeArrowheads="1" noChangeAspect="1"/>
                    </pic:cNvPicPr>
                  </pic:nvPicPr>
                  <pic:blipFill>
                    <a:blip r:embed="rId58"/>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6. Paired saliva comparison shows directional recovery of low-abundance strains.</w:t>
      </w:r>
      <w:r>
        <w:t xml:space="preserve"> </w:t>
      </w:r>
      <w:r>
        <w:t xml:space="preserve">Shotgun R1 prefix libraries from usable paired samples were digested in silico and compared with matched native BcgI libraries. All 65 shotgun strain-cluster calls were present in native calls; native 2bRAD-M yielded 128–163 additional candidate calls per sample. Additional calls had lower median relative abundance and require independent validation.</w:t>
      </w:r>
    </w:p>
    <w:p>
      <w:r>
        <w:br w:type="page"/>
      </w:r>
    </w:p>
    <w:p>
      <w:pPr>
        <w:pStyle w:val="BodyText"/>
      </w:pPr>
      <w:r>
        <w:drawing>
          <wp:inline>
            <wp:extent cx="5334000" cy="1622136"/>
            <wp:effectExtent b="0" l="0" r="0" t="0"/>
            <wp:docPr descr="" title="" id="62" name="Picture"/>
            <a:graphic>
              <a:graphicData uri="http://schemas.openxmlformats.org/drawingml/2006/picture">
                <pic:pic>
                  <pic:nvPicPr>
                    <pic:cNvPr descr="figures/numbered/Fig07_sim2025_summary.png" id="63" name="Picture"/>
                    <pic:cNvPicPr>
                      <a:picLocks noChangeArrowheads="1" noChangeAspect="1"/>
                    </pic:cNvPicPr>
                  </pic:nvPicPr>
                  <pic:blipFill>
                    <a:blip r:embed="rId61"/>
                    <a:stretch>
                      <a:fillRect/>
                    </a:stretch>
                  </pic:blipFill>
                  <pic:spPr bwMode="auto">
                    <a:xfrm>
                      <a:off x="0" y="0"/>
                      <a:ext cx="5334000" cy="1622136"/>
                    </a:xfrm>
                    <a:prstGeom prst="rect">
                      <a:avLst/>
                    </a:prstGeom>
                    <a:noFill/>
                    <a:ln w="9525">
                      <a:noFill/>
                      <a:headEnd/>
                      <a:tailEnd/>
                    </a:ln>
                  </pic:spPr>
                </pic:pic>
              </a:graphicData>
            </a:graphic>
          </wp:inline>
        </w:drawing>
      </w:r>
    </w:p>
    <w:p>
      <w:pPr>
        <w:pStyle w:val="BodyText"/>
      </w:pPr>
      <w:r>
        <w:rPr>
          <w:b/>
          <w:bCs/>
        </w:rPr>
        <w:t xml:space="preserve">Figure 7. Accuracy across the complete 2,025-sample single-species simulation pool.</w:t>
      </w:r>
      <w:r>
        <w:t xml:space="preserve"> </w:t>
      </w:r>
      <w:r>
        <w:t xml:space="preserve">Strain2bScan was evaluated on all 2,025 ART error-modelled shotgun simulations from 15 species, followed by in-silico 2bRAD digestion. Median precision, recall and F1 were 1.000; mean precision, recall and F1 were 0.890, 0.846 and 0.862. Mean F1 increased from 0.786 at 0.5× to 0.888 at 10×. Panels show per-species means, depth dependence and different-cluster versus same-cluster design.</w:t>
      </w:r>
    </w:p>
    <w:p>
      <w:r>
        <w:br w:type="page"/>
      </w:r>
    </w:p>
    <w:p>
      <w:pPr>
        <w:pStyle w:val="BodyText"/>
      </w:pPr>
      <w:r>
        <w:drawing>
          <wp:inline>
            <wp:extent cx="5334000" cy="3236635"/>
            <wp:effectExtent b="0" l="0" r="0" t="0"/>
            <wp:docPr descr="" title="" id="65" name="Picture"/>
            <a:graphic>
              <a:graphicData uri="http://schemas.openxmlformats.org/drawingml/2006/picture">
                <pic:pic>
                  <pic:nvPicPr>
                    <pic:cNvPr descr="figures/numbered/Fig08_sim_headtohead.png" id="66" name="Picture"/>
                    <pic:cNvPicPr>
                      <a:picLocks noChangeArrowheads="1" noChangeAspect="1"/>
                    </pic:cNvPicPr>
                  </pic:nvPicPr>
                  <pic:blipFill>
                    <a:blip r:embed="rId64"/>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8. Matched 225-sample simulation comparison.</w:t>
      </w:r>
      <w:r>
        <w:t xml:space="preserve"> </w:t>
      </w:r>
      <w:r>
        <w:t xml:space="preserve">Strain2bScan, StrainScan, StrainGST and inStrain were compared on 225 matched single-species simulations and 12 multi-species communities. Accuracy panels use each tool’s own reference/cluster space: 0.95 for Strain2bScan/StrainScan, 0.90 for StrainGST, and full species genome pools for inStrain, so accuracy is not pooled. Panels also show database-build cost, same-environment profiling cost and multi-species profiling time.</w:t>
      </w:r>
    </w:p>
    <w:p>
      <w:r>
        <w:br w:type="page"/>
      </w:r>
    </w:p>
    <w:p>
      <w:pPr>
        <w:pStyle w:val="BodyText"/>
      </w:pPr>
      <w:r>
        <w:drawing>
          <wp:inline>
            <wp:extent cx="3895343" cy="7125387"/>
            <wp:effectExtent b="0" l="0" r="0" t="0"/>
            <wp:docPr descr="" title="" id="68" name="Picture"/>
            <a:graphic>
              <a:graphicData uri="http://schemas.openxmlformats.org/drawingml/2006/picture">
                <pic:pic>
                  <pic:nvPicPr>
                    <pic:cNvPr descr="figures/numbered/Fig09_performance+scalability+community_throughput.png" id="69" name="Picture"/>
                    <pic:cNvPicPr>
                      <a:picLocks noChangeArrowheads="1" noChangeAspect="1"/>
                    </pic:cNvPicPr>
                  </pic:nvPicPr>
                  <pic:blipFill>
                    <a:blip r:embed="rId67"/>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Computational scaling and community throughput.</w:t>
      </w:r>
      <w:r>
        <w:t xml:space="preserve"> </w:t>
      </w:r>
      <w:r>
        <w:t xml:space="preserve">For</w:t>
      </w:r>
      <w:r>
        <w:t xml:space="preserve"> </w:t>
      </w:r>
      <w:r>
        <w:rPr>
          <w:i/>
          <w:iCs/>
        </w:rPr>
        <w:t xml:space="preserve">C. acnes</w:t>
      </w:r>
      <w:r>
        <w:t xml:space="preserve"> </w:t>
      </w:r>
      <w:r>
        <w:t xml:space="preserve">shotgun input, Strain2bScan was 8× faster and 11× lighter than StrainScan. Database build and profiling parallelised to 4.6× and 5.8× speed at 16 threads. Community profiling was approximately flat in species count; on a 55-species panel the projected cohort advantage over per-species StrainScan was 121–146×.</w:t>
      </w:r>
    </w:p>
    <w:p>
      <w:r>
        <w:br w:type="page"/>
      </w:r>
    </w:p>
    <w:p>
      <w:pPr>
        <w:pStyle w:val="BodyText"/>
      </w:pPr>
      <w:r>
        <w:drawing>
          <wp:inline>
            <wp:extent cx="5334000" cy="5357585"/>
            <wp:effectExtent b="0" l="0" r="0" t="0"/>
            <wp:docPr descr="" title="" id="71" name="Picture"/>
            <a:graphic>
              <a:graphicData uri="http://schemas.openxmlformats.org/drawingml/2006/picture">
                <pic:pic>
                  <pic:nvPicPr>
                    <pic:cNvPr descr="figures/numbered/Fig10_wms_toolcompare.png" id="72" name="Picture"/>
                    <pic:cNvPicPr>
                      <a:picLocks noChangeArrowheads="1" noChangeAspect="1"/>
                    </pic:cNvPicPr>
                  </pic:nvPicPr>
                  <pic:blipFill>
                    <a:blip r:embed="rId70"/>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10. Shotgun DNA mocks separate tools under host contamination.</w:t>
      </w:r>
      <w:r>
        <w:t xml:space="preserve"> </w:t>
      </w:r>
      <w:r>
        <w:t xml:space="preserve">Four ATCC shotgun mocks were profiled with Strain2bScan, StrainScan and inStrain, each in its own 0.95 cluster space. In MSA-1002 at 99% host, Strain2bScan retained F1 1.0 and Bray–Curtis dissimilarity 0.302, whereas StrainScan and inStrain had F1 0.095 and 0.333. Clean-mock thresholded precision varied with input composition. ## Supplementary figures</w:t>
      </w:r>
    </w:p>
    <w:bookmarkEnd w:id="73"/>
    <w:bookmarkStart w:id="94" w:name="supplementary-figures"/>
    <w:p>
      <w:pPr>
        <w:pStyle w:val="Heading1"/>
      </w:pPr>
      <w:r>
        <w:t xml:space="preserve">Supplementary figures</w:t>
      </w:r>
    </w:p>
    <w:p>
      <w:r>
        <w:br w:type="page"/>
      </w:r>
    </w:p>
    <w:p>
      <w:pPr>
        <w:pStyle w:val="FirstParagraph"/>
      </w:pPr>
      <w:r>
        <w:drawing>
          <wp:inline>
            <wp:extent cx="5334000" cy="3407833"/>
            <wp:effectExtent b="0" l="0" r="0" t="0"/>
            <wp:docPr descr="" title="" id="75" name="Picture"/>
            <a:graphic>
              <a:graphicData uri="http://schemas.openxmlformats.org/drawingml/2006/picture">
                <pic:pic>
                  <pic:nvPicPr>
                    <pic:cNvPr descr="figures/numbered/FigS1_mock_msa1002_titration.png" id="76" name="Picture"/>
                    <pic:cNvPicPr>
                      <a:picLocks noChangeArrowheads="1" noChangeAspect="1"/>
                    </pic:cNvPicPr>
                  </pic:nvPicPr>
                  <pic:blipFill>
                    <a:blip r:embed="rId74"/>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78" name="Picture"/>
            <a:graphic>
              <a:graphicData uri="http://schemas.openxmlformats.org/drawingml/2006/picture">
                <pic:pic>
                  <pic:nvPicPr>
                    <pic:cNvPr descr="figures/numbered/FigS2_gate_calibration.png" id="79"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versus the marker floor at normal and low depth.</w:t>
      </w:r>
    </w:p>
    <w:p>
      <w:r>
        <w:br w:type="page"/>
      </w:r>
    </w:p>
    <w:p>
      <w:pPr>
        <w:pStyle w:val="BodyText"/>
      </w:pPr>
      <w:r>
        <w:drawing>
          <wp:inline>
            <wp:extent cx="5334000" cy="2233385"/>
            <wp:effectExtent b="0" l="0" r="0" t="0"/>
            <wp:docPr descr="" title="" id="81" name="Picture"/>
            <a:graphic>
              <a:graphicData uri="http://schemas.openxmlformats.org/drawingml/2006/picture">
                <pic:pic>
                  <pic:nvPicPr>
                    <pic:cNvPr descr="figures/numbered/FigS3_tree_expansion.png" id="82" name="Picture"/>
                    <pic:cNvPicPr>
                      <a:picLocks noChangeArrowheads="1" noChangeAspect="1"/>
                    </pic:cNvPicPr>
                  </pic:nvPicPr>
                  <pic:blipFill>
                    <a:blip r:embed="rId80"/>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versus 28-species combined tree).</w:t>
      </w:r>
      <w:r>
        <w:t xml:space="preserve"> </w:t>
      </w:r>
      <w:r>
        <w:t xml:space="preserve">MSA-1002 is unchanged by tree expansion; MSA-1003 has one lower-threshold replicate on the larger tree, confining cost to the approximately 1× marker-depth noise floor.</w:t>
      </w:r>
    </w:p>
    <w:p>
      <w:r>
        <w:br w:type="page"/>
      </w:r>
    </w:p>
    <w:p>
      <w:pPr>
        <w:pStyle w:val="BodyText"/>
      </w:pPr>
      <w:r>
        <w:drawing>
          <wp:inline>
            <wp:extent cx="5334000" cy="3259666"/>
            <wp:effectExtent b="0" l="0" r="0" t="0"/>
            <wp:docPr descr="" title="" id="84" name="Picture"/>
            <a:graphic>
              <a:graphicData uri="http://schemas.openxmlformats.org/drawingml/2006/picture">
                <pic:pic>
                  <pic:nvPicPr>
                    <pic:cNvPr descr="figures/numbered/FigS4_instrain_derep.png" id="85" name="Picture"/>
                    <pic:cNvPicPr>
                      <a:picLocks noChangeArrowheads="1" noChangeAspect="1"/>
                    </pic:cNvPicPr>
                  </pic:nvPicPr>
                  <pic:blipFill>
                    <a:blip r:embed="rId8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The non-dereplicated 164-genome reference inflates false positives; 98%-ANI dereplication restores precision to 0.97, recall to 0.97 and F1 to 0.99.</w:t>
      </w:r>
    </w:p>
    <w:p>
      <w:r>
        <w:br w:type="page"/>
      </w:r>
    </w:p>
    <w:p>
      <w:pPr>
        <w:pStyle w:val="BodyText"/>
      </w:pPr>
      <w:r>
        <w:drawing>
          <wp:inline>
            <wp:extent cx="5334000" cy="1715097"/>
            <wp:effectExtent b="0" l="0" r="0" t="0"/>
            <wp:docPr descr="" title="" id="87" name="Picture"/>
            <a:graphic>
              <a:graphicData uri="http://schemas.openxmlformats.org/drawingml/2006/picture">
                <pic:pic>
                  <pic:nvPicPr>
                    <pic:cNvPr descr="figures/numbered/FigS5_species_expansion_strainscan.png" id="88" name="Picture"/>
                    <pic:cNvPicPr>
                      <a:picLocks noChangeArrowheads="1" noChangeAspect="1"/>
                    </pic:cNvPicPr>
                  </pic:nvPicPr>
                  <pic:blipFill>
                    <a:blip r:embed="rId86"/>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and was faster and lighter. Strain2bScan completed near-clonal</w:t>
      </w:r>
      <w:r>
        <w:t xml:space="preserve"> </w:t>
      </w:r>
      <w:r>
        <w:rPr>
          <w:i/>
          <w:iCs/>
        </w:rPr>
        <w:t xml:space="preserve">M. tuberculosis</w:t>
      </w:r>
      <w:r>
        <w:t xml:space="preserve"> </w:t>
      </w:r>
      <w:r>
        <w:t xml:space="preserve">in 0.89 s, whereas StrainScan did not complete.</w:t>
      </w:r>
    </w:p>
    <w:p>
      <w:r>
        <w:br w:type="page"/>
      </w:r>
    </w:p>
    <w:p>
      <w:pPr>
        <w:pStyle w:val="BodyText"/>
      </w:pPr>
      <w:r>
        <w:drawing>
          <wp:inline>
            <wp:extent cx="5334000" cy="4366768"/>
            <wp:effectExtent b="0" l="0" r="0" t="0"/>
            <wp:docPr descr="" title="" id="90" name="Picture"/>
            <a:graphic>
              <a:graphicData uri="http://schemas.openxmlformats.org/drawingml/2006/picture">
                <pic:pic>
                  <pic:nvPicPr>
                    <pic:cNvPr descr="figures/numbered/FigS6_reference_quality_containment.png" id="91" name="Picture"/>
                    <pic:cNvPicPr>
                      <a:picLocks noChangeArrowheads="1" noChangeAspect="1"/>
                    </pic:cNvPicPr>
                  </pic:nvPicPr>
                  <pic:blipFill>
                    <a:blip r:embed="rId89"/>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S6. Reference-completeness optimization with Jaccard and containment clustering.</w:t>
      </w:r>
      <w:r>
        <w:t xml:space="preserve"> </w:t>
      </w:r>
      <w:r>
        <w:t xml:space="preserve">Fixed simulated reads were profiled while truth-strain references were degraded. Default Jaccard clustering lost precision and recall as completeness fell; opt-in maximum-containment clustering restored accuracy at 90–95% completeness and prevented near-clonal</w:t>
      </w:r>
      <w:r>
        <w:t xml:space="preserve"> </w:t>
      </w:r>
      <w:r>
        <w:rPr>
          <w:i/>
          <w:iCs/>
        </w:rPr>
        <w:t xml:space="preserve">M. tuberculosis</w:t>
      </w:r>
      <w:r>
        <w:t xml:space="preserve"> </w:t>
      </w:r>
      <w:r>
        <w:t xml:space="preserve">fragmentation. This is an algorithmic optimization analysis and is therefore supplementary to the primary performance benchmarks.</w:t>
      </w:r>
    </w:p>
    <w:bookmarkStart w:id="92"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shd w:val="clear" w:color="auto" w:fill="DCE6F1"/>
          </w:tcPr>
          <w:p>
            <w:pPr>
              <w:pStyle w:val="Compact"/>
              <w:spacing w:before="0" w:after="0" w:line="240" w:lineRule="auto"/>
            </w:pPr>
            <w:r>
              <w:rPr>
                <w:b/>
                <w:sz w:val="14"/>
              </w:rPr>
              <w:t xml:space="preserve">Species</w:t>
            </w:r>
          </w:p>
        </w:tc>
        <w:tc>
          <w:tcPr>
            <w:shd w:val="clear" w:color="auto" w:fill="DCE6F1"/>
          </w:tcPr>
          <w:p>
            <w:pPr>
              <w:pStyle w:val="Compact"/>
              <w:spacing w:before="0" w:after="0" w:line="240" w:lineRule="auto"/>
              <w:jc w:val="right"/>
            </w:pPr>
            <w:r>
              <w:rPr>
                <w:b/>
                <w:sz w:val="14"/>
              </w:rPr>
              <w:t xml:space="preserve">Paired n</w:t>
            </w:r>
          </w:p>
        </w:tc>
        <w:tc>
          <w:tcPr>
            <w:shd w:val="clear" w:color="auto" w:fill="DCE6F1"/>
          </w:tcPr>
          <w:p>
            <w:pPr>
              <w:pStyle w:val="Compact"/>
              <w:spacing w:before="0" w:after="0" w:line="240" w:lineRule="auto"/>
              <w:jc w:val="right"/>
            </w:pPr>
            <w:r>
              <w:rPr>
                <w:b/>
                <w:sz w:val="14"/>
              </w:rPr>
              <w:t xml:space="preserve">Pool genomes</w:t>
            </w:r>
          </w:p>
        </w:tc>
        <w:tc>
          <w:tcPr>
            <w:shd w:val="clear" w:color="auto" w:fill="DCE6F1"/>
          </w:tcPr>
          <w:p>
            <w:pPr>
              <w:pStyle w:val="Compact"/>
              <w:spacing w:before="0" w:after="0" w:line="240" w:lineRule="auto"/>
              <w:jc w:val="right"/>
            </w:pPr>
            <w:r>
              <w:rPr>
                <w:b/>
                <w:sz w:val="14"/>
              </w:rPr>
              <w:t xml:space="preserve">S2B clusters</w:t>
            </w:r>
          </w:p>
        </w:tc>
        <w:tc>
          <w:tcPr>
            <w:shd w:val="clear" w:color="auto" w:fill="DCE6F1"/>
          </w:tcPr>
          <w:p>
            <w:pPr>
              <w:pStyle w:val="Compact"/>
              <w:spacing w:before="0" w:after="0" w:line="240" w:lineRule="auto"/>
              <w:jc w:val="right"/>
            </w:pPr>
            <w:r>
              <w:rPr>
                <w:b/>
                <w:sz w:val="14"/>
              </w:rPr>
              <w:t xml:space="preserve">SS clusters</w:t>
            </w:r>
          </w:p>
        </w:tc>
        <w:tc>
          <w:tcPr>
            <w:shd w:val="clear" w:color="auto" w:fill="DCE6F1"/>
          </w:tcPr>
          <w:p>
            <w:pPr>
              <w:pStyle w:val="Compact"/>
              <w:spacing w:before="0" w:after="0" w:line="240" w:lineRule="auto"/>
              <w:jc w:val="right"/>
            </w:pPr>
            <w:r>
              <w:rPr>
                <w:b/>
                <w:sz w:val="14"/>
              </w:rPr>
              <w:t xml:space="preserve">S2B P</w:t>
            </w:r>
          </w:p>
        </w:tc>
        <w:tc>
          <w:tcPr>
            <w:shd w:val="clear" w:color="auto" w:fill="DCE6F1"/>
          </w:tcPr>
          <w:p>
            <w:pPr>
              <w:pStyle w:val="Compact"/>
              <w:spacing w:before="0" w:after="0" w:line="240" w:lineRule="auto"/>
              <w:jc w:val="right"/>
            </w:pPr>
            <w:r>
              <w:rPr>
                <w:b/>
                <w:sz w:val="14"/>
              </w:rPr>
              <w:t xml:space="preserve">S2B R</w:t>
            </w:r>
          </w:p>
        </w:tc>
        <w:tc>
          <w:tcPr>
            <w:shd w:val="clear" w:color="auto" w:fill="DCE6F1"/>
          </w:tcPr>
          <w:p>
            <w:pPr>
              <w:pStyle w:val="Compact"/>
              <w:spacing w:before="0" w:after="0" w:line="240" w:lineRule="auto"/>
              <w:jc w:val="right"/>
            </w:pPr>
            <w:r>
              <w:rPr>
                <w:b/>
                <w:sz w:val="14"/>
              </w:rPr>
              <w:t xml:space="preserve">S2B F1</w:t>
            </w:r>
          </w:p>
        </w:tc>
        <w:tc>
          <w:tcPr>
            <w:shd w:val="clear" w:color="auto" w:fill="DCE6F1"/>
          </w:tcPr>
          <w:p>
            <w:pPr>
              <w:pStyle w:val="Compact"/>
              <w:spacing w:before="0" w:after="0" w:line="240" w:lineRule="auto"/>
              <w:jc w:val="right"/>
            </w:pPr>
            <w:r>
              <w:rPr>
                <w:b/>
                <w:sz w:val="14"/>
              </w:rPr>
              <w:t xml:space="preserve">SS P</w:t>
            </w:r>
          </w:p>
        </w:tc>
        <w:tc>
          <w:tcPr>
            <w:shd w:val="clear" w:color="auto" w:fill="DCE6F1"/>
          </w:tcPr>
          <w:p>
            <w:pPr>
              <w:pStyle w:val="Compact"/>
              <w:spacing w:before="0" w:after="0" w:line="240" w:lineRule="auto"/>
              <w:jc w:val="right"/>
            </w:pPr>
            <w:r>
              <w:rPr>
                <w:b/>
                <w:sz w:val="14"/>
              </w:rPr>
              <w:t xml:space="preserve">SS R</w:t>
            </w:r>
          </w:p>
        </w:tc>
        <w:tc>
          <w:tcPr>
            <w:shd w:val="clear" w:color="auto" w:fill="DCE6F1"/>
          </w:tcPr>
          <w:p>
            <w:pPr>
              <w:pStyle w:val="Compact"/>
              <w:spacing w:before="0" w:after="0" w:line="240" w:lineRule="auto"/>
              <w:jc w:val="right"/>
            </w:pPr>
            <w:r>
              <w:rPr>
                <w:b/>
                <w:sz w:val="14"/>
              </w:rPr>
              <w:t xml:space="preserve">SS F1</w:t>
            </w:r>
          </w:p>
        </w:tc>
        <w:tc>
          <w:tcPr>
            <w:shd w:val="clear" w:color="auto" w:fill="DCE6F1"/>
          </w:tcPr>
          <w:p>
            <w:pPr>
              <w:pStyle w:val="Compact"/>
              <w:spacing w:before="0" w:after="0" w:line="240" w:lineRule="auto"/>
              <w:jc w:val="right"/>
            </w:pPr>
            <w:r>
              <w:rPr>
                <w:b/>
                <w:sz w:val="14"/>
              </w:rPr>
              <w:t xml:space="preserve">Separate StrainGE F1 (0.90-space)†</w:t>
            </w:r>
          </w:p>
        </w:tc>
        <w:tc>
          <w:tcPr>
            <w:shd w:val="clear" w:color="auto" w:fill="DCE6F1"/>
          </w:tcPr>
          <w:p>
            <w:pPr>
              <w:pStyle w:val="Compact"/>
              <w:spacing w:before="0" w:after="0" w:line="240" w:lineRule="auto"/>
              <w:jc w:val="right"/>
            </w:pPr>
            <w:r>
              <w:rPr>
                <w:b/>
                <w:sz w:val="14"/>
              </w:rPr>
              <w:t xml:space="preserve">S2B build</w:t>
            </w:r>
          </w:p>
        </w:tc>
        <w:tc>
          <w:tcPr>
            <w:shd w:val="clear" w:color="auto" w:fill="DCE6F1"/>
          </w:tcPr>
          <w:p>
            <w:pPr>
              <w:pStyle w:val="Compact"/>
              <w:spacing w:before="0" w:after="0" w:line="240" w:lineRule="auto"/>
              <w:jc w:val="right"/>
            </w:pPr>
            <w:r>
              <w:rPr>
                <w:b/>
                <w:sz w:val="14"/>
              </w:rPr>
              <w:t xml:space="preserve">SS build</w:t>
            </w:r>
          </w:p>
        </w:tc>
      </w:tr>
      <w:tr>
        <w:trPr>
          <w:cantSplit/>
        </w:trPr>
        <w:tc>
          <w:tcPr/>
          <w:p>
            <w:pPr>
              <w:pStyle w:val="Compact"/>
              <w:spacing w:before="0" w:after="0" w:line="240" w:lineRule="auto"/>
            </w:pPr>
            <w:r>
              <w:rPr>
                <w:b w:val="0"/>
                <w:i/>
                <w:iCs/>
                <w:sz w:val="13"/>
              </w:rPr>
              <w:t xml:space="preserve">A. muciniphila</w:t>
            </w:r>
          </w:p>
        </w:tc>
        <w:tc>
          <w:tcPr/>
          <w:p>
            <w:pPr>
              <w:pStyle w:val="Compact"/>
              <w:spacing w:before="0" w:after="0" w:line="240" w:lineRule="auto"/>
              <w:jc w:val="right"/>
            </w:pPr>
            <w:r>
              <w:rPr>
                <w:b w:val="0"/>
                <w:sz w:val="13"/>
              </w:rPr>
              <w:t xml:space="preserve">14</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2.8 s / 0.16 GB</w:t>
            </w:r>
          </w:p>
        </w:tc>
        <w:tc>
          <w:tcPr/>
          <w:p>
            <w:pPr>
              <w:pStyle w:val="Compact"/>
              <w:spacing w:before="0" w:after="0" w:line="240" w:lineRule="auto"/>
              <w:jc w:val="right"/>
            </w:pPr>
            <w:r>
              <w:rPr>
                <w:b w:val="0"/>
                <w:sz w:val="13"/>
              </w:rPr>
              <w:t xml:space="preserve">17 min / 16 GB</w:t>
            </w:r>
          </w:p>
        </w:tc>
      </w:tr>
      <w:tr>
        <w:trPr>
          <w:cantSplit/>
        </w:trPr>
        <w:tc>
          <w:tcPr/>
          <w:p>
            <w:pPr>
              <w:pStyle w:val="Compact"/>
              <w:spacing w:before="0" w:after="0" w:line="240" w:lineRule="auto"/>
            </w:pPr>
            <w:r>
              <w:rPr>
                <w:b w:val="0"/>
                <w:i/>
                <w:iCs/>
                <w:sz w:val="13"/>
              </w:rPr>
              <w:t xml:space="preserve">C. difficile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3.2 s / 0.28 GB</w:t>
            </w:r>
          </w:p>
        </w:tc>
        <w:tc>
          <w:tcPr/>
          <w:p>
            <w:pPr>
              <w:pStyle w:val="Compact"/>
              <w:spacing w:before="0" w:after="0" w:line="240" w:lineRule="auto"/>
              <w:jc w:val="right"/>
            </w:pPr>
            <w:r>
              <w:rPr>
                <w:b w:val="0"/>
                <w:sz w:val="13"/>
              </w:rPr>
              <w:t xml:space="preserve">30 min / 14 GB</w:t>
            </w:r>
          </w:p>
        </w:tc>
      </w:tr>
      <w:tr>
        <w:trPr>
          <w:cantSplit/>
        </w:trPr>
        <w:tc>
          <w:tcPr/>
          <w:p>
            <w:pPr>
              <w:pStyle w:val="Compact"/>
              <w:spacing w:before="0" w:after="0" w:line="240" w:lineRule="auto"/>
            </w:pPr>
            <w:r>
              <w:rPr>
                <w:b w:val="0"/>
                <w:i/>
                <w:iCs/>
                <w:sz w:val="13"/>
              </w:rPr>
              <w:t xml:space="preserve">C. acnes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0.17 GB</w:t>
            </w:r>
          </w:p>
        </w:tc>
        <w:tc>
          <w:tcPr/>
          <w:p>
            <w:pPr>
              <w:pStyle w:val="Compact"/>
              <w:spacing w:before="0" w:after="0" w:line="240" w:lineRule="auto"/>
              <w:jc w:val="right"/>
            </w:pPr>
            <w:r>
              <w:rPr>
                <w:b w:val="0"/>
                <w:sz w:val="13"/>
              </w:rPr>
              <w:t xml:space="preserve">11 min / 8 GB</w:t>
            </w:r>
          </w:p>
        </w:tc>
      </w:tr>
      <w:tr>
        <w:trPr>
          <w:cantSplit/>
        </w:trPr>
        <w:tc>
          <w:tcPr/>
          <w:p>
            <w:pPr>
              <w:pStyle w:val="Compact"/>
              <w:spacing w:before="0" w:after="0" w:line="240" w:lineRule="auto"/>
            </w:pPr>
            <w:r>
              <w:rPr>
                <w:b w:val="0"/>
                <w:i/>
                <w:iCs/>
                <w:sz w:val="13"/>
              </w:rPr>
              <w:t xml:space="preserve">E. coli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30</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4.3 s / 0.34 GB</w:t>
            </w:r>
          </w:p>
        </w:tc>
        <w:tc>
          <w:tcPr/>
          <w:p>
            <w:pPr>
              <w:pStyle w:val="Compact"/>
              <w:spacing w:before="0" w:after="0" w:line="240" w:lineRule="auto"/>
              <w:jc w:val="right"/>
            </w:pPr>
            <w:r>
              <w:rPr>
                <w:b w:val="0"/>
                <w:sz w:val="13"/>
              </w:rPr>
              <w:t xml:space="preserve">43 min / 28 GB</w:t>
            </w:r>
          </w:p>
        </w:tc>
      </w:tr>
      <w:tr>
        <w:trPr>
          <w:cantSplit/>
        </w:trPr>
        <w:tc>
          <w:tcPr/>
          <w:p>
            <w:pPr>
              <w:pStyle w:val="Compact"/>
              <w:spacing w:before="0" w:after="0" w:line="240" w:lineRule="auto"/>
            </w:pPr>
            <w:r>
              <w:rPr>
                <w:b w:val="0"/>
                <w:i/>
                <w:iCs/>
                <w:sz w:val="13"/>
              </w:rPr>
              <w:t xml:space="preserve">F. nucleatum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0.7 s / 0.10 GB</w:t>
            </w:r>
          </w:p>
        </w:tc>
        <w:tc>
          <w:tcPr/>
          <w:p>
            <w:pPr>
              <w:pStyle w:val="Compact"/>
              <w:spacing w:before="0" w:after="0" w:line="240" w:lineRule="auto"/>
              <w:jc w:val="right"/>
            </w:pPr>
            <w:r>
              <w:rPr>
                <w:b w:val="0"/>
                <w:sz w:val="13"/>
              </w:rPr>
              <w:t xml:space="preserve">5 min / 8 GB</w:t>
            </w:r>
          </w:p>
        </w:tc>
      </w:tr>
      <w:tr>
        <w:trPr>
          <w:cantSplit/>
        </w:trPr>
        <w:tc>
          <w:tcPr/>
          <w:p>
            <w:pPr>
              <w:pStyle w:val="Compact"/>
              <w:spacing w:before="0" w:after="0" w:line="240" w:lineRule="auto"/>
            </w:pPr>
            <w:r>
              <w:rPr>
                <w:b w:val="0"/>
                <w:i/>
                <w:iCs/>
                <w:sz w:val="13"/>
              </w:rPr>
              <w:t xml:space="preserve">K.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28</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0.286</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5.1 s / 0.40 GB</w:t>
            </w:r>
          </w:p>
        </w:tc>
        <w:tc>
          <w:tcPr/>
          <w:p>
            <w:pPr>
              <w:pStyle w:val="Compact"/>
              <w:spacing w:before="0" w:after="0" w:line="240" w:lineRule="auto"/>
              <w:jc w:val="right"/>
            </w:pPr>
            <w:r>
              <w:rPr>
                <w:b w:val="0"/>
                <w:sz w:val="13"/>
              </w:rPr>
              <w:t xml:space="preserve">DNF (timing run)</w:t>
            </w:r>
          </w:p>
        </w:tc>
      </w:tr>
      <w:tr>
        <w:trPr>
          <w:cantSplit/>
        </w:trPr>
        <w:tc>
          <w:tcPr/>
          <w:p>
            <w:pPr>
              <w:pStyle w:val="Compact"/>
              <w:spacing w:before="0" w:after="0" w:line="240" w:lineRule="auto"/>
            </w:pPr>
            <w:r>
              <w:rPr>
                <w:b w:val="0"/>
                <w:i/>
                <w:iCs/>
                <w:sz w:val="13"/>
              </w:rPr>
              <w:t xml:space="preserve">L. plantarum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5.0 s / 0.24 GB</w:t>
            </w:r>
          </w:p>
        </w:tc>
        <w:tc>
          <w:tcPr/>
          <w:p>
            <w:pPr>
              <w:pStyle w:val="Compact"/>
              <w:spacing w:before="0" w:after="0" w:line="240" w:lineRule="auto"/>
              <w:jc w:val="right"/>
            </w:pPr>
            <w:r>
              <w:rPr>
                <w:b w:val="0"/>
                <w:sz w:val="13"/>
              </w:rPr>
              <w:t xml:space="preserve">24 min / 18 GB</w:t>
            </w:r>
          </w:p>
        </w:tc>
      </w:tr>
      <w:tr>
        <w:trPr>
          <w:cantSplit/>
        </w:trPr>
        <w:tc>
          <w:tcPr/>
          <w:p>
            <w:pPr>
              <w:pStyle w:val="Compact"/>
              <w:spacing w:before="0" w:after="0" w:line="240" w:lineRule="auto"/>
            </w:pPr>
            <w:r>
              <w:rPr>
                <w:b w:val="0"/>
                <w:i/>
                <w:iCs/>
                <w:sz w:val="13"/>
              </w:rPr>
              <w:t xml:space="preserve">M. tuberculosis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29</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1.6 s / 0.25 GB</w:t>
            </w:r>
          </w:p>
        </w:tc>
        <w:tc>
          <w:tcPr/>
          <w:p>
            <w:pPr>
              <w:pStyle w:val="Compact"/>
              <w:spacing w:before="0" w:after="0" w:line="240" w:lineRule="auto"/>
              <w:jc w:val="right"/>
            </w:pPr>
            <w:r>
              <w:rPr>
                <w:b w:val="0"/>
                <w:sz w:val="13"/>
              </w:rPr>
              <w:t xml:space="preserve">16 min / 15 GB</w:t>
            </w:r>
          </w:p>
        </w:tc>
      </w:tr>
      <w:tr>
        <w:trPr>
          <w:cantSplit/>
        </w:trPr>
        <w:tc>
          <w:tcPr/>
          <w:p>
            <w:pPr>
              <w:pStyle w:val="Compact"/>
              <w:spacing w:before="0" w:after="0" w:line="240" w:lineRule="auto"/>
            </w:pPr>
            <w:r>
              <w:rPr>
                <w:b w:val="0"/>
                <w:i/>
                <w:iCs/>
                <w:sz w:val="13"/>
              </w:rPr>
              <w:t xml:space="preserve">P. dorei</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 s / 0.25 GB</w:t>
            </w:r>
          </w:p>
        </w:tc>
        <w:tc>
          <w:tcPr/>
          <w:p>
            <w:pPr>
              <w:pStyle w:val="Compact"/>
              <w:spacing w:before="0" w:after="0" w:line="240" w:lineRule="auto"/>
              <w:jc w:val="right"/>
            </w:pPr>
            <w:r>
              <w:rPr>
                <w:b w:val="0"/>
                <w:sz w:val="13"/>
              </w:rPr>
              <w:t xml:space="preserve">5 min / 13 GB</w:t>
            </w:r>
          </w:p>
        </w:tc>
      </w:tr>
      <w:tr>
        <w:trPr>
          <w:cantSplit/>
        </w:trPr>
        <w:tc>
          <w:tcPr/>
          <w:p>
            <w:pPr>
              <w:pStyle w:val="Compact"/>
              <w:spacing w:before="0" w:after="0" w:line="240" w:lineRule="auto"/>
            </w:pPr>
            <w:r>
              <w:rPr>
                <w:b w:val="0"/>
                <w:i/>
                <w:iCs/>
                <w:sz w:val="13"/>
              </w:rPr>
              <w:t xml:space="preserve">P. gingivalis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31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2.3 s / 0.15 GB</w:t>
            </w:r>
          </w:p>
        </w:tc>
        <w:tc>
          <w:tcPr/>
          <w:p>
            <w:pPr>
              <w:pStyle w:val="Compact"/>
              <w:spacing w:before="0" w:after="0" w:line="240" w:lineRule="auto"/>
              <w:jc w:val="right"/>
            </w:pPr>
            <w:r>
              <w:rPr>
                <w:b w:val="0"/>
                <w:sz w:val="13"/>
              </w:rPr>
              <w:t xml:space="preserve">19 min / 11 GB</w:t>
            </w:r>
          </w:p>
        </w:tc>
      </w:tr>
      <w:tr>
        <w:trPr>
          <w:cantSplit/>
        </w:trPr>
        <w:tc>
          <w:tcPr/>
          <w:p>
            <w:pPr>
              <w:pStyle w:val="Compact"/>
              <w:spacing w:before="0" w:after="0" w:line="240" w:lineRule="auto"/>
            </w:pPr>
            <w:r>
              <w:rPr>
                <w:b w:val="0"/>
                <w:i/>
                <w:iCs/>
                <w:sz w:val="13"/>
              </w:rPr>
              <w:t xml:space="preserve">P. copri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1.8 s / 0.19 GB</w:t>
            </w:r>
          </w:p>
        </w:tc>
        <w:tc>
          <w:tcPr/>
          <w:p>
            <w:pPr>
              <w:pStyle w:val="Compact"/>
              <w:spacing w:before="0" w:after="0" w:line="240" w:lineRule="auto"/>
              <w:jc w:val="right"/>
            </w:pPr>
            <w:r>
              <w:rPr>
                <w:b w:val="0"/>
                <w:sz w:val="13"/>
              </w:rPr>
              <w:t xml:space="preserve">8 min / 26 GB</w:t>
            </w:r>
          </w:p>
        </w:tc>
      </w:tr>
      <w:tr>
        <w:trPr>
          <w:cantSplit/>
        </w:trPr>
        <w:tc>
          <w:tcPr/>
          <w:p>
            <w:pPr>
              <w:pStyle w:val="Compact"/>
              <w:spacing w:before="0" w:after="0" w:line="240" w:lineRule="auto"/>
            </w:pPr>
            <w:r>
              <w:rPr>
                <w:b w:val="0"/>
                <w:i/>
                <w:iCs/>
                <w:sz w:val="13"/>
              </w:rPr>
              <w:t xml:space="preserve">S. enterica</w:t>
            </w:r>
          </w:p>
        </w:tc>
        <w:tc>
          <w:tcPr/>
          <w:p>
            <w:pPr>
              <w:pStyle w:val="Compact"/>
              <w:spacing w:before="0" w:after="0" w:line="240" w:lineRule="auto"/>
              <w:jc w:val="right"/>
            </w:pPr>
            <w:r>
              <w:rPr>
                <w:b w:val="0"/>
                <w:sz w:val="13"/>
              </w:rPr>
              <w:t xml:space="preserve">0</w:t>
            </w:r>
          </w:p>
        </w:tc>
        <w:tc>
          <w:tcPr/>
          <w:p>
            <w:pPr>
              <w:pStyle w:val="Compact"/>
              <w:spacing w:before="0" w:after="0" w:line="240" w:lineRule="auto"/>
              <w:jc w:val="right"/>
            </w:pPr>
            <w:r>
              <w:rPr>
                <w:b w:val="0"/>
                <w:sz w:val="13"/>
              </w:rPr>
              <w:t xml:space="preserve">45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4.2 s / 0.37 GB</w:t>
            </w:r>
          </w:p>
        </w:tc>
        <w:tc>
          <w:tcPr/>
          <w:p>
            <w:pPr>
              <w:pStyle w:val="Compact"/>
              <w:spacing w:before="0" w:after="0" w:line="240" w:lineRule="auto"/>
              <w:jc w:val="right"/>
            </w:pPr>
            <w:r>
              <w:rPr>
                <w:b w:val="0"/>
                <w:sz w:val="13"/>
              </w:rPr>
              <w:t xml:space="preserve">34 min / 16 GB</w:t>
            </w:r>
          </w:p>
        </w:tc>
      </w:tr>
      <w:tr>
        <w:trPr>
          <w:cantSplit/>
        </w:trPr>
        <w:tc>
          <w:tcPr/>
          <w:p>
            <w:pPr>
              <w:pStyle w:val="Compact"/>
              <w:spacing w:before="0" w:after="0" w:line="240" w:lineRule="auto"/>
            </w:pPr>
            <w:r>
              <w:rPr>
                <w:b w:val="0"/>
                <w:i/>
                <w:iCs/>
                <w:sz w:val="13"/>
              </w:rPr>
              <w:t xml:space="preserve">S. aureus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48</w:t>
            </w:r>
          </w:p>
        </w:tc>
        <w:tc>
          <w:tcPr/>
          <w:p>
            <w:pPr>
              <w:pStyle w:val="Compact"/>
              <w:spacing w:before="0" w:after="0" w:line="240" w:lineRule="auto"/>
              <w:jc w:val="right"/>
            </w:pPr>
            <w:r>
              <w:rPr>
                <w:b w:val="0"/>
                <w:sz w:val="13"/>
              </w:rPr>
              <w:t xml:space="preserve">13</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1.7 s / 0.17 GB</w:t>
            </w:r>
          </w:p>
        </w:tc>
        <w:tc>
          <w:tcPr/>
          <w:p>
            <w:pPr>
              <w:pStyle w:val="Compact"/>
              <w:spacing w:before="0" w:after="0" w:line="240" w:lineRule="auto"/>
              <w:jc w:val="right"/>
            </w:pPr>
            <w:r>
              <w:rPr>
                <w:b w:val="0"/>
                <w:sz w:val="13"/>
              </w:rPr>
              <w:t xml:space="preserve">17 min / 12 GB</w:t>
            </w:r>
          </w:p>
        </w:tc>
      </w:tr>
      <w:tr>
        <w:trPr>
          <w:cantSplit/>
        </w:trPr>
        <w:tc>
          <w:tcPr/>
          <w:p>
            <w:pPr>
              <w:pStyle w:val="Compact"/>
              <w:spacing w:before="0" w:after="0" w:line="240" w:lineRule="auto"/>
            </w:pPr>
            <w:r>
              <w:rPr>
                <w:b w:val="0"/>
                <w:i/>
                <w:iCs/>
                <w:sz w:val="13"/>
              </w:rPr>
              <w:t xml:space="preserve">S. epidermidis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1.6 s / 0.14 GB</w:t>
            </w:r>
          </w:p>
        </w:tc>
        <w:tc>
          <w:tcPr/>
          <w:p>
            <w:pPr>
              <w:pStyle w:val="Compact"/>
              <w:spacing w:before="0" w:after="0" w:line="240" w:lineRule="auto"/>
              <w:jc w:val="right"/>
            </w:pPr>
            <w:r>
              <w:rPr>
                <w:b w:val="0"/>
                <w:sz w:val="13"/>
              </w:rPr>
              <w:t xml:space="preserve">15 min / 8 GB</w:t>
            </w:r>
          </w:p>
        </w:tc>
      </w:tr>
      <w:tr>
        <w:trPr>
          <w:cantSplit/>
        </w:trPr>
        <w:tc>
          <w:tcPr/>
          <w:p>
            <w:pPr>
              <w:pStyle w:val="Compact"/>
              <w:spacing w:before="0" w:after="0" w:line="240" w:lineRule="auto"/>
            </w:pPr>
            <w:r>
              <w:rPr>
                <w:b w:val="0"/>
                <w:i/>
                <w:iCs/>
                <w:sz w:val="13"/>
              </w:rPr>
              <w:t xml:space="preserve">S.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0.16 GB</w:t>
            </w:r>
          </w:p>
        </w:tc>
        <w:tc>
          <w:tcPr/>
          <w:p>
            <w:pPr>
              <w:pStyle w:val="Compact"/>
              <w:spacing w:before="0" w:after="0" w:line="240" w:lineRule="auto"/>
              <w:jc w:val="right"/>
            </w:pPr>
            <w:r>
              <w:rPr>
                <w:b w:val="0"/>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center"/>
            </w:pPr>
            <w:r>
              <w:rPr>
                <w:b/>
                <w:sz w:val="16"/>
              </w:rPr>
              <w:t xml:space="preserve">S2B P/R/F1</w:t>
            </w:r>
          </w:p>
        </w:tc>
        <w:tc>
          <w:tcPr>
            <w:shd w:val="clear" w:color="auto" w:fill="DCE6F1"/>
          </w:tcPr>
          <w:p>
            <w:pPr>
              <w:pStyle w:val="Compact"/>
              <w:spacing w:before="0" w:after="0" w:line="240" w:lineRule="auto"/>
              <w:jc w:val="center"/>
            </w:pPr>
            <w:r>
              <w:rPr>
                <w:b/>
                <w:sz w:val="16"/>
              </w:rPr>
              <w:t xml:space="preserve">SS P/R/F1</w:t>
            </w:r>
          </w:p>
        </w:tc>
        <w:tc>
          <w:tcPr>
            <w:shd w:val="clear" w:color="auto" w:fill="DCE6F1"/>
          </w:tcPr>
          <w:p>
            <w:pPr>
              <w:pStyle w:val="Compact"/>
              <w:spacing w:before="0" w:after="0" w:line="240" w:lineRule="auto"/>
              <w:jc w:val="right"/>
            </w:pPr>
            <w:r>
              <w:rPr>
                <w:b/>
                <w:sz w:val="16"/>
              </w:rPr>
              <w:t xml:space="preserve">S2B time/mem</w:t>
            </w:r>
          </w:p>
        </w:tc>
        <w:tc>
          <w:tcPr>
            <w:shd w:val="clear" w:color="auto" w:fill="DCE6F1"/>
          </w:tcPr>
          <w:p>
            <w:pPr>
              <w:pStyle w:val="Compact"/>
              <w:spacing w:before="0" w:after="0" w:line="240" w:lineRule="auto"/>
              <w:jc w:val="center"/>
            </w:pPr>
            <w:r>
              <w:rPr>
                <w:b/>
                <w:sz w:val="16"/>
              </w:rPr>
              <w:t xml:space="preserve">Separate StrainGE P/R/F1 (0.90-space)†</w:t>
            </w:r>
          </w:p>
        </w:tc>
        <w:tc>
          <w:tcPr>
            <w:shd w:val="clear" w:color="auto" w:fill="DCE6F1"/>
          </w:tcPr>
          <w:p>
            <w:pPr>
              <w:pStyle w:val="Compact"/>
              <w:spacing w:before="0" w:after="0" w:line="240" w:lineRule="auto"/>
              <w:jc w:val="center"/>
            </w:pPr>
            <w:r>
              <w:rPr>
                <w:b/>
                <w:sz w:val="16"/>
              </w:rPr>
              <w:t xml:space="preserve">SS time/mem</w:t>
            </w:r>
          </w:p>
        </w:tc>
      </w:tr>
      <w:tr>
        <w:trPr>
          <w:cantSplit/>
        </w:trPr>
        <w:tc>
          <w:tcPr/>
          <w:p>
            <w:pPr>
              <w:pStyle w:val="Compact"/>
              <w:spacing w:before="0" w:after="0" w:line="240" w:lineRule="auto"/>
              <w:jc w:val="right"/>
            </w:pPr>
            <w:r>
              <w:rPr>
                <w:b w:val="0"/>
                <w:sz w:val="15"/>
              </w:rPr>
              <w:t xml:space="preserve">0.5</w:t>
            </w:r>
          </w:p>
        </w:tc>
        <w:tc>
          <w:tcPr/>
          <w:p>
            <w:pPr>
              <w:pStyle w:val="Compact"/>
              <w:spacing w:before="0" w:after="0" w:line="240" w:lineRule="auto"/>
              <w:jc w:val="right"/>
            </w:pPr>
            <w:r>
              <w:rPr>
                <w:b w:val="0"/>
                <w:sz w:val="15"/>
              </w:rPr>
              <w:t xml:space="preserve">40</w:t>
            </w:r>
          </w:p>
        </w:tc>
        <w:tc>
          <w:tcPr/>
          <w:p>
            <w:pPr>
              <w:pStyle w:val="Compact"/>
              <w:spacing w:before="0" w:after="0" w:line="240" w:lineRule="auto"/>
              <w:jc w:val="center"/>
            </w:pPr>
            <w:r>
              <w:rPr>
                <w:b w:val="0"/>
                <w:sz w:val="15"/>
              </w:rPr>
              <w:t xml:space="preserve">1.000/0.600/0.708</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0.16 s / 21 MB</w:t>
            </w:r>
          </w:p>
        </w:tc>
        <w:tc>
          <w:tcPr/>
          <w:p>
            <w:pPr>
              <w:pStyle w:val="Compact"/>
              <w:spacing w:before="0" w:after="0" w:line="240" w:lineRule="auto"/>
              <w:jc w:val="center"/>
            </w:pPr>
            <w:r>
              <w:rPr>
                <w:b w:val="0"/>
                <w:sz w:val="15"/>
              </w:rPr>
              <w:t xml:space="preserve">5.30 s / 831 MB</w:t>
            </w:r>
          </w:p>
        </w:tc>
      </w:tr>
      <w:tr>
        <w:trPr>
          <w:cantSplit/>
        </w:trPr>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0.24 s / 30 MB</w:t>
            </w:r>
          </w:p>
        </w:tc>
        <w:tc>
          <w:tcPr/>
          <w:p>
            <w:pPr>
              <w:pStyle w:val="Compact"/>
              <w:spacing w:before="0" w:after="0" w:line="240" w:lineRule="auto"/>
              <w:jc w:val="center"/>
            </w:pPr>
            <w:r>
              <w:rPr>
                <w:b w:val="0"/>
                <w:sz w:val="15"/>
              </w:rPr>
              <w:t xml:space="preserve">3.48 s / 831 MB</w:t>
            </w:r>
          </w:p>
        </w:tc>
      </w:tr>
      <w:tr>
        <w:trPr>
          <w:cantSplit/>
        </w:trPr>
        <w:tc>
          <w:tcPr/>
          <w:p>
            <w:pPr>
              <w:pStyle w:val="Compact"/>
              <w:spacing w:before="0" w:after="0" w:line="240" w:lineRule="auto"/>
              <w:jc w:val="right"/>
            </w:pPr>
            <w:r>
              <w:rPr>
                <w:b w:val="0"/>
                <w:sz w:val="15"/>
              </w:rPr>
              <w:t xml:space="preserve">3</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1.000/0.600/0.750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0.56 s / 60 MB</w:t>
            </w:r>
          </w:p>
        </w:tc>
        <w:tc>
          <w:tcPr/>
          <w:p>
            <w:pPr>
              <w:pStyle w:val="Compact"/>
              <w:spacing w:before="0" w:after="0" w:line="240" w:lineRule="auto"/>
              <w:jc w:val="center"/>
            </w:pPr>
            <w:r>
              <w:rPr>
                <w:b w:val="0"/>
                <w:sz w:val="15"/>
              </w:rPr>
              <w:t xml:space="preserve">4.17 s / 831 MB</w:t>
            </w:r>
          </w:p>
        </w:tc>
      </w:tr>
      <w:tr>
        <w:trPr>
          <w:cantSplit/>
        </w:trPr>
        <w:tc>
          <w:tcPr/>
          <w:p>
            <w:pPr>
              <w:pStyle w:val="Compact"/>
              <w:spacing w:before="0" w:after="0" w:line="240" w:lineRule="auto"/>
              <w:jc w:val="right"/>
            </w:pPr>
            <w:r>
              <w:rPr>
                <w:b w:val="0"/>
                <w:sz w:val="15"/>
              </w:rPr>
              <w:t xml:space="preserve">5</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0.89 s / 91 MB</w:t>
            </w:r>
          </w:p>
        </w:tc>
        <w:tc>
          <w:tcPr/>
          <w:p>
            <w:pPr>
              <w:pStyle w:val="Compact"/>
              <w:spacing w:before="0" w:after="0" w:line="240" w:lineRule="auto"/>
              <w:jc w:val="center"/>
            </w:pPr>
            <w:r>
              <w:rPr>
                <w:b w:val="0"/>
                <w:sz w:val="15"/>
              </w:rPr>
              <w:t xml:space="preserve">4.79 s / 831 MB</w:t>
            </w:r>
          </w:p>
        </w:tc>
      </w:tr>
      <w:tr>
        <w:trPr>
          <w:cantSplit/>
        </w:trPr>
        <w:tc>
          <w:tcPr/>
          <w:p>
            <w:pPr>
              <w:pStyle w:val="Compact"/>
              <w:spacing w:before="0" w:after="0" w:line="240" w:lineRule="auto"/>
              <w:jc w:val="right"/>
            </w:pPr>
            <w:r>
              <w:rPr>
                <w:b w:val="0"/>
                <w:sz w:val="15"/>
              </w:rPr>
              <w:t xml:space="preserve">10</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1.66 s / 161 MB</w:t>
            </w:r>
          </w:p>
        </w:tc>
        <w:tc>
          <w:tcPr/>
          <w:p>
            <w:pPr>
              <w:pStyle w:val="Compact"/>
              <w:spacing w:before="0" w:after="0" w:line="240" w:lineRule="auto"/>
              <w:jc w:val="center"/>
            </w:pPr>
            <w:r>
              <w:rPr>
                <w:b w:val="0"/>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shd w:val="clear" w:color="auto" w:fill="DCE6F1"/>
          </w:tcPr>
          <w:p>
            <w:pPr>
              <w:pStyle w:val="Compact"/>
              <w:spacing w:before="0" w:after="0" w:line="240" w:lineRule="auto"/>
            </w:pPr>
            <w:r>
              <w:rPr>
                <w:b/>
                <w:sz w:val="17"/>
              </w:rPr>
              <w:t xml:space="preserve">Community depth</w:t>
            </w:r>
          </w:p>
        </w:tc>
        <w:tc>
          <w:tcPr>
            <w:shd w:val="clear" w:color="auto" w:fill="DCE6F1"/>
          </w:tcPr>
          <w:p>
            <w:pPr>
              <w:pStyle w:val="Compact"/>
              <w:spacing w:before="0" w:after="0" w:line="240" w:lineRule="auto"/>
              <w:jc w:val="center"/>
            </w:pPr>
            <w:r>
              <w:rPr>
                <w:b/>
                <w:sz w:val="17"/>
              </w:rPr>
              <w:t xml:space="preserve">S2B P/R/F1</w:t>
            </w:r>
          </w:p>
        </w:tc>
        <w:tc>
          <w:tcPr>
            <w:shd w:val="clear" w:color="auto" w:fill="DCE6F1"/>
          </w:tcPr>
          <w:p>
            <w:pPr>
              <w:pStyle w:val="Compact"/>
              <w:spacing w:before="0" w:after="0" w:line="240" w:lineRule="auto"/>
              <w:jc w:val="center"/>
            </w:pPr>
            <w:r>
              <w:rPr>
                <w:b/>
                <w:sz w:val="17"/>
              </w:rPr>
              <w:t xml:space="preserve">SS P/R/F1</w:t>
            </w:r>
          </w:p>
        </w:tc>
        <w:tc>
          <w:tcPr>
            <w:shd w:val="clear" w:color="auto" w:fill="DCE6F1"/>
          </w:tcPr>
          <w:p>
            <w:pPr>
              <w:pStyle w:val="Compact"/>
              <w:spacing w:before="0" w:after="0" w:line="240" w:lineRule="auto"/>
              <w:jc w:val="center"/>
            </w:pPr>
            <w:r>
              <w:rPr>
                <w:b/>
                <w:sz w:val="17"/>
              </w:rPr>
              <w:t xml:space="preserve">S2B time/mem</w:t>
            </w:r>
          </w:p>
        </w:tc>
        <w:tc>
          <w:tcPr>
            <w:shd w:val="clear" w:color="auto" w:fill="DCE6F1"/>
          </w:tcPr>
          <w:p>
            <w:pPr>
              <w:pStyle w:val="Compact"/>
              <w:spacing w:before="0" w:after="0" w:line="240" w:lineRule="auto"/>
              <w:jc w:val="center"/>
            </w:pPr>
            <w:r>
              <w:rPr>
                <w:b/>
                <w:sz w:val="17"/>
              </w:rPr>
              <w:t xml:space="preserve">Separate StrainGE P/R/F1 (0.90-space)†</w:t>
            </w:r>
          </w:p>
        </w:tc>
        <w:tc>
          <w:tcPr>
            <w:shd w:val="clear" w:color="auto" w:fill="DCE6F1"/>
          </w:tcPr>
          <w:p>
            <w:pPr>
              <w:pStyle w:val="Compact"/>
              <w:spacing w:before="0" w:after="0" w:line="240" w:lineRule="auto"/>
              <w:jc w:val="center"/>
            </w:pPr>
            <w:r>
              <w:rPr>
                <w:b/>
                <w:sz w:val="17"/>
              </w:rPr>
              <w:t xml:space="preserve">SS time/mem</w:t>
            </w:r>
          </w:p>
        </w:tc>
      </w:tr>
      <w:tr>
        <w:trPr>
          <w:cantSplit/>
        </w:trPr>
        <w:tc>
          <w:tcPr/>
          <w:p>
            <w:pPr>
              <w:pStyle w:val="Compact"/>
              <w:spacing w:before="0" w:after="0" w:line="240" w:lineRule="auto"/>
            </w:pPr>
            <w:r>
              <w:rPr>
                <w:b w:val="0"/>
                <w:sz w:val="16"/>
              </w:rPr>
              <w:t xml:space="preserve">low</w:t>
            </w:r>
          </w:p>
        </w:tc>
        <w:tc>
          <w:tcPr/>
          <w:p>
            <w:pPr>
              <w:pStyle w:val="Compact"/>
              <w:spacing w:before="0" w:after="0" w:line="240" w:lineRule="auto"/>
              <w:jc w:val="center"/>
            </w:pPr>
            <w:r>
              <w:rPr>
                <w:b w:val="0"/>
                <w:sz w:val="16"/>
              </w:rPr>
              <w:t xml:space="preserve">0.748/0.667/0.699</w:t>
            </w:r>
          </w:p>
        </w:tc>
        <w:tc>
          <w:tcPr/>
          <w:p>
            <w:pPr>
              <w:pStyle w:val="Compact"/>
              <w:spacing w:before="0" w:after="0" w:line="240" w:lineRule="auto"/>
              <w:jc w:val="center"/>
            </w:pPr>
            <w:r>
              <w:rPr>
                <w:b w:val="0"/>
                <w:sz w:val="16"/>
              </w:rPr>
              <w:t xml:space="preserve">0.938/0.702/0.798</w:t>
            </w:r>
          </w:p>
        </w:tc>
        <w:tc>
          <w:tcPr/>
          <w:p>
            <w:pPr>
              <w:pStyle w:val="Compact"/>
              <w:spacing w:before="0" w:after="0" w:line="240" w:lineRule="auto"/>
              <w:jc w:val="center"/>
            </w:pPr>
            <w:r>
              <w:rPr>
                <w:b w:val="0"/>
                <w:sz w:val="16"/>
              </w:rPr>
              <w:t xml:space="preserve">0.918/1.000/0.944</w:t>
            </w:r>
          </w:p>
        </w:tc>
        <w:tc>
          <w:tcPr/>
          <w:p>
            <w:pPr>
              <w:pStyle w:val="Compact"/>
              <w:spacing w:before="0" w:after="0" w:line="240" w:lineRule="auto"/>
              <w:jc w:val="center"/>
            </w:pPr>
            <w:r>
              <w:rPr>
                <w:b w:val="0"/>
                <w:sz w:val="16"/>
              </w:rPr>
              <w:t xml:space="preserve">1.0 s / 311 MB</w:t>
            </w:r>
          </w:p>
        </w:tc>
        <w:tc>
          <w:tcPr/>
          <w:p>
            <w:pPr>
              <w:pStyle w:val="Compact"/>
              <w:spacing w:before="0" w:after="0" w:line="240" w:lineRule="auto"/>
              <w:jc w:val="center"/>
            </w:pPr>
            <w:r>
              <w:rPr>
                <w:b w:val="0"/>
                <w:sz w:val="16"/>
              </w:rPr>
              <w:t xml:space="preserve">100 s / 1112 MB</w:t>
            </w:r>
          </w:p>
        </w:tc>
      </w:tr>
      <w:tr>
        <w:trPr>
          <w:cantSplit/>
        </w:trPr>
        <w:tc>
          <w:tcPr/>
          <w:p>
            <w:pPr>
              <w:pStyle w:val="Compact"/>
              <w:spacing w:before="0" w:after="0" w:line="240" w:lineRule="auto"/>
            </w:pPr>
            <w:r>
              <w:rPr>
                <w:b w:val="0"/>
                <w:sz w:val="16"/>
              </w:rPr>
              <w:t xml:space="preserve">med</w:t>
            </w:r>
          </w:p>
        </w:tc>
        <w:tc>
          <w:tcPr/>
          <w:p>
            <w:pPr>
              <w:pStyle w:val="Compact"/>
              <w:spacing w:before="0" w:after="0" w:line="240" w:lineRule="auto"/>
              <w:jc w:val="center"/>
            </w:pPr>
            <w:r>
              <w:rPr>
                <w:b w:val="0"/>
                <w:sz w:val="16"/>
              </w:rPr>
              <w:t xml:space="preserve">0.838/0.838/0.837</w:t>
            </w:r>
          </w:p>
        </w:tc>
        <w:tc>
          <w:tcPr/>
          <w:p>
            <w:pPr>
              <w:pStyle w:val="Compact"/>
              <w:spacing w:before="0" w:after="0" w:line="240" w:lineRule="auto"/>
              <w:jc w:val="center"/>
            </w:pPr>
            <w:r>
              <w:rPr>
                <w:b w:val="0"/>
                <w:sz w:val="16"/>
              </w:rPr>
              <w:t xml:space="preserve">0.954/0.903/0.927</w:t>
            </w:r>
          </w:p>
        </w:tc>
        <w:tc>
          <w:tcPr/>
          <w:p>
            <w:pPr>
              <w:pStyle w:val="Compact"/>
              <w:spacing w:before="0" w:after="0" w:line="240" w:lineRule="auto"/>
              <w:jc w:val="center"/>
            </w:pPr>
            <w:r>
              <w:rPr>
                <w:b w:val="0"/>
                <w:sz w:val="16"/>
              </w:rPr>
              <w:t xml:space="preserve">0.901/1.000/0.934</w:t>
            </w:r>
          </w:p>
        </w:tc>
        <w:tc>
          <w:tcPr/>
          <w:p>
            <w:pPr>
              <w:pStyle w:val="Compact"/>
              <w:spacing w:before="0" w:after="0" w:line="240" w:lineRule="auto"/>
              <w:jc w:val="center"/>
            </w:pPr>
            <w:r>
              <w:rPr>
                <w:b w:val="0"/>
                <w:sz w:val="16"/>
              </w:rPr>
              <w:t xml:space="preserve">4.3 s / 670 MB</w:t>
            </w:r>
          </w:p>
        </w:tc>
        <w:tc>
          <w:tcPr/>
          <w:p>
            <w:pPr>
              <w:pStyle w:val="Compact"/>
              <w:spacing w:before="0" w:after="0" w:line="240" w:lineRule="auto"/>
              <w:jc w:val="center"/>
            </w:pPr>
            <w:r>
              <w:rPr>
                <w:b w:val="0"/>
                <w:sz w:val="16"/>
              </w:rPr>
              <w:t xml:space="preserve">228 s / 1696 MB</w:t>
            </w:r>
          </w:p>
        </w:tc>
      </w:tr>
      <w:tr>
        <w:trPr>
          <w:cantSplit/>
        </w:trPr>
        <w:tc>
          <w:tcPr/>
          <w:p>
            <w:pPr>
              <w:pStyle w:val="Compact"/>
              <w:spacing w:before="0" w:after="0" w:line="240" w:lineRule="auto"/>
            </w:pPr>
            <w:r>
              <w:rPr>
                <w:b w:val="0"/>
                <w:sz w:val="16"/>
              </w:rPr>
              <w:t xml:space="preserve">high</w:t>
            </w:r>
          </w:p>
        </w:tc>
        <w:tc>
          <w:tcPr/>
          <w:p>
            <w:pPr>
              <w:pStyle w:val="Compact"/>
              <w:spacing w:before="0" w:after="0" w:line="240" w:lineRule="auto"/>
              <w:jc w:val="center"/>
            </w:pPr>
            <w:r>
              <w:rPr>
                <w:b w:val="0"/>
                <w:sz w:val="16"/>
              </w:rPr>
              <w:t xml:space="preserve">0.806/0.806/0.806</w:t>
            </w:r>
          </w:p>
        </w:tc>
        <w:tc>
          <w:tcPr/>
          <w:p>
            <w:pPr>
              <w:pStyle w:val="Compact"/>
              <w:spacing w:before="0" w:after="0" w:line="240" w:lineRule="auto"/>
              <w:jc w:val="center"/>
            </w:pPr>
            <w:r>
              <w:rPr>
                <w:b w:val="0"/>
                <w:sz w:val="16"/>
              </w:rPr>
              <w:t xml:space="preserve">0.972/0.958/0.965</w:t>
            </w:r>
          </w:p>
        </w:tc>
        <w:tc>
          <w:tcPr/>
          <w:p>
            <w:pPr>
              <w:pStyle w:val="Compact"/>
              <w:spacing w:before="0" w:after="0" w:line="240" w:lineRule="auto"/>
              <w:jc w:val="center"/>
            </w:pPr>
            <w:r>
              <w:rPr>
                <w:b w:val="0"/>
                <w:sz w:val="16"/>
              </w:rPr>
              <w:t xml:space="preserve">0.908/1.000/0.951</w:t>
            </w:r>
          </w:p>
        </w:tc>
        <w:tc>
          <w:tcPr/>
          <w:p>
            <w:pPr>
              <w:pStyle w:val="Compact"/>
              <w:spacing w:before="0" w:after="0" w:line="240" w:lineRule="auto"/>
              <w:jc w:val="center"/>
            </w:pPr>
            <w:r>
              <w:rPr>
                <w:b w:val="0"/>
                <w:sz w:val="16"/>
              </w:rPr>
              <w:t xml:space="preserve">8.7 s / 1119 MB</w:t>
            </w:r>
          </w:p>
        </w:tc>
        <w:tc>
          <w:tcPr/>
          <w:p>
            <w:pPr>
              <w:pStyle w:val="Compact"/>
              <w:spacing w:before="0" w:after="0" w:line="240" w:lineRule="auto"/>
              <w:jc w:val="center"/>
            </w:pPr>
            <w:r>
              <w:rPr>
                <w:b w:val="0"/>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Project</w:t>
            </w:r>
          </w:p>
        </w:tc>
        <w:tc>
          <w:tcPr>
            <w:shd w:val="clear" w:color="auto" w:fill="DCE6F1"/>
          </w:tcPr>
          <w:p>
            <w:pPr>
              <w:pStyle w:val="Compact"/>
              <w:spacing w:before="0" w:after="0" w:line="240" w:lineRule="auto"/>
            </w:pPr>
            <w:r>
              <w:rPr>
                <w:b/>
                <w:sz w:val="17"/>
              </w:rPr>
              <w:t xml:space="preserve">Design and selected libraries</w:t>
            </w:r>
          </w:p>
        </w:tc>
        <w:tc>
          <w:tcPr>
            <w:shd w:val="clear" w:color="auto" w:fill="DCE6F1"/>
          </w:tcPr>
          <w:p>
            <w:pPr>
              <w:pStyle w:val="Compact"/>
              <w:spacing w:before="0" w:after="0" w:line="240" w:lineRule="auto"/>
              <w:jc w:val="right"/>
            </w:pPr>
            <w:r>
              <w:rPr>
                <w:b/>
                <w:sz w:val="17"/>
              </w:rPr>
              <w:t xml:space="preserve">Calls</w:t>
            </w:r>
          </w:p>
        </w:tc>
        <w:tc>
          <w:tcPr>
            <w:shd w:val="clear" w:color="auto" w:fill="DCE6F1"/>
          </w:tcPr>
          <w:p>
            <w:pPr>
              <w:pStyle w:val="Compact"/>
              <w:spacing w:before="0" w:after="0" w:line="240" w:lineRule="auto"/>
            </w:pPr>
            <w:r>
              <w:rPr>
                <w:b/>
                <w:sz w:val="17"/>
              </w:rPr>
              <w:t xml:space="preserve">Observation</w:t>
            </w:r>
          </w:p>
        </w:tc>
      </w:tr>
      <w:tr>
        <w:trPr>
          <w:cantSplit/>
        </w:trPr>
        <w:tc>
          <w:tcPr/>
          <w:p>
            <w:pPr>
              <w:pStyle w:val="Compact"/>
              <w:spacing w:before="0" w:after="0" w:line="240" w:lineRule="auto"/>
            </w:pPr>
            <w:r>
              <w:rPr>
                <w:b w:val="0"/>
                <w:sz w:val="16"/>
              </w:rPr>
              <w:t xml:space="preserve">PRJNA288562</w:t>
            </w:r>
          </w:p>
        </w:tc>
        <w:tc>
          <w:tcPr/>
          <w:p>
            <w:pPr>
              <w:pStyle w:val="Compact"/>
              <w:spacing w:before="0" w:after="0" w:line="240" w:lineRule="auto"/>
            </w:pPr>
            <w:r>
              <w:rPr>
                <w:b w:val="0"/>
                <w:sz w:val="16"/>
              </w:rPr>
              <w:t xml:space="preserve">Pregnancy subject T23; saliva, vaginal swab and distal gut at GD84 and GD273 (6 WGS libraries)</w:t>
            </w:r>
          </w:p>
        </w:tc>
        <w:tc>
          <w:tcPr/>
          <w:p>
            <w:pPr>
              <w:pStyle w:val="Compact"/>
              <w:spacing w:before="0" w:after="0" w:line="240" w:lineRule="auto"/>
              <w:jc w:val="right"/>
            </w:pPr>
            <w:r>
              <w:rPr>
                <w:b w:val="0"/>
                <w:sz w:val="16"/>
              </w:rPr>
              <w:t xml:space="preserve">34 calls in 5/6 libraries</w:t>
            </w:r>
          </w:p>
        </w:tc>
        <w:tc>
          <w:tcPr/>
          <w:p>
            <w:pPr>
              <w:pStyle w:val="Compact"/>
              <w:spacing w:before="0" w:after="0" w:line="240" w:lineRule="auto"/>
            </w:pPr>
            <w:r>
              <w:rPr>
                <w:b w:val="0"/>
                <w:sz w:val="16"/>
              </w:rPr>
              <w:t xml:space="preserve">Saliva was cluster-rich; four</w:t>
            </w:r>
            <w:r>
              <w:rPr>
                <w:b w:val="0"/>
                <w:sz w:val="16"/>
              </w:rPr>
              <w:t xml:space="preserve"> </w:t>
            </w:r>
            <w:r>
              <w:rPr>
                <w:b w:val="0"/>
                <w:i/>
                <w:iCs/>
                <w:sz w:val="16"/>
              </w:rPr>
              <w:t xml:space="preserve">Neisseria</w:t>
            </w:r>
            <w:r>
              <w:rPr>
                <w:b w:val="0"/>
                <w:sz w:val="16"/>
              </w:rPr>
              <w:t xml:space="preserve"> </w:t>
            </w:r>
            <w:r>
              <w:rPr>
                <w:b w:val="0"/>
                <w:sz w:val="16"/>
              </w:rPr>
              <w:t xml:space="preserve">and four</w:t>
            </w:r>
            <w:r>
              <w:rPr>
                <w:b w:val="0"/>
                <w:sz w:val="16"/>
              </w:rPr>
              <w:t xml:space="preserve"> </w:t>
            </w:r>
            <w:r>
              <w:rPr>
                <w:b w:val="0"/>
                <w:i/>
                <w:iCs/>
                <w:sz w:val="16"/>
              </w:rPr>
              <w:t xml:space="preserve">Schaalia</w:t>
            </w:r>
            <w:r>
              <w:rPr>
                <w:b w:val="0"/>
                <w:sz w:val="16"/>
              </w:rPr>
              <w:t xml:space="preserve"> </w:t>
            </w:r>
            <w:r>
              <w:rPr>
                <w:b w:val="0"/>
                <w:sz w:val="16"/>
              </w:rPr>
              <w:t xml:space="preserve">clusters were shared across timepoints. Gut</w:t>
            </w:r>
            <w:r>
              <w:rPr>
                <w:b w:val="0"/>
                <w:sz w:val="16"/>
              </w:rPr>
              <w:t xml:space="preserve"> </w:t>
            </w:r>
            <w:r>
              <w:rPr>
                <w:b w:val="0"/>
                <w:i/>
                <w:iCs/>
                <w:sz w:val="16"/>
              </w:rPr>
              <w:t xml:space="preserve">B. adolescentis</w:t>
            </w:r>
            <w:r>
              <w:rPr>
                <w:b w:val="0"/>
                <w:sz w:val="16"/>
              </w:rPr>
              <w:t xml:space="preserve"> </w:t>
            </w:r>
            <w:r>
              <w:rPr>
                <w:b w:val="0"/>
                <w:sz w:val="16"/>
              </w:rPr>
              <w:t xml:space="preserve">C4 persisted, whereas three other</w:t>
            </w:r>
            <w:r>
              <w:rPr>
                <w:b w:val="0"/>
                <w:sz w:val="16"/>
              </w:rPr>
              <w:t xml:space="preserve"> </w:t>
            </w:r>
            <w:r>
              <w:rPr>
                <w:b w:val="0"/>
                <w:i/>
                <w:iCs/>
                <w:sz w:val="16"/>
              </w:rPr>
              <w:t xml:space="preserve">Bifidobacterium</w:t>
            </w:r>
            <w:r>
              <w:rPr>
                <w:b w:val="0"/>
                <w:sz w:val="16"/>
              </w:rPr>
              <w:t xml:space="preserve"> </w:t>
            </w:r>
            <w:r>
              <w:rPr>
                <w:b w:val="0"/>
                <w:sz w:val="16"/>
              </w:rPr>
              <w:t xml:space="preserve">clusters and three</w:t>
            </w:r>
            <w:r>
              <w:rPr>
                <w:b w:val="0"/>
                <w:sz w:val="16"/>
              </w:rPr>
              <w:t xml:space="preserve"> </w:t>
            </w:r>
            <w:r>
              <w:rPr>
                <w:b w:val="0"/>
                <w:i/>
                <w:iCs/>
                <w:sz w:val="16"/>
              </w:rPr>
              <w:t xml:space="preserve">E. coli</w:t>
            </w:r>
            <w:r>
              <w:rPr>
                <w:b w:val="0"/>
                <w:sz w:val="16"/>
              </w:rPr>
              <w:t xml:space="preserve"> </w:t>
            </w:r>
            <w:r>
              <w:rPr>
                <w:b w:val="0"/>
                <w:sz w:val="16"/>
              </w:rPr>
              <w:t xml:space="preserve">clusters were GD84-only.</w:t>
            </w:r>
          </w:p>
        </w:tc>
      </w:tr>
      <w:tr>
        <w:trPr>
          <w:cantSplit/>
        </w:trPr>
        <w:tc>
          <w:tcPr/>
          <w:p>
            <w:pPr>
              <w:pStyle w:val="Compact"/>
              <w:spacing w:before="0" w:after="0" w:line="240" w:lineRule="auto"/>
            </w:pPr>
            <w:r>
              <w:rPr>
                <w:b w:val="0"/>
                <w:sz w:val="16"/>
              </w:rPr>
              <w:t xml:space="preserve">PRJNA1517970</w:t>
            </w:r>
          </w:p>
        </w:tc>
        <w:tc>
          <w:tcPr/>
          <w:p>
            <w:pPr>
              <w:pStyle w:val="Compact"/>
              <w:spacing w:before="0" w:after="0" w:line="240" w:lineRule="auto"/>
            </w:pPr>
            <w:r>
              <w:rPr>
                <w:b w:val="0"/>
                <w:sz w:val="16"/>
              </w:rPr>
              <w:t xml:space="preserve">Preterm-birth vaginal/meconium subset plus extraction blank (7 WGS libraries)</w:t>
            </w:r>
          </w:p>
        </w:tc>
        <w:tc>
          <w:tcPr/>
          <w:p>
            <w:pPr>
              <w:pStyle w:val="Compact"/>
              <w:spacing w:before="0" w:after="0" w:line="240" w:lineRule="auto"/>
              <w:jc w:val="right"/>
            </w:pPr>
            <w:r>
              <w:rPr>
                <w:b w:val="0"/>
                <w:sz w:val="16"/>
              </w:rPr>
              <w:t xml:space="preserve">0 calls with the MSA panel; 0 calls with a 13-species body-site panel</w:t>
            </w:r>
          </w:p>
        </w:tc>
        <w:tc>
          <w:tcPr/>
          <w:p>
            <w:pPr>
              <w:pStyle w:val="Compact"/>
              <w:spacing w:before="0" w:after="0" w:line="240" w:lineRule="auto"/>
            </w:pPr>
            <w:r>
              <w:rPr>
                <w:b w:val="0"/>
                <w:sz w:val="16"/>
              </w:rPr>
              <w:t xml:space="preserve">The blank had 340 distinct markers, and selected libraries had 7,394–86,980. At a one-marker diagnostic gate, one meconium library showed only three</w:t>
            </w:r>
            <w:r>
              <w:rPr>
                <w:b w:val="0"/>
                <w:sz w:val="16"/>
              </w:rPr>
              <w:t xml:space="preserve"> </w:t>
            </w:r>
            <w:r>
              <w:rPr>
                <w:b w:val="0"/>
                <w:i/>
                <w:iCs/>
                <w:sz w:val="16"/>
              </w:rPr>
              <w:t xml:space="preserve">C. acnes</w:t>
            </w:r>
            <w:r>
              <w:rPr>
                <w:b w:val="0"/>
                <w:sz w:val="16"/>
              </w:rPr>
              <w:t xml:space="preserve"> </w:t>
            </w:r>
            <w:r>
              <w:rPr>
                <w:b w:val="0"/>
                <w:sz w:val="16"/>
              </w:rPr>
              <w:t xml:space="preserve">markers, supporting specificity while also indicating incomplete niche coverage.</w:t>
            </w:r>
          </w:p>
        </w:tc>
      </w:tr>
      <w:tr>
        <w:trPr>
          <w:cantSplit/>
        </w:trPr>
        <w:tc>
          <w:tcPr/>
          <w:p>
            <w:pPr>
              <w:pStyle w:val="Compact"/>
              <w:spacing w:before="0" w:after="0" w:line="240" w:lineRule="auto"/>
            </w:pPr>
            <w:r>
              <w:rPr>
                <w:b w:val="0"/>
                <w:sz w:val="16"/>
              </w:rPr>
              <w:t xml:space="preserve">PRJNA1191223</w:t>
            </w:r>
          </w:p>
        </w:tc>
        <w:tc>
          <w:tcPr/>
          <w:p>
            <w:pPr>
              <w:pStyle w:val="Compact"/>
              <w:spacing w:before="0" w:after="0" w:line="240" w:lineRule="auto"/>
            </w:pPr>
            <w:r>
              <w:rPr>
                <w:b w:val="0"/>
                <w:sz w:val="16"/>
              </w:rPr>
              <w:t xml:space="preserve">Preterm infant P08 stool at W1, W2 and W3 (3 WGS libraries)</w:t>
            </w:r>
          </w:p>
        </w:tc>
        <w:tc>
          <w:tcPr/>
          <w:p>
            <w:pPr>
              <w:pStyle w:val="Compact"/>
              <w:spacing w:before="0" w:after="0" w:line="240" w:lineRule="auto"/>
              <w:jc w:val="right"/>
            </w:pPr>
            <w:r>
              <w:rPr>
                <w:b w:val="0"/>
                <w:sz w:val="16"/>
              </w:rPr>
              <w:t xml:space="preserve">9 generic-panel calls</w:t>
            </w:r>
          </w:p>
        </w:tc>
        <w:tc>
          <w:tcPr/>
          <w:p>
            <w:pPr>
              <w:pStyle w:val="Compact"/>
              <w:spacing w:before="0" w:after="0" w:line="240" w:lineRule="auto"/>
            </w:pPr>
            <w:r>
              <w:rPr>
                <w:b w:val="0"/>
                <w:sz w:val="16"/>
              </w:rPr>
              <w:t xml:space="preserve">Generic panel showed weekly turnover: one</w:t>
            </w:r>
            <w:r>
              <w:rPr>
                <w:b w:val="0"/>
                <w:sz w:val="16"/>
              </w:rPr>
              <w:t xml:space="preserve"> </w:t>
            </w:r>
            <w:r>
              <w:rPr>
                <w:b w:val="0"/>
                <w:i/>
                <w:iCs/>
                <w:sz w:val="16"/>
              </w:rPr>
              <w:t xml:space="preserve">S. aureus</w:t>
            </w:r>
            <w:r>
              <w:rPr>
                <w:b w:val="0"/>
                <w:sz w:val="16"/>
              </w:rPr>
              <w:t xml:space="preserve"> </w:t>
            </w:r>
            <w:r>
              <w:rPr>
                <w:b w:val="0"/>
                <w:sz w:val="16"/>
              </w:rPr>
              <w:t xml:space="preserve">cluster (W1), two</w:t>
            </w:r>
            <w:r>
              <w:rPr>
                <w:b w:val="0"/>
                <w:sz w:val="16"/>
              </w:rPr>
              <w:t xml:space="preserve"> </w:t>
            </w:r>
            <w:r>
              <w:rPr>
                <w:b w:val="0"/>
                <w:i/>
                <w:iCs/>
                <w:sz w:val="16"/>
              </w:rPr>
              <w:t xml:space="preserve">E. coli</w:t>
            </w:r>
            <w:r>
              <w:rPr>
                <w:b w:val="0"/>
                <w:sz w:val="16"/>
              </w:rPr>
              <w:t xml:space="preserve"> </w:t>
            </w:r>
            <w:r>
              <w:rPr>
                <w:b w:val="0"/>
                <w:sz w:val="16"/>
              </w:rPr>
              <w:t xml:space="preserve">clusters (W2), and six</w:t>
            </w:r>
            <w:r>
              <w:rPr>
                <w:b w:val="0"/>
                <w:sz w:val="16"/>
              </w:rPr>
              <w:t xml:space="preserve"> </w:t>
            </w:r>
            <w:r>
              <w:rPr>
                <w:b w:val="0"/>
                <w:i/>
                <w:iCs/>
                <w:sz w:val="16"/>
              </w:rPr>
              <w:t xml:space="preserve">E. faecalis</w:t>
            </w:r>
            <w:r>
              <w:rPr>
                <w:b w:val="0"/>
                <w:sz w:val="16"/>
              </w:rPr>
              <w:t xml:space="preserve"> </w:t>
            </w:r>
            <w:r>
              <w:rPr>
                <w:b w:val="0"/>
                <w:sz w:val="16"/>
              </w:rPr>
              <w:t xml:space="preserve">clusters (W3).</w:t>
            </w:r>
          </w:p>
        </w:tc>
      </w:tr>
      <w:tr>
        <w:trPr>
          <w:cantSplit/>
        </w:trPr>
        <w:tc>
          <w:tcPr/>
          <w:p>
            <w:pPr>
              <w:pStyle w:val="Compact"/>
              <w:spacing w:before="0" w:after="0" w:line="240" w:lineRule="auto"/>
            </w:pPr>
            <w:r>
              <w:rPr>
                <w:b w:val="0"/>
                <w:sz w:val="16"/>
              </w:rPr>
              <w:t xml:space="preserve">PRJNA1191225</w:t>
            </w:r>
          </w:p>
        </w:tc>
        <w:tc>
          <w:tcPr/>
          <w:p>
            <w:pPr>
              <w:pStyle w:val="Compact"/>
              <w:spacing w:before="0" w:after="0" w:line="240" w:lineRule="auto"/>
            </w:pPr>
            <w:r>
              <w:rPr>
                <w:b w:val="0"/>
                <w:sz w:val="16"/>
              </w:rPr>
              <w:t xml:space="preserve">Six preterm-infant isolate WGS read sets used for cohort-panel validation</w:t>
            </w:r>
          </w:p>
        </w:tc>
        <w:tc>
          <w:tcPr/>
          <w:p>
            <w:pPr>
              <w:pStyle w:val="Compact"/>
              <w:spacing w:before="0" w:after="0" w:line="240" w:lineRule="auto"/>
              <w:jc w:val="right"/>
            </w:pPr>
            <w:r>
              <w:rPr>
                <w:b w:val="0"/>
                <w:sz w:val="16"/>
              </w:rPr>
              <w:t xml:space="preserve">6/6 expected self-calls</w:t>
            </w:r>
          </w:p>
        </w:tc>
        <w:tc>
          <w:tcPr/>
          <w:p>
            <w:pPr>
              <w:pStyle w:val="Compact"/>
              <w:spacing w:before="0" w:after="0" w:line="240" w:lineRule="auto"/>
            </w:pPr>
            <w:r>
              <w:rPr>
                <w:b w:val="0"/>
                <w:sz w:val="16"/>
              </w:rPr>
              <w:t xml:space="preserve">The cohort-specific panel recovered all expected</w:t>
            </w:r>
            <w:r>
              <w:rPr>
                <w:b w:val="0"/>
                <w:sz w:val="16"/>
              </w:rPr>
              <w:t xml:space="preserve"> </w:t>
            </w:r>
            <w:r>
              <w:rPr>
                <w:b w:val="0"/>
                <w:i/>
                <w:iCs/>
                <w:sz w:val="16"/>
              </w:rPr>
              <w:t xml:space="preserve">E. coli</w:t>
            </w:r>
            <w:r>
              <w:rPr>
                <w:b w:val="0"/>
                <w:sz w:val="16"/>
              </w:rPr>
              <w:t xml:space="preserve"> </w:t>
            </w:r>
            <w:r>
              <w:rPr>
                <w:b w:val="0"/>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shd w:val="clear" w:color="auto" w:fill="DCE6F1"/>
          </w:tcPr>
          <w:p>
            <w:pPr>
              <w:pStyle w:val="Compact"/>
              <w:spacing w:before="0" w:after="0" w:line="240" w:lineRule="auto"/>
            </w:pPr>
            <w:r>
              <w:rPr>
                <w:b/>
                <w:sz w:val="16"/>
              </w:rPr>
              <w:t xml:space="preserve">Isolate</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jc w:val="right"/>
            </w:pPr>
            <w:r>
              <w:rPr>
                <w:b/>
                <w:sz w:val="16"/>
              </w:rPr>
              <w:t xml:space="preserve">Contigs</w:t>
            </w:r>
          </w:p>
        </w:tc>
        <w:tc>
          <w:tcPr>
            <w:shd w:val="clear" w:color="auto" w:fill="DCE6F1"/>
          </w:tcPr>
          <w:p>
            <w:pPr>
              <w:pStyle w:val="Compact"/>
              <w:spacing w:before="0" w:after="0" w:line="240" w:lineRule="auto"/>
              <w:jc w:val="right"/>
            </w:pPr>
            <w:r>
              <w:rPr>
                <w:b/>
                <w:sz w:val="16"/>
              </w:rPr>
              <w:t xml:space="preserve">Assembly (Mb)</w:t>
            </w:r>
          </w:p>
        </w:tc>
        <w:tc>
          <w:tcPr>
            <w:shd w:val="clear" w:color="auto" w:fill="DCE6F1"/>
          </w:tcPr>
          <w:p>
            <w:pPr>
              <w:pStyle w:val="Compact"/>
              <w:spacing w:before="0" w:after="0" w:line="240" w:lineRule="auto"/>
              <w:jc w:val="right"/>
            </w:pPr>
            <w:r>
              <w:rPr>
                <w:b/>
                <w:sz w:val="16"/>
              </w:rPr>
              <w:t xml:space="preserve">N50 (kb)</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Panel markers</w:t>
            </w:r>
          </w:p>
        </w:tc>
        <w:tc>
          <w:tcPr>
            <w:shd w:val="clear" w:color="auto" w:fill="DCE6F1"/>
          </w:tcPr>
          <w:p>
            <w:pPr>
              <w:pStyle w:val="Compact"/>
              <w:spacing w:before="0" w:after="0" w:line="240" w:lineRule="auto"/>
              <w:jc w:val="center"/>
            </w:pPr>
            <w:r>
              <w:rPr>
                <w:b/>
                <w:sz w:val="16"/>
              </w:rPr>
              <w:t xml:space="preserve">Self-call</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185</w:t>
            </w:r>
          </w:p>
        </w:tc>
        <w:tc>
          <w:tcPr/>
          <w:p>
            <w:pPr>
              <w:pStyle w:val="Compact"/>
              <w:spacing w:before="0" w:after="0" w:line="240" w:lineRule="auto"/>
              <w:jc w:val="right"/>
            </w:pPr>
            <w:r>
              <w:rPr>
                <w:b w:val="0"/>
                <w:sz w:val="15"/>
              </w:rPr>
              <w:t xml:space="preserve">4.96</w:t>
            </w:r>
          </w:p>
        </w:tc>
        <w:tc>
          <w:tcPr/>
          <w:p>
            <w:pPr>
              <w:pStyle w:val="Compact"/>
              <w:spacing w:before="0" w:after="0" w:line="240" w:lineRule="auto"/>
              <w:jc w:val="right"/>
            </w:pPr>
            <w:r>
              <w:rPr>
                <w:b w:val="0"/>
                <w:sz w:val="15"/>
              </w:rPr>
              <w:t xml:space="preserve">240.0</w:t>
            </w:r>
          </w:p>
        </w:tc>
        <w:tc>
          <w:tcPr/>
          <w:p>
            <w:pPr>
              <w:pStyle w:val="Compact"/>
              <w:spacing w:before="0" w:after="0" w:line="240" w:lineRule="auto"/>
            </w:pPr>
            <w:r>
              <w:rPr>
                <w:b w:val="0"/>
                <w:sz w:val="15"/>
              </w:rPr>
              <w:t xml:space="preserve">C0</w:t>
            </w:r>
          </w:p>
        </w:tc>
        <w:tc>
          <w:tcPr/>
          <w:p>
            <w:pPr>
              <w:pStyle w:val="Compact"/>
              <w:spacing w:before="0" w:after="0" w:line="240" w:lineRule="auto"/>
              <w:jc w:val="right"/>
            </w:pPr>
            <w:r>
              <w:rPr>
                <w:b w:val="0"/>
                <w:sz w:val="15"/>
              </w:rPr>
              <w:t xml:space="preserve">7,786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448</w:t>
            </w:r>
          </w:p>
        </w:tc>
        <w:tc>
          <w:tcPr/>
          <w:p>
            <w:pPr>
              <w:pStyle w:val="Compact"/>
              <w:spacing w:before="0" w:after="0" w:line="240" w:lineRule="auto"/>
              <w:jc w:val="right"/>
            </w:pPr>
            <w:r>
              <w:rPr>
                <w:b w:val="0"/>
                <w:sz w:val="15"/>
              </w:rPr>
              <w:t xml:space="preserve">5.15</w:t>
            </w:r>
          </w:p>
        </w:tc>
        <w:tc>
          <w:tcPr/>
          <w:p>
            <w:pPr>
              <w:pStyle w:val="Compact"/>
              <w:spacing w:before="0" w:after="0" w:line="240" w:lineRule="auto"/>
              <w:jc w:val="right"/>
            </w:pPr>
            <w:r>
              <w:rPr>
                <w:b w:val="0"/>
                <w:sz w:val="15"/>
              </w:rPr>
              <w:t xml:space="preserve">222.6</w:t>
            </w:r>
          </w:p>
        </w:tc>
        <w:tc>
          <w:tcPr/>
          <w:p>
            <w:pPr>
              <w:pStyle w:val="Compact"/>
              <w:spacing w:before="0" w:after="0" w:line="240" w:lineRule="auto"/>
            </w:pPr>
            <w:r>
              <w:rPr>
                <w:b w:val="0"/>
                <w:sz w:val="15"/>
              </w:rPr>
              <w:t xml:space="preserve">C1</w:t>
            </w:r>
          </w:p>
        </w:tc>
        <w:tc>
          <w:tcPr/>
          <w:p>
            <w:pPr>
              <w:pStyle w:val="Compact"/>
              <w:spacing w:before="0" w:after="0" w:line="240" w:lineRule="auto"/>
              <w:jc w:val="right"/>
            </w:pPr>
            <w:r>
              <w:rPr>
                <w:b w:val="0"/>
                <w:sz w:val="15"/>
              </w:rPr>
              <w:t xml:space="preserve">5,466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457</w:t>
            </w:r>
          </w:p>
        </w:tc>
        <w:tc>
          <w:tcPr/>
          <w:p>
            <w:pPr>
              <w:pStyle w:val="Compact"/>
              <w:spacing w:before="0" w:after="0" w:line="240" w:lineRule="auto"/>
              <w:jc w:val="right"/>
            </w:pPr>
            <w:r>
              <w:rPr>
                <w:b w:val="0"/>
                <w:sz w:val="15"/>
              </w:rPr>
              <w:t xml:space="preserve">5.04</w:t>
            </w:r>
          </w:p>
        </w:tc>
        <w:tc>
          <w:tcPr/>
          <w:p>
            <w:pPr>
              <w:pStyle w:val="Compact"/>
              <w:spacing w:before="0" w:after="0" w:line="240" w:lineRule="auto"/>
              <w:jc w:val="right"/>
            </w:pPr>
            <w:r>
              <w:rPr>
                <w:b w:val="0"/>
                <w:sz w:val="15"/>
              </w:rPr>
              <w:t xml:space="preserve">159.2</w:t>
            </w:r>
          </w:p>
        </w:tc>
        <w:tc>
          <w:tcPr/>
          <w:p>
            <w:pPr>
              <w:pStyle w:val="Compact"/>
              <w:spacing w:before="0" w:after="0" w:line="240" w:lineRule="auto"/>
            </w:pPr>
            <w:r>
              <w:rPr>
                <w:b w:val="0"/>
                <w:sz w:val="15"/>
              </w:rPr>
              <w:t xml:space="preserve">C2</w:t>
            </w:r>
          </w:p>
        </w:tc>
        <w:tc>
          <w:tcPr/>
          <w:p>
            <w:pPr>
              <w:pStyle w:val="Compact"/>
              <w:spacing w:before="0" w:after="0" w:line="240" w:lineRule="auto"/>
              <w:jc w:val="right"/>
            </w:pPr>
            <w:r>
              <w:rPr>
                <w:b w:val="0"/>
                <w:sz w:val="15"/>
              </w:rPr>
              <w:t xml:space="preserve">5,665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LHCA43</w:t>
            </w:r>
          </w:p>
        </w:tc>
        <w:tc>
          <w:tcPr/>
          <w:p>
            <w:pPr>
              <w:pStyle w:val="Compact"/>
              <w:spacing w:before="0" w:after="0" w:line="240" w:lineRule="auto"/>
            </w:pPr>
            <w:r>
              <w:rPr>
                <w:b w:val="0"/>
                <w:i/>
                <w:iCs/>
                <w:sz w:val="15"/>
              </w:rPr>
              <w:t xml:space="preserve">Bifidobacterium longum</w:t>
            </w:r>
          </w:p>
        </w:tc>
        <w:tc>
          <w:tcPr/>
          <w:p>
            <w:pPr>
              <w:pStyle w:val="Compact"/>
              <w:spacing w:before="0" w:after="0" w:line="240" w:lineRule="auto"/>
              <w:jc w:val="right"/>
            </w:pPr>
            <w:r>
              <w:rPr>
                <w:b w:val="0"/>
                <w:sz w:val="15"/>
              </w:rPr>
              <w:t xml:space="preserve">164</w:t>
            </w:r>
          </w:p>
        </w:tc>
        <w:tc>
          <w:tcPr/>
          <w:p>
            <w:pPr>
              <w:pStyle w:val="Compact"/>
              <w:spacing w:before="0" w:after="0" w:line="240" w:lineRule="auto"/>
              <w:jc w:val="right"/>
            </w:pPr>
            <w:r>
              <w:rPr>
                <w:b w:val="0"/>
                <w:sz w:val="15"/>
              </w:rPr>
              <w:t xml:space="preserve">2.36</w:t>
            </w:r>
          </w:p>
        </w:tc>
        <w:tc>
          <w:tcPr/>
          <w:p>
            <w:pPr>
              <w:pStyle w:val="Compact"/>
              <w:spacing w:before="0" w:after="0" w:line="240" w:lineRule="auto"/>
              <w:jc w:val="right"/>
            </w:pPr>
            <w:r>
              <w:rPr>
                <w:b w:val="0"/>
                <w:sz w:val="15"/>
              </w:rPr>
              <w:t xml:space="preserve">55.6</w:t>
            </w:r>
          </w:p>
        </w:tc>
        <w:tc>
          <w:tcPr/>
          <w:p>
            <w:pPr>
              <w:pStyle w:val="Compact"/>
              <w:spacing w:before="0" w:after="0" w:line="240" w:lineRule="auto"/>
            </w:pPr>
            <w:r>
              <w:rPr>
                <w:b w:val="0"/>
                <w:sz w:val="15"/>
              </w:rPr>
              <w:t xml:space="preserve">LHCA43</w:t>
            </w:r>
          </w:p>
        </w:tc>
        <w:tc>
          <w:tcPr/>
          <w:p>
            <w:pPr>
              <w:pStyle w:val="Compact"/>
              <w:spacing w:before="0" w:after="0" w:line="240" w:lineRule="auto"/>
              <w:jc w:val="right"/>
            </w:pPr>
            <w:r>
              <w:rPr>
                <w:b w:val="0"/>
                <w:sz w:val="15"/>
              </w:rPr>
              <w:t xml:space="preserve">18,426</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LHCA81</w:t>
            </w:r>
          </w:p>
        </w:tc>
        <w:tc>
          <w:tcPr/>
          <w:p>
            <w:pPr>
              <w:pStyle w:val="Compact"/>
              <w:spacing w:before="0" w:after="0" w:line="240" w:lineRule="auto"/>
            </w:pPr>
            <w:r>
              <w:rPr>
                <w:b w:val="0"/>
                <w:i/>
                <w:iCs/>
                <w:sz w:val="15"/>
              </w:rPr>
              <w:t xml:space="preserve">Bifidobacterium breve</w:t>
            </w:r>
          </w:p>
        </w:tc>
        <w:tc>
          <w:tcPr/>
          <w:p>
            <w:pPr>
              <w:pStyle w:val="Compact"/>
              <w:spacing w:before="0" w:after="0" w:line="240" w:lineRule="auto"/>
              <w:jc w:val="right"/>
            </w:pPr>
            <w:r>
              <w:rPr>
                <w:b w:val="0"/>
                <w:sz w:val="15"/>
              </w:rPr>
              <w:t xml:space="preserve">90</w:t>
            </w:r>
          </w:p>
        </w:tc>
        <w:tc>
          <w:tcPr/>
          <w:p>
            <w:pPr>
              <w:pStyle w:val="Compact"/>
              <w:spacing w:before="0" w:after="0" w:line="240" w:lineRule="auto"/>
              <w:jc w:val="right"/>
            </w:pPr>
            <w:r>
              <w:rPr>
                <w:b w:val="0"/>
                <w:sz w:val="15"/>
              </w:rPr>
              <w:t xml:space="preserve">2.39</w:t>
            </w:r>
          </w:p>
        </w:tc>
        <w:tc>
          <w:tcPr/>
          <w:p>
            <w:pPr>
              <w:pStyle w:val="Compact"/>
              <w:spacing w:before="0" w:after="0" w:line="240" w:lineRule="auto"/>
              <w:jc w:val="right"/>
            </w:pPr>
            <w:r>
              <w:rPr>
                <w:b w:val="0"/>
                <w:sz w:val="15"/>
              </w:rPr>
              <w:t xml:space="preserve">228.3</w:t>
            </w:r>
          </w:p>
        </w:tc>
        <w:tc>
          <w:tcPr/>
          <w:p>
            <w:pPr>
              <w:pStyle w:val="Compact"/>
              <w:spacing w:before="0" w:after="0" w:line="240" w:lineRule="auto"/>
            </w:pPr>
            <w:r>
              <w:rPr>
                <w:b w:val="0"/>
                <w:sz w:val="15"/>
              </w:rPr>
              <w:t xml:space="preserve">LHCA81</w:t>
            </w:r>
          </w:p>
        </w:tc>
        <w:tc>
          <w:tcPr/>
          <w:p>
            <w:pPr>
              <w:pStyle w:val="Compact"/>
              <w:spacing w:before="0" w:after="0" w:line="240" w:lineRule="auto"/>
              <w:jc w:val="right"/>
            </w:pPr>
            <w:r>
              <w:rPr>
                <w:b w:val="0"/>
                <w:sz w:val="15"/>
              </w:rPr>
              <w:t xml:space="preserve">19,214</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jc w:val="right"/>
            </w:pPr>
            <w:r>
              <w:rPr>
                <w:b w:val="0"/>
                <w:sz w:val="15"/>
              </w:rPr>
              <w:t xml:space="preserve">180</w:t>
            </w:r>
          </w:p>
        </w:tc>
        <w:tc>
          <w:tcPr/>
          <w:p>
            <w:pPr>
              <w:pStyle w:val="Compact"/>
              <w:spacing w:before="0" w:after="0" w:line="240" w:lineRule="auto"/>
              <w:jc w:val="right"/>
            </w:pPr>
            <w:r>
              <w:rPr>
                <w:b w:val="0"/>
                <w:sz w:val="15"/>
              </w:rPr>
              <w:t xml:space="preserve">2.30</w:t>
            </w:r>
          </w:p>
        </w:tc>
        <w:tc>
          <w:tcPr/>
          <w:p>
            <w:pPr>
              <w:pStyle w:val="Compact"/>
              <w:spacing w:before="0" w:after="0" w:line="240" w:lineRule="auto"/>
              <w:jc w:val="right"/>
            </w:pPr>
            <w:r>
              <w:rPr>
                <w:b w:val="0"/>
                <w:sz w:val="15"/>
              </w:rPr>
              <w:t xml:space="preserve">75.6</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17,985</w:t>
            </w:r>
          </w:p>
        </w:tc>
        <w:tc>
          <w:tcPr/>
          <w:p>
            <w:pPr>
              <w:pStyle w:val="Compact"/>
              <w:spacing w:before="0" w:after="0" w:line="240" w:lineRule="auto"/>
              <w:jc w:val="center"/>
            </w:pPr>
            <w:r>
              <w:rPr>
                <w:b w:val="0"/>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jc w:val="right"/>
            </w:pPr>
            <w:r>
              <w:rPr>
                <w:b/>
                <w:sz w:val="16"/>
              </w:rPr>
              <w:t xml:space="preserve">Week</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Abundance</w:t>
            </w:r>
          </w:p>
        </w:tc>
        <w:tc>
          <w:tcPr>
            <w:shd w:val="clear" w:color="auto" w:fill="DCE6F1"/>
          </w:tcPr>
          <w:p>
            <w:pPr>
              <w:pStyle w:val="Compact"/>
              <w:spacing w:before="0" w:after="0" w:line="240" w:lineRule="auto"/>
              <w:jc w:val="right"/>
            </w:pPr>
            <w:r>
              <w:rPr>
                <w:b/>
                <w:sz w:val="16"/>
              </w:rPr>
              <w:t xml:space="preserve">Fraction of sample</w:t>
            </w:r>
          </w:p>
        </w:tc>
      </w:tr>
      <w:tr>
        <w:trPr>
          <w:cantSplit/>
        </w:trPr>
        <w:tc>
          <w:tcPr/>
          <w:p>
            <w:pPr>
              <w:pStyle w:val="Compact"/>
              <w:spacing w:before="0" w:after="0" w:line="240" w:lineRule="auto"/>
              <w:jc w:val="right"/>
            </w:pPr>
            <w:r>
              <w:rPr>
                <w:b w:val="0"/>
                <w:sz w:val="15"/>
              </w:rPr>
              <w:t xml:space="preserve">W1</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0.764</w:t>
            </w:r>
          </w:p>
        </w:tc>
        <w:tc>
          <w:tcPr/>
          <w:p>
            <w:pPr>
              <w:pStyle w:val="Compact"/>
              <w:spacing w:before="0" w:after="0" w:line="240" w:lineRule="auto"/>
              <w:jc w:val="right"/>
            </w:pPr>
            <w:r>
              <w:rPr>
                <w:b w:val="0"/>
                <w:sz w:val="15"/>
              </w:rPr>
              <w:t xml:space="preserve">236.7</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0.6456</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0.773</w:t>
            </w:r>
          </w:p>
        </w:tc>
        <w:tc>
          <w:tcPr/>
          <w:p>
            <w:pPr>
              <w:pStyle w:val="Compact"/>
              <w:spacing w:before="0" w:after="0" w:line="240" w:lineRule="auto"/>
              <w:jc w:val="right"/>
            </w:pPr>
            <w:r>
              <w:rPr>
                <w:b w:val="0"/>
                <w:sz w:val="15"/>
              </w:rPr>
              <w:t xml:space="preserve">213.9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0.5834</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pPr>
            <w:r>
              <w:rPr>
                <w:b w:val="0"/>
                <w:sz w:val="15"/>
              </w:rPr>
              <w:t xml:space="preserve">C0|C1|C2</w:t>
            </w:r>
          </w:p>
        </w:tc>
        <w:tc>
          <w:tcPr/>
          <w:p>
            <w:pPr>
              <w:pStyle w:val="Compact"/>
              <w:spacing w:before="0" w:after="0" w:line="240" w:lineRule="auto"/>
              <w:jc w:val="right"/>
            </w:pPr>
            <w:r>
              <w:rPr>
                <w:b w:val="0"/>
                <w:sz w:val="15"/>
              </w:rPr>
              <w:t xml:space="preserve">0.026</w:t>
            </w:r>
          </w:p>
        </w:tc>
        <w:tc>
          <w:tcPr/>
          <w:p>
            <w:pPr>
              <w:pStyle w:val="Compact"/>
              <w:spacing w:before="0" w:after="0" w:line="240" w:lineRule="auto"/>
              <w:jc w:val="right"/>
            </w:pPr>
            <w:r>
              <w:rPr>
                <w:b w:val="0"/>
                <w:sz w:val="15"/>
              </w:rPr>
              <w:t xml:space="preserve">0.029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0.000140</w:t>
            </w:r>
          </w:p>
        </w:tc>
      </w:tr>
      <w:tr>
        <w:trPr>
          <w:cantSplit/>
        </w:trPr>
        <w:tc>
          <w:tcPr/>
          <w:p>
            <w:pPr>
              <w:pStyle w:val="Compact"/>
              <w:spacing w:before="0" w:after="0" w:line="240" w:lineRule="auto"/>
              <w:jc w:val="right"/>
            </w:pPr>
            <w:r>
              <w:rPr>
                <w:b w:val="0"/>
                <w:sz w:val="15"/>
              </w:rPr>
              <w:t xml:space="preserve">W3</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0.792</w:t>
            </w:r>
          </w:p>
        </w:tc>
        <w:tc>
          <w:tcPr/>
          <w:p>
            <w:pPr>
              <w:pStyle w:val="Compact"/>
              <w:spacing w:before="0" w:after="0" w:line="240" w:lineRule="auto"/>
              <w:jc w:val="right"/>
            </w:pPr>
            <w:r>
              <w:rPr>
                <w:b w:val="0"/>
                <w:sz w:val="15"/>
              </w:rPr>
              <w:t xml:space="preserve">238.2</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Held-out isolate</w:t>
            </w:r>
          </w:p>
        </w:tc>
        <w:tc>
          <w:tcPr>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Fraction of sample</w:t>
            </w:r>
          </w:p>
        </w:tc>
        <w:tc>
          <w:tcPr>
            <w:shd w:val="clear" w:color="auto" w:fill="DCE6F1"/>
          </w:tcPr>
          <w:p>
            <w:pPr>
              <w:pStyle w:val="Compact"/>
              <w:spacing w:before="0" w:after="0" w:line="240" w:lineRule="auto"/>
            </w:pPr>
            <w:r>
              <w:rPr>
                <w:b/>
                <w:sz w:val="16"/>
              </w:rPr>
              <w:t xml:space="preserve">Interpretation</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0.799</w:t>
            </w:r>
          </w:p>
        </w:tc>
        <w:tc>
          <w:tcPr/>
          <w:p>
            <w:pPr>
              <w:pStyle w:val="Compact"/>
              <w:spacing w:before="0" w:after="0" w:line="240" w:lineRule="auto"/>
              <w:jc w:val="right"/>
            </w:pPr>
            <w:r>
              <w:rPr>
                <w:b w:val="0"/>
                <w:sz w:val="15"/>
              </w:rPr>
              <w:t xml:space="preserve">7.87</w:t>
            </w:r>
          </w:p>
        </w:tc>
        <w:tc>
          <w:tcPr/>
          <w:p>
            <w:pPr>
              <w:pStyle w:val="Compact"/>
              <w:spacing w:before="0" w:after="0" w:line="240" w:lineRule="auto"/>
              <w:jc w:val="right"/>
            </w:pPr>
            <w:r>
              <w:rPr>
                <w:b w:val="0"/>
                <w:sz w:val="15"/>
              </w:rPr>
              <w:t xml:space="preserve">0.612</w:t>
            </w:r>
          </w:p>
        </w:tc>
        <w:tc>
          <w:tcPr/>
          <w:p>
            <w:pPr>
              <w:pStyle w:val="Compact"/>
              <w:spacing w:before="0" w:after="0" w:line="240" w:lineRule="auto"/>
            </w:pPr>
            <w:r>
              <w:rPr>
                <w:b w:val="0"/>
                <w:sz w:val="15"/>
              </w:rPr>
              <w:t xml:space="preserve">Reads from the absent isolate were assigned to merged relatives rather than creating a false third cluster.</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0.911</w:t>
            </w:r>
          </w:p>
        </w:tc>
        <w:tc>
          <w:tcPr/>
          <w:p>
            <w:pPr>
              <w:pStyle w:val="Compact"/>
              <w:spacing w:before="0" w:after="0" w:line="240" w:lineRule="auto"/>
              <w:jc w:val="right"/>
            </w:pPr>
            <w:r>
              <w:rPr>
                <w:b w:val="0"/>
                <w:sz w:val="15"/>
              </w:rPr>
              <w:t xml:space="preserve">10.55</w:t>
            </w:r>
          </w:p>
        </w:tc>
        <w:tc>
          <w:tcPr/>
          <w:p>
            <w:pPr>
              <w:pStyle w:val="Compact"/>
              <w:spacing w:before="0" w:after="0" w:line="240" w:lineRule="auto"/>
              <w:jc w:val="right"/>
            </w:pPr>
            <w:r>
              <w:rPr>
                <w:b w:val="0"/>
                <w:sz w:val="15"/>
              </w:rPr>
              <w:t xml:space="preserve">0.649</w:t>
            </w:r>
          </w:p>
        </w:tc>
        <w:tc>
          <w:tcPr/>
          <w:p>
            <w:pPr>
              <w:pStyle w:val="Compact"/>
              <w:spacing w:before="0" w:after="0" w:line="240" w:lineRule="auto"/>
            </w:pPr>
            <w:r>
              <w:rPr>
                <w:b w:val="0"/>
                <w:sz w:val="15"/>
              </w:rPr>
              <w:t xml:space="preserve">Same conspecific-assignment behaviour.</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0.891</w:t>
            </w:r>
          </w:p>
        </w:tc>
        <w:tc>
          <w:tcPr/>
          <w:p>
            <w:pPr>
              <w:pStyle w:val="Compact"/>
              <w:spacing w:before="0" w:after="0" w:line="240" w:lineRule="auto"/>
              <w:jc w:val="right"/>
            </w:pPr>
            <w:r>
              <w:rPr>
                <w:b w:val="0"/>
                <w:sz w:val="15"/>
              </w:rPr>
              <w:t xml:space="preserve">7.25</w:t>
            </w:r>
          </w:p>
        </w:tc>
        <w:tc>
          <w:tcPr/>
          <w:p>
            <w:pPr>
              <w:pStyle w:val="Compact"/>
              <w:spacing w:before="0" w:after="0" w:line="240" w:lineRule="auto"/>
              <w:jc w:val="right"/>
            </w:pPr>
            <w:r>
              <w:rPr>
                <w:b w:val="0"/>
                <w:sz w:val="15"/>
              </w:rPr>
              <w:t xml:space="preserve">0.729</w:t>
            </w:r>
          </w:p>
        </w:tc>
        <w:tc>
          <w:tcPr/>
          <w:p>
            <w:pPr>
              <w:pStyle w:val="Compact"/>
              <w:spacing w:before="0" w:after="0" w:line="240" w:lineRule="auto"/>
            </w:pPr>
            <w:r>
              <w:rPr>
                <w:b w:val="0"/>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shd w:val="clear" w:color="auto" w:fill="DCE6F1"/>
          </w:tcPr>
          <w:p>
            <w:pPr>
              <w:pStyle w:val="Compact"/>
              <w:spacing w:before="0" w:after="0" w:line="240" w:lineRule="auto"/>
            </w:pPr>
            <w:r>
              <w:rPr>
                <w:b/>
                <w:sz w:val="17"/>
              </w:rPr>
              <w:t xml:space="preserve">Tool</w:t>
            </w:r>
          </w:p>
        </w:tc>
        <w:tc>
          <w:tcPr>
            <w:shd w:val="clear" w:color="auto" w:fill="DCE6F1"/>
          </w:tcPr>
          <w:p>
            <w:pPr>
              <w:pStyle w:val="Compact"/>
              <w:spacing w:before="0" w:after="0" w:line="240" w:lineRule="auto"/>
              <w:jc w:val="center"/>
            </w:pPr>
            <w:r>
              <w:rPr>
                <w:b/>
                <w:sz w:val="17"/>
              </w:rPr>
              <w:t xml:space="preserve">Executed here</w:t>
            </w:r>
          </w:p>
        </w:tc>
        <w:tc>
          <w:tcPr>
            <w:shd w:val="clear" w:color="auto" w:fill="DCE6F1"/>
          </w:tcPr>
          <w:p>
            <w:pPr>
              <w:pStyle w:val="Compact"/>
              <w:spacing w:before="0" w:after="0" w:line="240" w:lineRule="auto"/>
            </w:pPr>
            <w:r>
              <w:rPr>
                <w:b/>
                <w:sz w:val="17"/>
              </w:rPr>
              <w:t xml:space="preserve">Input scope</w:t>
            </w:r>
          </w:p>
        </w:tc>
        <w:tc>
          <w:tcPr>
            <w:shd w:val="clear" w:color="auto" w:fill="DCE6F1"/>
          </w:tcPr>
          <w:p>
            <w:pPr>
              <w:pStyle w:val="Compact"/>
              <w:spacing w:before="0" w:after="0" w:line="240" w:lineRule="auto"/>
            </w:pPr>
            <w:r>
              <w:rPr>
                <w:b/>
                <w:sz w:val="17"/>
              </w:rPr>
              <w:t xml:space="preserve">Typical resolution</w:t>
            </w:r>
          </w:p>
        </w:tc>
        <w:tc>
          <w:tcPr>
            <w:shd w:val="clear" w:color="auto" w:fill="DCE6F1"/>
          </w:tcPr>
          <w:p>
            <w:pPr>
              <w:pStyle w:val="Compact"/>
              <w:spacing w:before="0" w:after="0" w:line="240" w:lineRule="auto"/>
            </w:pPr>
            <w:r>
              <w:rPr>
                <w:b/>
                <w:sz w:val="17"/>
              </w:rPr>
              <w:t xml:space="preserve">Scope and role</w:t>
            </w:r>
          </w:p>
        </w:tc>
      </w:tr>
      <w:tr>
        <w:trPr>
          <w:cantSplit/>
        </w:trPr>
        <w:tc>
          <w:tcPr/>
          <w:p>
            <w:pPr>
              <w:pStyle w:val="Compact"/>
              <w:spacing w:before="0" w:after="0" w:line="240" w:lineRule="auto"/>
            </w:pPr>
            <w:r>
              <w:rPr>
                <w:b w:val="0"/>
                <w:sz w:val="16"/>
              </w:rPr>
              <w:t xml:space="preserve">Strain2bScan</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Native BcgI 2bRAD reads and in-silico-digested shotgun reads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Method under test; one marker framework supports both reduced-representation and shotgun input.</w:t>
            </w:r>
          </w:p>
        </w:tc>
      </w:tr>
      <w:tr>
        <w:trPr>
          <w:cantSplit/>
        </w:trPr>
        <w:tc>
          <w:tcPr/>
          <w:p>
            <w:pPr>
              <w:pStyle w:val="Compact"/>
              <w:spacing w:before="0" w:after="0" w:line="240" w:lineRule="auto"/>
            </w:pPr>
            <w:r>
              <w:rPr>
                <w:b w:val="0"/>
                <w:sz w:val="16"/>
              </w:rPr>
              <w:t xml:space="preserve">StrainScan v1.0.14</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against per-species reference databases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Direct reference-guided comparator on shotgun reads (Fig 8, Fig 10, Supplementary Fig S5; Tables 1–3).</w:t>
            </w:r>
          </w:p>
        </w:tc>
      </w:tr>
      <w:tr>
        <w:trPr>
          <w:cantSplit/>
        </w:trPr>
        <w:tc>
          <w:tcPr/>
          <w:p>
            <w:pPr>
              <w:pStyle w:val="Compact"/>
              <w:spacing w:before="0" w:after="0" w:line="240" w:lineRule="auto"/>
            </w:pPr>
            <w:r>
              <w:rPr>
                <w:b w:val="0"/>
                <w:sz w:val="16"/>
              </w:rPr>
              <w:t xml:space="preserve">inStrain v1.9.1 (mocks) and v1.11.0 (simulations)</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aligned to dereplicated mock references or full species simulation pools</w:t>
            </w:r>
          </w:p>
        </w:tc>
        <w:tc>
          <w:tcPr/>
          <w:p>
            <w:pPr>
              <w:pStyle w:val="Compact"/>
              <w:spacing w:before="0" w:after="0" w:line="240" w:lineRule="auto"/>
            </w:pPr>
            <w:r>
              <w:rPr>
                <w:b w:val="0"/>
                <w:sz w:val="16"/>
              </w:rPr>
              <w:t xml:space="preserve">Strain, SNV and genome coverage</w:t>
            </w:r>
          </w:p>
        </w:tc>
        <w:tc>
          <w:tcPr/>
          <w:p>
            <w:pPr>
              <w:pStyle w:val="Compact"/>
              <w:spacing w:before="0" w:after="0" w:line="240" w:lineRule="auto"/>
            </w:pPr>
            <w:r>
              <w:rPr>
                <w:b w:val="0"/>
                <w:sz w:val="16"/>
              </w:rPr>
              <w:t xml:space="preserve">Direct read-level shotgun comparator (Fig 8, Fig 10, Fig S4; simulation outputs in</w:t>
            </w:r>
            <w:r>
              <w:rPr>
                <w:b w:val="0"/>
                <w:sz w:val="16"/>
              </w:rPr>
              <w:t xml:space="preserve"> </w:t>
            </w:r>
            <w:r>
              <w:rPr>
                <w:rStyle w:val="VerbatimChar"/>
                <w:b w:val="0"/>
                <w:sz w:val="16"/>
              </w:rPr>
              <w:t xml:space="preserve">results/instrain_sim225/</w:t>
            </w:r>
            <w:r>
              <w:rPr>
                <w:b w:val="0"/>
                <w:sz w:val="16"/>
              </w:rPr>
              <w:t xml:space="preserve">).</w:t>
            </w:r>
          </w:p>
        </w:tc>
      </w:tr>
      <w:tr>
        <w:trPr>
          <w:cantSplit/>
        </w:trPr>
        <w:tc>
          <w:tcPr/>
          <w:p>
            <w:pPr>
              <w:pStyle w:val="Compact"/>
              <w:spacing w:before="0" w:after="0" w:line="240" w:lineRule="auto"/>
            </w:pPr>
            <w:r>
              <w:rPr>
                <w:b w:val="0"/>
                <w:sz w:val="16"/>
              </w:rPr>
              <w:t xml:space="preserve">StrainGE / StrainGST / StrainGR</w:t>
            </w:r>
          </w:p>
        </w:tc>
        <w:tc>
          <w:tcPr/>
          <w:p>
            <w:pPr>
              <w:pStyle w:val="Compact"/>
              <w:spacing w:before="0" w:after="0" w:line="240" w:lineRule="auto"/>
              <w:jc w:val="center"/>
            </w:pPr>
            <w:r>
              <w:rPr>
                <w:b w:val="0"/>
                <w:sz w:val="16"/>
              </w:rPr>
              <w:t xml:space="preserve">StrainGST only</w:t>
            </w:r>
          </w:p>
        </w:tc>
        <w:tc>
          <w:tcPr/>
          <w:p>
            <w:pPr>
              <w:pStyle w:val="Compact"/>
              <w:spacing w:before="0" w:after="0" w:line="240" w:lineRule="auto"/>
            </w:pPr>
            <w:r>
              <w:rPr>
                <w:b w:val="0"/>
                <w:sz w:val="16"/>
              </w:rPr>
              <w:t xml:space="preserve">Shotgun WMS reads against StrainGE 0.90-reference databases; native BcgI 2bRAD is not documented input</w:t>
            </w:r>
          </w:p>
        </w:tc>
        <w:tc>
          <w:tcPr/>
          <w:p>
            <w:pPr>
              <w:pStyle w:val="Compact"/>
              <w:spacing w:before="0" w:after="0" w:line="240" w:lineRule="auto"/>
            </w:pPr>
            <w:r>
              <w:rPr>
                <w:b w:val="0"/>
                <w:sz w:val="16"/>
              </w:rPr>
              <w:t xml:space="preserve">Strain level, reference guided</w:t>
            </w:r>
          </w:p>
        </w:tc>
        <w:tc>
          <w:tcPr/>
          <w:p>
            <w:pPr>
              <w:pStyle w:val="Compact"/>
              <w:spacing w:before="0" w:after="0" w:line="240" w:lineRule="auto"/>
            </w:pPr>
            <w:r>
              <w:rPr>
                <w:b w:val="0"/>
                <w:sz w:val="16"/>
              </w:rPr>
              <w:t xml:space="preserve">StrainGST completed 225 single-species simulations, 12 multi-species communities and four ATCC WMS mocks (Tables 1–3 and 9); StrainGR was not run.</w:t>
            </w:r>
          </w:p>
        </w:tc>
      </w:tr>
      <w:tr>
        <w:trPr>
          <w:cantSplit/>
        </w:trPr>
        <w:tc>
          <w:tcPr/>
          <w:p>
            <w:pPr>
              <w:pStyle w:val="Compact"/>
              <w:spacing w:before="0" w:after="0" w:line="240" w:lineRule="auto"/>
            </w:pPr>
            <w:r>
              <w:rPr>
                <w:b w:val="0"/>
                <w:sz w:val="16"/>
              </w:rPr>
              <w:t xml:space="preserve">2bRAD-M / Fast2bRAD-M</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Native BcgI 2bRAD reads</w:t>
            </w:r>
          </w:p>
        </w:tc>
        <w:tc>
          <w:tcPr/>
          <w:p>
            <w:pPr>
              <w:pStyle w:val="Compact"/>
              <w:spacing w:before="0" w:after="0" w:line="240" w:lineRule="auto"/>
            </w:pPr>
            <w:r>
              <w:rPr>
                <w:b w:val="0"/>
                <w:sz w:val="16"/>
              </w:rPr>
              <w:t xml:space="preserve">Mainly species</w:t>
            </w:r>
          </w:p>
        </w:tc>
        <w:tc>
          <w:tcPr/>
          <w:p>
            <w:pPr>
              <w:pStyle w:val="Compact"/>
              <w:spacing w:before="0" w:after="0" w:line="240" w:lineRule="auto"/>
            </w:pPr>
            <w:r>
              <w:rPr>
                <w:b w:val="0"/>
                <w:sz w:val="16"/>
              </w:rPr>
              <w:t xml:space="preserve">Same restriction-assay family; provides the species-level upstream context for Strain2bScan.</w:t>
            </w:r>
          </w:p>
        </w:tc>
      </w:tr>
      <w:tr>
        <w:trPr>
          <w:cantSplit/>
        </w:trPr>
        <w:tc>
          <w:tcPr/>
          <w:p>
            <w:pPr>
              <w:pStyle w:val="Compact"/>
              <w:spacing w:before="0" w:after="0" w:line="240" w:lineRule="auto"/>
            </w:pPr>
            <w:r>
              <w:rPr>
                <w:b w:val="0"/>
                <w:sz w:val="16"/>
              </w:rPr>
              <w:t xml:space="preserve">sylph</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sketches</w:t>
            </w:r>
          </w:p>
        </w:tc>
        <w:tc>
          <w:tcPr/>
          <w:p>
            <w:pPr>
              <w:pStyle w:val="Compact"/>
              <w:spacing w:before="0" w:after="0" w:line="240" w:lineRule="auto"/>
            </w:pPr>
            <w:r>
              <w:rPr>
                <w:b w:val="0"/>
                <w:sz w:val="16"/>
              </w:rPr>
              <w:t xml:space="preserve">Mainly species and ANI</w:t>
            </w:r>
          </w:p>
        </w:tc>
        <w:tc>
          <w:tcPr/>
          <w:p>
            <w:pPr>
              <w:pStyle w:val="Compact"/>
              <w:spacing w:before="0" w:after="0" w:line="240" w:lineRule="auto"/>
            </w:pPr>
            <w:r>
              <w:rPr>
                <w:b w:val="0"/>
                <w:sz w:val="16"/>
              </w:rPr>
              <w:t xml:space="preserve">Context for rapid species-level profiling; not a strain-resolved benchmark here.</w:t>
            </w:r>
          </w:p>
        </w:tc>
      </w:tr>
      <w:tr>
        <w:trPr>
          <w:cantSplit/>
        </w:trPr>
        <w:tc>
          <w:tcPr/>
          <w:p>
            <w:pPr>
              <w:pStyle w:val="Compact"/>
              <w:spacing w:before="0" w:after="0" w:line="240" w:lineRule="auto"/>
            </w:pPr>
            <w:r>
              <w:rPr>
                <w:b w:val="0"/>
                <w:sz w:val="16"/>
              </w:rPr>
              <w:t xml:space="preserve">StrainPhlAn</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marker genes</w:t>
            </w:r>
          </w:p>
        </w:tc>
        <w:tc>
          <w:tcPr/>
          <w:p>
            <w:pPr>
              <w:pStyle w:val="Compact"/>
              <w:spacing w:before="0" w:after="0" w:line="240" w:lineRule="auto"/>
            </w:pPr>
            <w:r>
              <w:rPr>
                <w:b w:val="0"/>
                <w:sz w:val="16"/>
              </w:rPr>
              <w:t xml:space="preserve">Strain types</w:t>
            </w:r>
          </w:p>
        </w:tc>
        <w:tc>
          <w:tcPr/>
          <w:p>
            <w:pPr>
              <w:pStyle w:val="Compact"/>
              <w:spacing w:before="0" w:after="0" w:line="240" w:lineRule="auto"/>
            </w:pPr>
            <w:r>
              <w:rPr>
                <w:b w:val="0"/>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10;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Dataset</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right"/>
            </w:pPr>
            <w:r>
              <w:rPr>
                <w:b/>
                <w:sz w:val="16"/>
              </w:rPr>
              <w:t xml:space="preserve">Precision</w:t>
            </w:r>
          </w:p>
        </w:tc>
        <w:tc>
          <w:tcPr>
            <w:shd w:val="clear" w:color="auto" w:fill="DCE6F1"/>
          </w:tcPr>
          <w:p>
            <w:pPr>
              <w:pStyle w:val="Compact"/>
              <w:spacing w:before="0" w:after="0" w:line="240" w:lineRule="auto"/>
              <w:jc w:val="right"/>
            </w:pPr>
            <w:r>
              <w:rPr>
                <w:b/>
                <w:sz w:val="16"/>
              </w:rPr>
              <w:t xml:space="preserve">Recall</w:t>
            </w:r>
          </w:p>
        </w:tc>
        <w:tc>
          <w:tcPr>
            <w:shd w:val="clear" w:color="auto" w:fill="DCE6F1"/>
          </w:tcPr>
          <w:p>
            <w:pPr>
              <w:pStyle w:val="Compact"/>
              <w:spacing w:before="0" w:after="0" w:line="240" w:lineRule="auto"/>
              <w:jc w:val="right"/>
            </w:pPr>
            <w:r>
              <w:rPr>
                <w:b/>
                <w:sz w:val="16"/>
              </w:rPr>
              <w:t xml:space="preserve">F1</w:t>
            </w:r>
          </w:p>
        </w:tc>
        <w:tc>
          <w:tcPr>
            <w:shd w:val="clear" w:color="auto" w:fill="DCE6F1"/>
          </w:tcPr>
          <w:p>
            <w:pPr>
              <w:pStyle w:val="Compact"/>
              <w:spacing w:before="0" w:after="0" w:line="240" w:lineRule="auto"/>
              <w:jc w:val="right"/>
            </w:pPr>
            <w:r>
              <w:rPr>
                <w:b/>
                <w:sz w:val="16"/>
              </w:rPr>
              <w:t xml:space="preserve">Median wall time/sample (s)</w:t>
            </w:r>
          </w:p>
        </w:tc>
        <w:tc>
          <w:tcPr>
            <w:shd w:val="clear" w:color="auto" w:fill="DCE6F1"/>
          </w:tcPr>
          <w:p>
            <w:pPr>
              <w:pStyle w:val="Compact"/>
              <w:spacing w:before="0" w:after="0" w:line="240" w:lineRule="auto"/>
              <w:jc w:val="right"/>
            </w:pPr>
            <w:r>
              <w:rPr>
                <w:b/>
                <w:sz w:val="16"/>
              </w:rPr>
              <w:t xml:space="preserve">Median peak RSS/sample (GB)</w:t>
            </w:r>
          </w:p>
        </w:tc>
      </w:tr>
      <w:tr>
        <w:trPr>
          <w:cantSplit/>
        </w:trPr>
        <w:tc>
          <w:tcPr/>
          <w:p>
            <w:pPr>
              <w:pStyle w:val="Compact"/>
              <w:spacing w:before="0" w:after="0" w:line="240" w:lineRule="auto"/>
            </w:pPr>
            <w:r>
              <w:rPr>
                <w:b w:val="0"/>
                <w:sz w:val="15"/>
              </w:rPr>
              <w:t xml:space="preserve">Simulated single-species</w:t>
            </w:r>
          </w:p>
        </w:tc>
        <w:tc>
          <w:tcPr/>
          <w:p>
            <w:pPr>
              <w:pStyle w:val="Compact"/>
              <w:spacing w:before="0" w:after="0" w:line="240" w:lineRule="auto"/>
              <w:jc w:val="right"/>
            </w:pPr>
            <w:r>
              <w:rPr>
                <w:b w:val="0"/>
                <w:sz w:val="15"/>
              </w:rPr>
              <w:t xml:space="preserve">225</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18.66</w:t>
            </w:r>
          </w:p>
        </w:tc>
        <w:tc>
          <w:tcPr/>
          <w:p>
            <w:pPr>
              <w:pStyle w:val="Compact"/>
              <w:spacing w:before="0" w:after="0" w:line="240" w:lineRule="auto"/>
              <w:jc w:val="right"/>
            </w:pPr>
            <w:r>
              <w:rPr>
                <w:b w:val="0"/>
                <w:sz w:val="15"/>
              </w:rPr>
              <w:t xml:space="preserve">1.30</w:t>
            </w:r>
          </w:p>
        </w:tc>
      </w:tr>
      <w:tr>
        <w:trPr>
          <w:cantSplit/>
        </w:trPr>
        <w:tc>
          <w:tcPr/>
          <w:p>
            <w:pPr>
              <w:pStyle w:val="Compact"/>
              <w:spacing w:before="0" w:after="0" w:line="240" w:lineRule="auto"/>
            </w:pPr>
            <w:r>
              <w:rPr>
                <w:b w:val="0"/>
                <w:sz w:val="15"/>
              </w:rPr>
              <w:t xml:space="preserve">Simulated multi-species</w:t>
            </w:r>
          </w:p>
        </w:tc>
        <w:tc>
          <w:tcPr/>
          <w:p>
            <w:pPr>
              <w:pStyle w:val="Compact"/>
              <w:spacing w:before="0" w:after="0" w:line="240" w:lineRule="auto"/>
              <w:jc w:val="right"/>
            </w:pPr>
            <w:r>
              <w:rPr>
                <w:b w:val="0"/>
                <w:sz w:val="15"/>
              </w:rPr>
              <w:t xml:space="preserve">12</w:t>
            </w:r>
          </w:p>
        </w:tc>
        <w:tc>
          <w:tcPr/>
          <w:p>
            <w:pPr>
              <w:pStyle w:val="Compact"/>
              <w:spacing w:before="0" w:after="0" w:line="240" w:lineRule="auto"/>
              <w:jc w:val="right"/>
            </w:pPr>
            <w:r>
              <w:rPr>
                <w:b w:val="0"/>
                <w:sz w:val="15"/>
              </w:rPr>
              <w:t xml:space="preserve">0.901</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0.941</w:t>
            </w:r>
          </w:p>
        </w:tc>
        <w:tc>
          <w:tcPr/>
          <w:p>
            <w:pPr>
              <w:pStyle w:val="Compact"/>
              <w:spacing w:before="0" w:after="0" w:line="240" w:lineRule="auto"/>
              <w:jc w:val="right"/>
            </w:pPr>
            <w:r>
              <w:rPr>
                <w:b w:val="0"/>
                <w:sz w:val="15"/>
              </w:rPr>
              <w:t xml:space="preserve">236.98</w:t>
            </w:r>
          </w:p>
        </w:tc>
        <w:tc>
          <w:tcPr/>
          <w:p>
            <w:pPr>
              <w:pStyle w:val="Compact"/>
              <w:spacing w:before="0" w:after="0" w:line="240" w:lineRule="auto"/>
              <w:jc w:val="right"/>
            </w:pPr>
            <w:r>
              <w:rPr>
                <w:b w:val="0"/>
                <w:sz w:val="15"/>
              </w:rPr>
              <w:t xml:space="preserve">7.90</w:t>
            </w:r>
          </w:p>
        </w:tc>
      </w:tr>
      <w:tr>
        <w:trPr>
          <w:cantSplit/>
        </w:trPr>
        <w:tc>
          <w:tcPr/>
          <w:p>
            <w:pPr>
              <w:pStyle w:val="Compact"/>
              <w:spacing w:before="0" w:after="0" w:line="240" w:lineRule="auto"/>
            </w:pPr>
            <w:r>
              <w:rPr>
                <w:b w:val="0"/>
                <w:sz w:val="15"/>
              </w:rPr>
              <w:t xml:space="preserve">MSA-1002, 99% host</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1007.22</w:t>
            </w:r>
          </w:p>
        </w:tc>
        <w:tc>
          <w:tcPr/>
          <w:p>
            <w:pPr>
              <w:pStyle w:val="Compact"/>
              <w:spacing w:before="0" w:after="0" w:line="240" w:lineRule="auto"/>
              <w:jc w:val="right"/>
            </w:pPr>
            <w:r>
              <w:rPr>
                <w:b w:val="0"/>
                <w:sz w:val="15"/>
              </w:rPr>
              <w:t xml:space="preserve">14.36</w:t>
            </w:r>
          </w:p>
        </w:tc>
      </w:tr>
      <w:tr>
        <w:trPr>
          <w:cantSplit/>
        </w:trPr>
        <w:tc>
          <w:tcPr/>
          <w:p>
            <w:pPr>
              <w:pStyle w:val="Compact"/>
              <w:spacing w:before="0" w:after="0" w:line="240" w:lineRule="auto"/>
            </w:pPr>
            <w:r>
              <w:rPr>
                <w:b w:val="0"/>
                <w:sz w:val="15"/>
              </w:rPr>
              <w:t xml:space="preserve">MSA-1003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0.464</w:t>
            </w:r>
          </w:p>
        </w:tc>
        <w:tc>
          <w:tcPr/>
          <w:p>
            <w:pPr>
              <w:pStyle w:val="Compact"/>
              <w:spacing w:before="0" w:after="0" w:line="240" w:lineRule="auto"/>
              <w:jc w:val="right"/>
            </w:pPr>
            <w:r>
              <w:rPr>
                <w:b w:val="0"/>
                <w:sz w:val="15"/>
              </w:rPr>
              <w:t xml:space="preserve">0.650</w:t>
            </w:r>
          </w:p>
        </w:tc>
        <w:tc>
          <w:tcPr/>
          <w:p>
            <w:pPr>
              <w:pStyle w:val="Compact"/>
              <w:spacing w:before="0" w:after="0" w:line="240" w:lineRule="auto"/>
              <w:jc w:val="right"/>
            </w:pPr>
            <w:r>
              <w:rPr>
                <w:b w:val="0"/>
                <w:sz w:val="15"/>
              </w:rPr>
              <w:t xml:space="preserve">0.542</w:t>
            </w:r>
          </w:p>
        </w:tc>
        <w:tc>
          <w:tcPr/>
          <w:p>
            <w:pPr>
              <w:pStyle w:val="Compact"/>
              <w:spacing w:before="0" w:after="0" w:line="240" w:lineRule="auto"/>
              <w:jc w:val="right"/>
            </w:pPr>
            <w:r>
              <w:rPr>
                <w:b w:val="0"/>
                <w:sz w:val="15"/>
              </w:rPr>
              <w:t xml:space="preserve">2158.75</w:t>
            </w:r>
          </w:p>
        </w:tc>
        <w:tc>
          <w:tcPr/>
          <w:p>
            <w:pPr>
              <w:pStyle w:val="Compact"/>
              <w:spacing w:before="0" w:after="0" w:line="240" w:lineRule="auto"/>
              <w:jc w:val="right"/>
            </w:pPr>
            <w:r>
              <w:rPr>
                <w:b w:val="0"/>
                <w:sz w:val="15"/>
              </w:rPr>
              <w:t xml:space="preserve">21.52</w:t>
            </w:r>
          </w:p>
        </w:tc>
      </w:tr>
      <w:tr>
        <w:trPr>
          <w:cantSplit/>
        </w:trPr>
        <w:tc>
          <w:tcPr/>
          <w:p>
            <w:pPr>
              <w:pStyle w:val="Compact"/>
              <w:spacing w:before="0" w:after="0" w:line="240" w:lineRule="auto"/>
            </w:pPr>
            <w:r>
              <w:rPr>
                <w:b w:val="0"/>
                <w:sz w:val="15"/>
              </w:rPr>
              <w:t xml:space="preserve">MSA-1005</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0.333</w:t>
            </w:r>
          </w:p>
        </w:tc>
        <w:tc>
          <w:tcPr/>
          <w:p>
            <w:pPr>
              <w:pStyle w:val="Compact"/>
              <w:spacing w:before="0" w:after="0" w:line="240" w:lineRule="auto"/>
              <w:jc w:val="right"/>
            </w:pPr>
            <w:r>
              <w:rPr>
                <w:b w:val="0"/>
                <w:sz w:val="15"/>
              </w:rPr>
              <w:t xml:space="preserve">0.833</w:t>
            </w:r>
          </w:p>
        </w:tc>
        <w:tc>
          <w:tcPr/>
          <w:p>
            <w:pPr>
              <w:pStyle w:val="Compact"/>
              <w:spacing w:before="0" w:after="0" w:line="240" w:lineRule="auto"/>
              <w:jc w:val="right"/>
            </w:pPr>
            <w:r>
              <w:rPr>
                <w:b w:val="0"/>
                <w:sz w:val="15"/>
              </w:rPr>
              <w:t xml:space="preserve">0.476</w:t>
            </w:r>
          </w:p>
        </w:tc>
        <w:tc>
          <w:tcPr/>
          <w:p>
            <w:pPr>
              <w:pStyle w:val="Compact"/>
              <w:spacing w:before="0" w:after="0" w:line="240" w:lineRule="auto"/>
              <w:jc w:val="right"/>
            </w:pPr>
            <w:r>
              <w:rPr>
                <w:b w:val="0"/>
                <w:sz w:val="15"/>
              </w:rPr>
              <w:t xml:space="preserve">1784.50</w:t>
            </w:r>
          </w:p>
        </w:tc>
        <w:tc>
          <w:tcPr/>
          <w:p>
            <w:pPr>
              <w:pStyle w:val="Compact"/>
              <w:spacing w:before="0" w:after="0" w:line="240" w:lineRule="auto"/>
              <w:jc w:val="right"/>
            </w:pPr>
            <w:r>
              <w:rPr>
                <w:b w:val="0"/>
                <w:sz w:val="15"/>
              </w:rPr>
              <w:t xml:space="preserve">20.10</w:t>
            </w:r>
          </w:p>
        </w:tc>
      </w:tr>
      <w:tr>
        <w:trPr>
          <w:cantSplit/>
        </w:trPr>
        <w:tc>
          <w:tcPr/>
          <w:p>
            <w:pPr>
              <w:pStyle w:val="Compact"/>
              <w:spacing w:before="0" w:after="0" w:line="240" w:lineRule="auto"/>
            </w:pPr>
            <w:r>
              <w:rPr>
                <w:b w:val="0"/>
                <w:sz w:val="15"/>
              </w:rPr>
              <w:t xml:space="preserve">MSA-1007</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0.600</w:t>
            </w:r>
          </w:p>
        </w:tc>
        <w:tc>
          <w:tcPr/>
          <w:p>
            <w:pPr>
              <w:pStyle w:val="Compact"/>
              <w:spacing w:before="0" w:after="0" w:line="240" w:lineRule="auto"/>
              <w:jc w:val="right"/>
            </w:pPr>
            <w:r>
              <w:rPr>
                <w:b w:val="0"/>
                <w:sz w:val="15"/>
              </w:rPr>
              <w:t xml:space="preserve">1555.76</w:t>
            </w:r>
          </w:p>
        </w:tc>
        <w:tc>
          <w:tcPr/>
          <w:p>
            <w:pPr>
              <w:pStyle w:val="Compact"/>
              <w:spacing w:before="0" w:after="0" w:line="240" w:lineRule="auto"/>
              <w:jc w:val="right"/>
            </w:pPr>
            <w:r>
              <w:rPr>
                <w:b w:val="0"/>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shd w:val="clear" w:color="auto" w:fill="DCE6F1"/>
          </w:tcPr>
          <w:p>
            <w:pPr>
              <w:pStyle w:val="Compact"/>
              <w:spacing w:before="0" w:after="0" w:line="240" w:lineRule="auto"/>
            </w:pPr>
            <w:r>
              <w:rPr>
                <w:b/>
                <w:sz w:val="17"/>
              </w:rPr>
              <w:t xml:space="preserve">Sample</w:t>
            </w:r>
          </w:p>
        </w:tc>
        <w:tc>
          <w:tcPr>
            <w:shd w:val="clear" w:color="auto" w:fill="DCE6F1"/>
          </w:tcPr>
          <w:p>
            <w:pPr>
              <w:pStyle w:val="Compact"/>
              <w:spacing w:before="0" w:after="0" w:line="240" w:lineRule="auto"/>
              <w:jc w:val="right"/>
            </w:pPr>
            <w:r>
              <w:rPr>
                <w:b/>
                <w:sz w:val="17"/>
              </w:rPr>
              <w:t xml:space="preserve">Distinct markers</w:t>
            </w:r>
          </w:p>
        </w:tc>
        <w:tc>
          <w:tcPr>
            <w:shd w:val="clear" w:color="auto" w:fill="DCE6F1"/>
          </w:tcPr>
          <w:p>
            <w:pPr>
              <w:pStyle w:val="Compact"/>
              <w:spacing w:before="0" w:after="0" w:line="240" w:lineRule="auto"/>
              <w:jc w:val="right"/>
            </w:pPr>
            <w:r>
              <w:rPr>
                <w:b/>
                <w:sz w:val="17"/>
              </w:rPr>
              <w:t xml:space="preserve">Species resolved</w:t>
            </w:r>
          </w:p>
        </w:tc>
        <w:tc>
          <w:tcPr>
            <w:shd w:val="clear" w:color="auto" w:fill="DCE6F1"/>
          </w:tcPr>
          <w:p>
            <w:pPr>
              <w:pStyle w:val="Compact"/>
              <w:spacing w:before="0" w:after="0" w:line="240" w:lineRule="auto"/>
              <w:jc w:val="right"/>
            </w:pPr>
            <w:r>
              <w:rPr>
                <w:b/>
                <w:sz w:val="17"/>
              </w:rPr>
              <w:t xml:space="preserve">Strain calls</w:t>
            </w:r>
          </w:p>
        </w:tc>
        <w:tc>
          <w:tcPr>
            <w:shd w:val="clear" w:color="auto" w:fill="DCE6F1"/>
          </w:tcPr>
          <w:p>
            <w:pPr>
              <w:pStyle w:val="Compact"/>
              <w:spacing w:before="0" w:after="0" w:line="240" w:lineRule="auto"/>
              <w:jc w:val="right"/>
            </w:pPr>
            <w:r>
              <w:rPr>
                <w:b/>
                <w:sz w:val="17"/>
              </w:rPr>
              <w:t xml:space="preserve">Runtime (s)</w:t>
            </w:r>
          </w:p>
        </w:tc>
        <w:tc>
          <w:tcPr>
            <w:shd w:val="clear" w:color="auto" w:fill="DCE6F1"/>
          </w:tcPr>
          <w:p>
            <w:pPr>
              <w:pStyle w:val="Compact"/>
              <w:spacing w:before="0" w:after="0" w:line="240" w:lineRule="auto"/>
            </w:pPr>
            <w:r>
              <w:rPr>
                <w:b/>
                <w:sz w:val="17"/>
              </w:rPr>
              <w:t xml:space="preserve">Top species</w:t>
            </w:r>
          </w:p>
        </w:tc>
      </w:tr>
      <w:tr>
        <w:trPr>
          <w:cantSplit/>
        </w:trPr>
        <w:tc>
          <w:tcPr/>
          <w:p>
            <w:pPr>
              <w:pStyle w:val="Compact"/>
              <w:spacing w:before="0" w:after="0" w:line="240" w:lineRule="auto"/>
            </w:pPr>
            <w:r>
              <w:rPr>
                <w:b w:val="0"/>
                <w:sz w:val="16"/>
              </w:rPr>
              <w:t xml:space="preserve">S_0313206</w:t>
            </w:r>
          </w:p>
        </w:tc>
        <w:tc>
          <w:tcPr/>
          <w:p>
            <w:pPr>
              <w:pStyle w:val="Compact"/>
              <w:spacing w:before="0" w:after="0" w:line="240" w:lineRule="auto"/>
              <w:jc w:val="right"/>
            </w:pPr>
            <w:r>
              <w:rPr>
                <w:b w:val="0"/>
                <w:sz w:val="16"/>
              </w:rPr>
              <w:t xml:space="preserve">271,322</w:t>
            </w:r>
          </w:p>
        </w:tc>
        <w:tc>
          <w:tcPr/>
          <w:p>
            <w:pPr>
              <w:pStyle w:val="Compact"/>
              <w:spacing w:before="0" w:after="0" w:line="240" w:lineRule="auto"/>
              <w:jc w:val="right"/>
            </w:pPr>
            <w:r>
              <w:rPr>
                <w:b w:val="0"/>
                <w:sz w:val="16"/>
              </w:rPr>
              <w:t xml:space="preserve">15</w:t>
            </w:r>
          </w:p>
        </w:tc>
        <w:tc>
          <w:tcPr/>
          <w:p>
            <w:pPr>
              <w:pStyle w:val="Compact"/>
              <w:spacing w:before="0" w:after="0" w:line="240" w:lineRule="auto"/>
              <w:jc w:val="right"/>
            </w:pPr>
            <w:r>
              <w:rPr>
                <w:b w:val="0"/>
                <w:sz w:val="16"/>
              </w:rPr>
              <w:t xml:space="preserve">115</w:t>
            </w:r>
          </w:p>
        </w:tc>
        <w:tc>
          <w:tcPr/>
          <w:p>
            <w:pPr>
              <w:pStyle w:val="Compact"/>
              <w:spacing w:before="0" w:after="0" w:line="240" w:lineRule="auto"/>
              <w:jc w:val="right"/>
            </w:pPr>
            <w:r>
              <w:rPr>
                <w:b w:val="0"/>
                <w:sz w:val="16"/>
              </w:rPr>
              <w:t xml:space="preserve">2.3</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S_1413231</w:t>
            </w:r>
          </w:p>
        </w:tc>
        <w:tc>
          <w:tcPr/>
          <w:p>
            <w:pPr>
              <w:pStyle w:val="Compact"/>
              <w:spacing w:before="0" w:after="0" w:line="240" w:lineRule="auto"/>
              <w:jc w:val="right"/>
            </w:pPr>
            <w:r>
              <w:rPr>
                <w:b w:val="0"/>
                <w:sz w:val="16"/>
              </w:rPr>
              <w:t xml:space="preserve">288,019</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129</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Streptococcus mitis</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S_8123213</w:t>
            </w:r>
          </w:p>
        </w:tc>
        <w:tc>
          <w:tcPr/>
          <w:p>
            <w:pPr>
              <w:pStyle w:val="Compact"/>
              <w:spacing w:before="0" w:after="0" w:line="240" w:lineRule="auto"/>
              <w:jc w:val="right"/>
            </w:pPr>
            <w:r>
              <w:rPr>
                <w:b w:val="0"/>
                <w:sz w:val="16"/>
              </w:rPr>
              <w:t xml:space="preserve">370,379</w:t>
            </w:r>
          </w:p>
        </w:tc>
        <w:tc>
          <w:tcPr/>
          <w:p>
            <w:pPr>
              <w:pStyle w:val="Compact"/>
              <w:spacing w:before="0" w:after="0" w:line="240" w:lineRule="auto"/>
              <w:jc w:val="right"/>
            </w:pPr>
            <w:r>
              <w:rPr>
                <w:b w:val="0"/>
                <w:sz w:val="16"/>
              </w:rPr>
              <w:t xml:space="preserve">16</w:t>
            </w:r>
          </w:p>
        </w:tc>
        <w:tc>
          <w:tcPr/>
          <w:p>
            <w:pPr>
              <w:pStyle w:val="Compact"/>
              <w:spacing w:before="0" w:after="0" w:line="240" w:lineRule="auto"/>
              <w:jc w:val="right"/>
            </w:pPr>
            <w:r>
              <w:rPr>
                <w:b w:val="0"/>
                <w:sz w:val="16"/>
              </w:rPr>
              <w:t xml:space="preserve">149</w:t>
            </w:r>
          </w:p>
        </w:tc>
        <w:tc>
          <w:tcPr/>
          <w:p>
            <w:pPr>
              <w:pStyle w:val="Compact"/>
              <w:spacing w:before="0" w:after="0" w:line="240" w:lineRule="auto"/>
              <w:jc w:val="right"/>
            </w:pPr>
            <w:r>
              <w:rPr>
                <w:b w:val="0"/>
                <w:sz w:val="16"/>
              </w:rPr>
              <w:t xml:space="preserve">2.0</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p>
        </w:tc>
      </w:tr>
      <w:tr>
        <w:trPr>
          <w:cantSplit/>
        </w:trPr>
        <w:tc>
          <w:tcPr/>
          <w:p>
            <w:pPr>
              <w:pStyle w:val="Compact"/>
              <w:spacing w:before="0" w:after="0" w:line="240" w:lineRule="auto"/>
            </w:pPr>
            <w:r>
              <w:rPr>
                <w:b w:val="0"/>
                <w:sz w:val="16"/>
              </w:rPr>
              <w:t xml:space="preserve">S_8221232</w:t>
            </w:r>
          </w:p>
        </w:tc>
        <w:tc>
          <w:tcPr/>
          <w:p>
            <w:pPr>
              <w:pStyle w:val="Compact"/>
              <w:spacing w:before="0" w:after="0" w:line="240" w:lineRule="auto"/>
              <w:jc w:val="right"/>
            </w:pPr>
            <w:r>
              <w:rPr>
                <w:b w:val="0"/>
                <w:sz w:val="16"/>
              </w:rPr>
              <w:t xml:space="preserve">488,180</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158</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Rothia mucilaginosa</w:t>
            </w:r>
          </w:p>
        </w:tc>
      </w:tr>
    </w:tbl>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shd w:val="clear" w:color="auto" w:fill="DCE6F1"/>
          </w:tcPr>
          <w:p>
            <w:pPr>
              <w:pStyle w:val="Compact"/>
              <w:spacing w:before="0" w:after="0" w:line="240" w:lineRule="auto"/>
            </w:pPr>
            <w:r>
              <w:rPr>
                <w:b/>
                <w:sz w:val="17"/>
              </w:rPr>
              <w:t xml:space="preserve">Analysis</w:t>
            </w:r>
          </w:p>
        </w:tc>
        <w:tc>
          <w:tcPr>
            <w:shd w:val="clear" w:color="auto" w:fill="DCE6F1"/>
          </w:tcPr>
          <w:p>
            <w:pPr>
              <w:pStyle w:val="Compact"/>
              <w:spacing w:before="0" w:after="0" w:line="240" w:lineRule="auto"/>
              <w:jc w:val="right"/>
            </w:pPr>
            <w:r>
              <w:rPr>
                <w:b/>
                <w:sz w:val="17"/>
              </w:rPr>
              <w:t xml:space="preserve">n</w:t>
            </w:r>
          </w:p>
        </w:tc>
        <w:tc>
          <w:tcPr>
            <w:shd w:val="clear" w:color="auto" w:fill="DCE6F1"/>
          </w:tcPr>
          <w:p>
            <w:pPr>
              <w:pStyle w:val="Compact"/>
              <w:spacing w:before="0" w:after="0" w:line="240" w:lineRule="auto"/>
              <w:jc w:val="right"/>
            </w:pPr>
            <w:r>
              <w:rPr>
                <w:b/>
                <w:sz w:val="17"/>
              </w:rPr>
              <w:t xml:space="preserve">No-calls</w:t>
            </w:r>
          </w:p>
        </w:tc>
        <w:tc>
          <w:tcPr>
            <w:shd w:val="clear" w:color="auto" w:fill="DCE6F1"/>
          </w:tcPr>
          <w:p>
            <w:pPr>
              <w:pStyle w:val="Compact"/>
              <w:spacing w:before="0" w:after="0" w:line="240" w:lineRule="auto"/>
              <w:jc w:val="center"/>
            </w:pPr>
            <w:r>
              <w:rPr>
                <w:b/>
                <w:sz w:val="17"/>
              </w:rPr>
              <w:t xml:space="preserve">Mean recall difference (95% CI)</w:t>
            </w:r>
          </w:p>
        </w:tc>
        <w:tc>
          <w:tcPr>
            <w:shd w:val="clear" w:color="auto" w:fill="DCE6F1"/>
          </w:tcPr>
          <w:p>
            <w:pPr>
              <w:pStyle w:val="Compact"/>
              <w:spacing w:before="0" w:after="0" w:line="240" w:lineRule="auto"/>
              <w:jc w:val="right"/>
            </w:pPr>
            <w:r>
              <w:rPr>
                <w:b/>
                <w:sz w:val="17"/>
              </w:rPr>
              <w:t xml:space="preserve">No-call rate</w:t>
            </w:r>
          </w:p>
        </w:tc>
      </w:tr>
      <w:tr>
        <w:trPr>
          <w:cantSplit/>
        </w:trPr>
        <w:tc>
          <w:tcPr/>
          <w:p>
            <w:pPr>
              <w:pStyle w:val="Compact"/>
              <w:spacing w:before="0" w:after="0" w:line="240" w:lineRule="auto"/>
            </w:pPr>
            <w:r>
              <w:rPr>
                <w:b w:val="0"/>
                <w:sz w:val="16"/>
              </w:rPr>
              <w:t xml:space="preserve">Completed pairs</w:t>
            </w:r>
          </w:p>
        </w:tc>
        <w:tc>
          <w:tcPr/>
          <w:p>
            <w:pPr>
              <w:pStyle w:val="Compact"/>
              <w:spacing w:before="0" w:after="0" w:line="240" w:lineRule="auto"/>
              <w:jc w:val="right"/>
            </w:pPr>
            <w:r>
              <w:rPr>
                <w:b w:val="0"/>
                <w:sz w:val="16"/>
              </w:rPr>
              <w:t xml:space="preserve">204</w:t>
            </w:r>
          </w:p>
        </w:tc>
        <w:tc>
          <w:tcPr/>
          <w:p>
            <w:pPr>
              <w:pStyle w:val="Compact"/>
              <w:spacing w:before="0" w:after="0" w:line="240" w:lineRule="auto"/>
              <w:jc w:val="right"/>
            </w:pPr>
            <w:r>
              <w:rPr>
                <w:b w:val="0"/>
                <w:sz w:val="16"/>
              </w:rPr>
              <w:t xml:space="preserve">0</w:t>
            </w:r>
          </w:p>
        </w:tc>
        <w:tc>
          <w:tcPr/>
          <w:p>
            <w:pPr>
              <w:pStyle w:val="Compact"/>
              <w:spacing w:before="0" w:after="0" w:line="240" w:lineRule="auto"/>
              <w:jc w:val="center"/>
            </w:pPr>
            <w:r>
              <w:rPr>
                <w:b w:val="0"/>
                <w:sz w:val="16"/>
              </w:rPr>
              <w:t xml:space="preserve">+0.063 (−0.037 to 0.133)</w:t>
            </w:r>
          </w:p>
        </w:tc>
        <w:tc>
          <w:tcPr/>
          <w:p>
            <w:pPr>
              <w:pStyle w:val="Compact"/>
              <w:spacing w:before="0" w:after="0" w:line="240" w:lineRule="auto"/>
              <w:jc w:val="right"/>
            </w:pPr>
            <w:r>
              <w:rPr>
                <w:b w:val="0"/>
                <w:sz w:val="16"/>
              </w:rPr>
              <w:t xml:space="preserve">0%</w:t>
            </w:r>
          </w:p>
        </w:tc>
      </w:tr>
      <w:tr>
        <w:trPr>
          <w:cantSplit/>
        </w:trPr>
        <w:tc>
          <w:tcPr/>
          <w:p>
            <w:pPr>
              <w:pStyle w:val="Compact"/>
              <w:spacing w:before="0" w:after="0" w:line="240" w:lineRule="auto"/>
            </w:pPr>
            <w:r>
              <w:rPr>
                <w:b w:val="0"/>
                <w:sz w:val="16"/>
              </w:rPr>
              <w:t xml:space="preserve">Failure as absence</w:t>
            </w:r>
          </w:p>
        </w:tc>
        <w:tc>
          <w:tcPr/>
          <w:p>
            <w:pPr>
              <w:pStyle w:val="Compact"/>
              <w:spacing w:before="0" w:after="0" w:line="240" w:lineRule="auto"/>
              <w:jc w:val="right"/>
            </w:pPr>
            <w:r>
              <w:rPr>
                <w:b w:val="0"/>
                <w:sz w:val="16"/>
              </w:rPr>
              <w:t xml:space="preserve">225</w:t>
            </w:r>
          </w:p>
        </w:tc>
        <w:tc>
          <w:tcPr/>
          <w:p>
            <w:pPr>
              <w:pStyle w:val="Compact"/>
              <w:spacing w:before="0" w:after="0" w:line="240" w:lineRule="auto"/>
              <w:jc w:val="right"/>
            </w:pPr>
            <w:r>
              <w:rPr>
                <w:b w:val="0"/>
                <w:sz w:val="16"/>
              </w:rPr>
              <w:t xml:space="preserve">21</w:t>
            </w:r>
          </w:p>
        </w:tc>
        <w:tc>
          <w:tcPr/>
          <w:p>
            <w:pPr>
              <w:pStyle w:val="Compact"/>
              <w:spacing w:before="0" w:after="0" w:line="240" w:lineRule="auto"/>
              <w:jc w:val="center"/>
            </w:pPr>
            <w:r>
              <w:rPr>
                <w:b w:val="0"/>
                <w:sz w:val="16"/>
              </w:rPr>
              <w:t xml:space="preserve">+0.127 (0.007 to 0.248)</w:t>
            </w:r>
          </w:p>
        </w:tc>
        <w:tc>
          <w:tcPr/>
          <w:p>
            <w:pPr>
              <w:pStyle w:val="Compact"/>
              <w:spacing w:before="0" w:after="0" w:line="240" w:lineRule="auto"/>
              <w:jc w:val="right"/>
            </w:pPr>
            <w:r>
              <w:rPr>
                <w:b w:val="0"/>
                <w:sz w:val="16"/>
              </w:rPr>
              <w:t xml:space="preserve">9.33%</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shd w:val="clear" w:color="auto" w:fill="DCE6F1"/>
          </w:tcPr>
          <w:p>
            <w:pPr>
              <w:pStyle w:val="Compact"/>
              <w:spacing w:before="0" w:after="0" w:line="240" w:lineRule="auto"/>
            </w:pPr>
            <w:r>
              <w:rPr>
                <w:b/>
                <w:sz w:val="16"/>
              </w:rPr>
              <w:t xml:space="preserve">Run</w:t>
            </w:r>
          </w:p>
        </w:tc>
        <w:tc>
          <w:tcPr>
            <w:shd w:val="clear" w:color="auto" w:fill="DCE6F1"/>
          </w:tcPr>
          <w:p>
            <w:pPr>
              <w:pStyle w:val="Compact"/>
              <w:spacing w:before="0" w:after="0" w:line="240" w:lineRule="auto"/>
            </w:pPr>
            <w:r>
              <w:rPr>
                <w:b/>
                <w:sz w:val="16"/>
              </w:rPr>
              <w:t xml:space="preserve">Project</w:t>
            </w:r>
          </w:p>
        </w:tc>
        <w:tc>
          <w:tcPr>
            <w:shd w:val="clear" w:color="auto" w:fill="DCE6F1"/>
          </w:tcPr>
          <w:p>
            <w:pPr>
              <w:pStyle w:val="Compact"/>
              <w:spacing w:before="0" w:after="0" w:line="240" w:lineRule="auto"/>
            </w:pPr>
            <w:r>
              <w:rPr>
                <w:b/>
                <w:sz w:val="16"/>
              </w:rPr>
              <w:t xml:space="preserve">Role/site</w:t>
            </w:r>
          </w:p>
        </w:tc>
        <w:tc>
          <w:tcPr>
            <w:shd w:val="clear" w:color="auto" w:fill="DCE6F1"/>
          </w:tcPr>
          <w:p>
            <w:pPr>
              <w:pStyle w:val="Compact"/>
              <w:spacing w:before="0" w:after="0" w:line="240" w:lineRule="auto"/>
              <w:jc w:val="right"/>
            </w:pPr>
            <w:r>
              <w:rPr>
                <w:b/>
                <w:sz w:val="16"/>
              </w:rPr>
              <w:t xml:space="preserve">SRA spots</w:t>
            </w:r>
          </w:p>
        </w:tc>
        <w:tc>
          <w:tcPr>
            <w:shd w:val="clear" w:color="auto" w:fill="DCE6F1"/>
          </w:tcPr>
          <w:p>
            <w:pPr>
              <w:pStyle w:val="Compact"/>
              <w:spacing w:before="0" w:after="0" w:line="240" w:lineRule="auto"/>
              <w:jc w:val="right"/>
            </w:pPr>
            <w:r>
              <w:rPr>
                <w:b/>
                <w:sz w:val="16"/>
              </w:rPr>
              <w:t xml:space="preserve">SRA bases</w:t>
            </w:r>
          </w:p>
        </w:tc>
        <w:tc>
          <w:tcPr>
            <w:shd w:val="clear" w:color="auto" w:fill="DCE6F1"/>
          </w:tcPr>
          <w:p>
            <w:pPr>
              <w:pStyle w:val="Compact"/>
              <w:spacing w:before="0" w:after="0" w:line="240" w:lineRule="auto"/>
              <w:jc w:val="right"/>
            </w:pPr>
            <w:r>
              <w:rPr>
                <w:b/>
                <w:sz w:val="16"/>
              </w:rPr>
              <w:t xml:space="preserve">MSA markers</w:t>
            </w:r>
          </w:p>
        </w:tc>
        <w:tc>
          <w:tcPr>
            <w:shd w:val="clear" w:color="auto" w:fill="DCE6F1"/>
          </w:tcPr>
          <w:p>
            <w:pPr>
              <w:pStyle w:val="Compact"/>
              <w:spacing w:before="0" w:after="0" w:line="240" w:lineRule="auto"/>
              <w:jc w:val="right"/>
            </w:pPr>
            <w:r>
              <w:rPr>
                <w:b/>
                <w:sz w:val="16"/>
              </w:rPr>
              <w:t xml:space="preserve">MSA strain calls</w:t>
            </w:r>
          </w:p>
        </w:tc>
        <w:tc>
          <w:tcPr>
            <w:shd w:val="clear" w:color="auto" w:fill="DCE6F1"/>
          </w:tcPr>
          <w:p>
            <w:pPr>
              <w:pStyle w:val="Compact"/>
              <w:spacing w:before="0" w:after="0" w:line="240" w:lineRule="auto"/>
              <w:jc w:val="right"/>
            </w:pPr>
            <w:r>
              <w:rPr>
                <w:b/>
                <w:sz w:val="16"/>
              </w:rPr>
              <w:t xml:space="preserve">Body-site calls</w:t>
            </w:r>
          </w:p>
        </w:tc>
      </w:tr>
      <w:tr>
        <w:trPr>
          <w:cantSplit/>
        </w:trPr>
        <w:tc>
          <w:tcPr/>
          <w:p>
            <w:pPr>
              <w:pStyle w:val="Compact"/>
              <w:spacing w:before="0" w:after="0" w:line="240" w:lineRule="auto"/>
            </w:pPr>
            <w:r>
              <w:rPr>
                <w:b w:val="0"/>
                <w:sz w:val="15"/>
              </w:rPr>
              <w:t xml:space="preserve">SRR32121885</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W1</w:t>
            </w:r>
          </w:p>
        </w:tc>
        <w:tc>
          <w:tcPr/>
          <w:p>
            <w:pPr>
              <w:pStyle w:val="Compact"/>
              <w:spacing w:before="0" w:after="0" w:line="240" w:lineRule="auto"/>
              <w:jc w:val="right"/>
            </w:pPr>
            <w:r>
              <w:rPr>
                <w:b w:val="0"/>
                <w:sz w:val="15"/>
              </w:rPr>
              <w:t xml:space="preserve">4,862,900</w:t>
            </w:r>
          </w:p>
        </w:tc>
        <w:tc>
          <w:tcPr/>
          <w:p>
            <w:pPr>
              <w:pStyle w:val="Compact"/>
              <w:spacing w:before="0" w:after="0" w:line="240" w:lineRule="auto"/>
              <w:jc w:val="right"/>
            </w:pPr>
            <w:r>
              <w:rPr>
                <w:b w:val="0"/>
                <w:sz w:val="15"/>
              </w:rPr>
              <w:t xml:space="preserve">1,215,725,000</w:t>
            </w:r>
          </w:p>
        </w:tc>
        <w:tc>
          <w:tcPr/>
          <w:p>
            <w:pPr>
              <w:pStyle w:val="Compact"/>
              <w:spacing w:before="0" w:after="0" w:line="240" w:lineRule="auto"/>
              <w:jc w:val="right"/>
            </w:pPr>
            <w:r>
              <w:rPr>
                <w:b w:val="0"/>
                <w:sz w:val="15"/>
              </w:rPr>
              <w:t xml:space="preserve">748,209</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SRR32121884</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W2</w:t>
            </w:r>
          </w:p>
        </w:tc>
        <w:tc>
          <w:tcPr/>
          <w:p>
            <w:pPr>
              <w:pStyle w:val="Compact"/>
              <w:spacing w:before="0" w:after="0" w:line="240" w:lineRule="auto"/>
              <w:jc w:val="right"/>
            </w:pPr>
            <w:r>
              <w:rPr>
                <w:b w:val="0"/>
                <w:sz w:val="15"/>
              </w:rPr>
              <w:t xml:space="preserve">4,684,342</w:t>
            </w:r>
          </w:p>
        </w:tc>
        <w:tc>
          <w:tcPr/>
          <w:p>
            <w:pPr>
              <w:pStyle w:val="Compact"/>
              <w:spacing w:before="0" w:after="0" w:line="240" w:lineRule="auto"/>
              <w:jc w:val="right"/>
            </w:pPr>
            <w:r>
              <w:rPr>
                <w:b w:val="0"/>
                <w:sz w:val="15"/>
              </w:rPr>
              <w:t xml:space="preserve">1,171,085,500</w:t>
            </w:r>
          </w:p>
        </w:tc>
        <w:tc>
          <w:tcPr/>
          <w:p>
            <w:pPr>
              <w:pStyle w:val="Compact"/>
              <w:spacing w:before="0" w:after="0" w:line="240" w:lineRule="auto"/>
              <w:jc w:val="right"/>
            </w:pPr>
            <w:r>
              <w:rPr>
                <w:b w:val="0"/>
                <w:sz w:val="15"/>
              </w:rPr>
              <w:t xml:space="preserve">694,111</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SRR32121883</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W3</w:t>
            </w:r>
          </w:p>
        </w:tc>
        <w:tc>
          <w:tcPr/>
          <w:p>
            <w:pPr>
              <w:pStyle w:val="Compact"/>
              <w:spacing w:before="0" w:after="0" w:line="240" w:lineRule="auto"/>
              <w:jc w:val="right"/>
            </w:pPr>
            <w:r>
              <w:rPr>
                <w:b w:val="0"/>
                <w:sz w:val="15"/>
              </w:rPr>
              <w:t xml:space="preserve">4,403,456</w:t>
            </w:r>
          </w:p>
        </w:tc>
        <w:tc>
          <w:tcPr/>
          <w:p>
            <w:pPr>
              <w:pStyle w:val="Compact"/>
              <w:spacing w:before="0" w:after="0" w:line="240" w:lineRule="auto"/>
              <w:jc w:val="right"/>
            </w:pPr>
            <w:r>
              <w:rPr>
                <w:b w:val="0"/>
                <w:sz w:val="15"/>
              </w:rPr>
              <w:t xml:space="preserve">1,100,864,000</w:t>
            </w:r>
          </w:p>
        </w:tc>
        <w:tc>
          <w:tcPr/>
          <w:p>
            <w:pPr>
              <w:pStyle w:val="Compact"/>
              <w:spacing w:before="0" w:after="0" w:line="240" w:lineRule="auto"/>
              <w:jc w:val="right"/>
            </w:pPr>
            <w:r>
              <w:rPr>
                <w:b w:val="0"/>
                <w:sz w:val="15"/>
              </w:rPr>
              <w:t xml:space="preserve">830,986</w:t>
            </w:r>
          </w:p>
        </w:tc>
        <w:tc>
          <w:tcPr/>
          <w:p>
            <w:pPr>
              <w:pStyle w:val="Compact"/>
              <w:spacing w:before="0" w:after="0" w:line="240" w:lineRule="auto"/>
              <w:jc w:val="right"/>
            </w:pPr>
            <w:r>
              <w:rPr>
                <w:b w:val="0"/>
                <w:sz w:val="15"/>
              </w:rPr>
              <w:t xml:space="preserve">6</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SRR32076429</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bifidum LHCA82 isolate WGS</w:t>
            </w:r>
          </w:p>
        </w:tc>
        <w:tc>
          <w:tcPr/>
          <w:p>
            <w:pPr>
              <w:pStyle w:val="Compact"/>
              <w:spacing w:before="0" w:after="0" w:line="240" w:lineRule="auto"/>
              <w:jc w:val="right"/>
            </w:pPr>
            <w:r>
              <w:rPr>
                <w:b w:val="0"/>
                <w:sz w:val="15"/>
              </w:rPr>
              <w:t xml:space="preserve">265,039</w:t>
            </w:r>
          </w:p>
        </w:tc>
        <w:tc>
          <w:tcPr/>
          <w:p>
            <w:pPr>
              <w:pStyle w:val="Compact"/>
              <w:spacing w:before="0" w:after="0" w:line="240" w:lineRule="auto"/>
              <w:jc w:val="right"/>
            </w:pPr>
            <w:r>
              <w:rPr>
                <w:b w:val="0"/>
                <w:sz w:val="15"/>
              </w:rPr>
              <w:t xml:space="preserve">78,810,882</w:t>
            </w:r>
          </w:p>
        </w:tc>
        <w:tc>
          <w:tcPr/>
          <w:p>
            <w:pPr>
              <w:pStyle w:val="Compact"/>
              <w:spacing w:before="0" w:after="0" w:line="240" w:lineRule="auto"/>
              <w:jc w:val="right"/>
            </w:pPr>
            <w:r>
              <w:rPr>
                <w:b w:val="0"/>
                <w:sz w:val="15"/>
              </w:rPr>
              <w:t xml:space="preserve">129,681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SRR32076422</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breve LHCA81 isolate WGS</w:t>
            </w:r>
          </w:p>
        </w:tc>
        <w:tc>
          <w:tcPr/>
          <w:p>
            <w:pPr>
              <w:pStyle w:val="Compact"/>
              <w:spacing w:before="0" w:after="0" w:line="240" w:lineRule="auto"/>
              <w:jc w:val="right"/>
            </w:pPr>
            <w:r>
              <w:rPr>
                <w:b w:val="0"/>
                <w:sz w:val="15"/>
              </w:rPr>
              <w:t xml:space="preserve">292,272</w:t>
            </w:r>
          </w:p>
        </w:tc>
        <w:tc>
          <w:tcPr/>
          <w:p>
            <w:pPr>
              <w:pStyle w:val="Compact"/>
              <w:spacing w:before="0" w:after="0" w:line="240" w:lineRule="auto"/>
              <w:jc w:val="right"/>
            </w:pPr>
            <w:r>
              <w:rPr>
                <w:b w:val="0"/>
                <w:sz w:val="15"/>
              </w:rPr>
              <w:t xml:space="preserve">87,006,759</w:t>
            </w:r>
          </w:p>
        </w:tc>
        <w:tc>
          <w:tcPr/>
          <w:p>
            <w:pPr>
              <w:pStyle w:val="Compact"/>
              <w:spacing w:before="0" w:after="0" w:line="240" w:lineRule="auto"/>
              <w:jc w:val="right"/>
            </w:pPr>
            <w:r>
              <w:rPr>
                <w:b w:val="0"/>
                <w:sz w:val="15"/>
              </w:rPr>
              <w:t xml:space="preserve">142,707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SRR32076444</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longum LHCA43 isolate WGS</w:t>
            </w:r>
          </w:p>
        </w:tc>
        <w:tc>
          <w:tcPr/>
          <w:p>
            <w:pPr>
              <w:pStyle w:val="Compact"/>
              <w:spacing w:before="0" w:after="0" w:line="240" w:lineRule="auto"/>
              <w:jc w:val="right"/>
            </w:pPr>
            <w:r>
              <w:rPr>
                <w:b w:val="0"/>
                <w:sz w:val="15"/>
              </w:rPr>
              <w:t xml:space="preserve">117,024</w:t>
            </w:r>
          </w:p>
        </w:tc>
        <w:tc>
          <w:tcPr/>
          <w:p>
            <w:pPr>
              <w:pStyle w:val="Compact"/>
              <w:spacing w:before="0" w:after="0" w:line="240" w:lineRule="auto"/>
              <w:jc w:val="right"/>
            </w:pPr>
            <w:r>
              <w:rPr>
                <w:b w:val="0"/>
                <w:sz w:val="15"/>
              </w:rPr>
              <w:t xml:space="preserve">34,917,748</w:t>
            </w:r>
          </w:p>
        </w:tc>
        <w:tc>
          <w:tcPr/>
          <w:p>
            <w:pPr>
              <w:pStyle w:val="Compact"/>
              <w:spacing w:before="0" w:after="0" w:line="240" w:lineRule="auto"/>
              <w:jc w:val="right"/>
            </w:pPr>
            <w:r>
              <w:rPr>
                <w:b w:val="0"/>
                <w:sz w:val="15"/>
              </w:rPr>
              <w:t xml:space="preserve">65,183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SRR32076385</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LHCA45 isolate WGS</w:t>
            </w:r>
          </w:p>
        </w:tc>
        <w:tc>
          <w:tcPr/>
          <w:p>
            <w:pPr>
              <w:pStyle w:val="Compact"/>
              <w:spacing w:before="0" w:after="0" w:line="240" w:lineRule="auto"/>
              <w:jc w:val="right"/>
            </w:pPr>
            <w:r>
              <w:rPr>
                <w:b w:val="0"/>
                <w:sz w:val="15"/>
              </w:rPr>
              <w:t xml:space="preserve">530,692</w:t>
            </w:r>
          </w:p>
        </w:tc>
        <w:tc>
          <w:tcPr/>
          <w:p>
            <w:pPr>
              <w:pStyle w:val="Compact"/>
              <w:spacing w:before="0" w:after="0" w:line="240" w:lineRule="auto"/>
              <w:jc w:val="right"/>
            </w:pPr>
            <w:r>
              <w:rPr>
                <w:b w:val="0"/>
                <w:sz w:val="15"/>
              </w:rPr>
              <w:t xml:space="preserve">157,695,345</w:t>
            </w:r>
          </w:p>
        </w:tc>
        <w:tc>
          <w:tcPr/>
          <w:p>
            <w:pPr>
              <w:pStyle w:val="Compact"/>
              <w:spacing w:before="0" w:after="0" w:line="240" w:lineRule="auto"/>
              <w:jc w:val="right"/>
            </w:pPr>
            <w:r>
              <w:rPr>
                <w:b w:val="0"/>
                <w:sz w:val="15"/>
              </w:rPr>
              <w:t xml:space="preserve">219,245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SRR32076393</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LHCA56 isolate WGS</w:t>
            </w:r>
          </w:p>
        </w:tc>
        <w:tc>
          <w:tcPr/>
          <w:p>
            <w:pPr>
              <w:pStyle w:val="Compact"/>
              <w:spacing w:before="0" w:after="0" w:line="240" w:lineRule="auto"/>
              <w:jc w:val="right"/>
            </w:pPr>
            <w:r>
              <w:rPr>
                <w:b w:val="0"/>
                <w:sz w:val="15"/>
              </w:rPr>
              <w:t xml:space="preserve">694,301</w:t>
            </w:r>
          </w:p>
        </w:tc>
        <w:tc>
          <w:tcPr/>
          <w:p>
            <w:pPr>
              <w:pStyle w:val="Compact"/>
              <w:spacing w:before="0" w:after="0" w:line="240" w:lineRule="auto"/>
              <w:jc w:val="right"/>
            </w:pPr>
            <w:r>
              <w:rPr>
                <w:b w:val="0"/>
                <w:sz w:val="15"/>
              </w:rPr>
              <w:t xml:space="preserve">206,230,492</w:t>
            </w:r>
          </w:p>
        </w:tc>
        <w:tc>
          <w:tcPr/>
          <w:p>
            <w:pPr>
              <w:pStyle w:val="Compact"/>
              <w:spacing w:before="0" w:after="0" w:line="240" w:lineRule="auto"/>
              <w:jc w:val="right"/>
            </w:pPr>
            <w:r>
              <w:rPr>
                <w:b w:val="0"/>
                <w:sz w:val="15"/>
              </w:rPr>
              <w:t xml:space="preserve">242,121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SRR32076407</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LHCA72 isolate WGS</w:t>
            </w:r>
          </w:p>
        </w:tc>
        <w:tc>
          <w:tcPr/>
          <w:p>
            <w:pPr>
              <w:pStyle w:val="Compact"/>
              <w:spacing w:before="0" w:after="0" w:line="240" w:lineRule="auto"/>
              <w:jc w:val="right"/>
            </w:pPr>
            <w:r>
              <w:rPr>
                <w:b w:val="0"/>
                <w:sz w:val="15"/>
              </w:rPr>
              <w:t xml:space="preserve">405,951</w:t>
            </w:r>
          </w:p>
        </w:tc>
        <w:tc>
          <w:tcPr/>
          <w:p>
            <w:pPr>
              <w:pStyle w:val="Compact"/>
              <w:spacing w:before="0" w:after="0" w:line="240" w:lineRule="auto"/>
              <w:jc w:val="right"/>
            </w:pPr>
            <w:r>
              <w:rPr>
                <w:b w:val="0"/>
                <w:sz w:val="15"/>
              </w:rPr>
              <w:t xml:space="preserve">120,852,478</w:t>
            </w:r>
          </w:p>
        </w:tc>
        <w:tc>
          <w:tcPr/>
          <w:p>
            <w:pPr>
              <w:pStyle w:val="Compact"/>
              <w:spacing w:before="0" w:after="0" w:line="240" w:lineRule="auto"/>
              <w:jc w:val="right"/>
            </w:pPr>
            <w:r>
              <w:rPr>
                <w:b w:val="0"/>
                <w:sz w:val="15"/>
              </w:rPr>
              <w:t xml:space="preserve">183,313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SRR40410776</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extraction blank</w:t>
            </w:r>
          </w:p>
        </w:tc>
        <w:tc>
          <w:tcPr/>
          <w:p>
            <w:pPr>
              <w:pStyle w:val="Compact"/>
              <w:spacing w:before="0" w:after="0" w:line="240" w:lineRule="auto"/>
              <w:jc w:val="right"/>
            </w:pPr>
            <w:r>
              <w:rPr>
                <w:b w:val="0"/>
                <w:sz w:val="15"/>
              </w:rPr>
              <w:t xml:space="preserve">969</w:t>
            </w:r>
          </w:p>
        </w:tc>
        <w:tc>
          <w:tcPr/>
          <w:p>
            <w:pPr>
              <w:pStyle w:val="Compact"/>
              <w:spacing w:before="0" w:after="0" w:line="240" w:lineRule="auto"/>
              <w:jc w:val="right"/>
            </w:pPr>
            <w:r>
              <w:rPr>
                <w:b w:val="0"/>
                <w:sz w:val="15"/>
              </w:rPr>
              <w:t xml:space="preserve">181,397</w:t>
            </w:r>
          </w:p>
        </w:tc>
        <w:tc>
          <w:tcPr/>
          <w:p>
            <w:pPr>
              <w:pStyle w:val="Compact"/>
              <w:spacing w:before="0" w:after="0" w:line="240" w:lineRule="auto"/>
              <w:jc w:val="right"/>
            </w:pPr>
            <w:r>
              <w:rPr>
                <w:b w:val="0"/>
                <w:sz w:val="15"/>
              </w:rPr>
              <w:t xml:space="preserve">464</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SRR40410528</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130,092</w:t>
            </w:r>
          </w:p>
        </w:tc>
        <w:tc>
          <w:tcPr/>
          <w:p>
            <w:pPr>
              <w:pStyle w:val="Compact"/>
              <w:spacing w:before="0" w:after="0" w:line="240" w:lineRule="auto"/>
              <w:jc w:val="right"/>
            </w:pPr>
            <w:r>
              <w:rPr>
                <w:b w:val="0"/>
                <w:sz w:val="15"/>
              </w:rPr>
              <w:t xml:space="preserve">35,779,278</w:t>
            </w:r>
          </w:p>
        </w:tc>
        <w:tc>
          <w:tcPr/>
          <w:p>
            <w:pPr>
              <w:pStyle w:val="Compact"/>
              <w:spacing w:before="0" w:after="0" w:line="240" w:lineRule="auto"/>
              <w:jc w:val="right"/>
            </w:pPr>
            <w:r>
              <w:rPr>
                <w:b w:val="0"/>
                <w:sz w:val="15"/>
              </w:rPr>
              <w:t xml:space="preserve">116,410</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SRR40410657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63,704</w:t>
            </w:r>
          </w:p>
        </w:tc>
        <w:tc>
          <w:tcPr/>
          <w:p>
            <w:pPr>
              <w:pStyle w:val="Compact"/>
              <w:spacing w:before="0" w:after="0" w:line="240" w:lineRule="auto"/>
              <w:jc w:val="right"/>
            </w:pPr>
            <w:r>
              <w:rPr>
                <w:b w:val="0"/>
                <w:sz w:val="15"/>
              </w:rPr>
              <w:t xml:space="preserve">12,967,250</w:t>
            </w:r>
          </w:p>
        </w:tc>
        <w:tc>
          <w:tcPr/>
          <w:p>
            <w:pPr>
              <w:pStyle w:val="Compact"/>
              <w:spacing w:before="0" w:after="0" w:line="240" w:lineRule="auto"/>
              <w:jc w:val="right"/>
            </w:pPr>
            <w:r>
              <w:rPr>
                <w:b w:val="0"/>
                <w:sz w:val="15"/>
              </w:rPr>
              <w:t xml:space="preserve">31,171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SRR40410851</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37,274</w:t>
            </w:r>
          </w:p>
        </w:tc>
        <w:tc>
          <w:tcPr/>
          <w:p>
            <w:pPr>
              <w:pStyle w:val="Compact"/>
              <w:spacing w:before="0" w:after="0" w:line="240" w:lineRule="auto"/>
              <w:jc w:val="right"/>
            </w:pPr>
            <w:r>
              <w:rPr>
                <w:b w:val="0"/>
                <w:sz w:val="15"/>
              </w:rPr>
              <w:t xml:space="preserve">8,265,014</w:t>
            </w:r>
          </w:p>
        </w:tc>
        <w:tc>
          <w:tcPr/>
          <w:p>
            <w:pPr>
              <w:pStyle w:val="Compact"/>
              <w:spacing w:before="0" w:after="0" w:line="240" w:lineRule="auto"/>
              <w:jc w:val="right"/>
            </w:pPr>
            <w:r>
              <w:rPr>
                <w:b w:val="0"/>
                <w:sz w:val="15"/>
              </w:rPr>
              <w:t xml:space="preserve">23,718</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SRR40410567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29,852</w:t>
            </w:r>
          </w:p>
        </w:tc>
        <w:tc>
          <w:tcPr/>
          <w:p>
            <w:pPr>
              <w:pStyle w:val="Compact"/>
              <w:spacing w:before="0" w:after="0" w:line="240" w:lineRule="auto"/>
              <w:jc w:val="right"/>
            </w:pPr>
            <w:r>
              <w:rPr>
                <w:b w:val="0"/>
                <w:sz w:val="15"/>
              </w:rPr>
              <w:t xml:space="preserve">5,373,843</w:t>
            </w:r>
          </w:p>
        </w:tc>
        <w:tc>
          <w:tcPr/>
          <w:p>
            <w:pPr>
              <w:pStyle w:val="Compact"/>
              <w:spacing w:before="0" w:after="0" w:line="240" w:lineRule="auto"/>
              <w:jc w:val="right"/>
            </w:pPr>
            <w:r>
              <w:rPr>
                <w:b w:val="0"/>
                <w:sz w:val="15"/>
              </w:rPr>
              <w:t xml:space="preserve">9,693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SRR40410734</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123,942</w:t>
            </w:r>
          </w:p>
        </w:tc>
        <w:tc>
          <w:tcPr/>
          <w:p>
            <w:pPr>
              <w:pStyle w:val="Compact"/>
              <w:spacing w:before="0" w:after="0" w:line="240" w:lineRule="auto"/>
              <w:jc w:val="right"/>
            </w:pPr>
            <w:r>
              <w:rPr>
                <w:b w:val="0"/>
                <w:sz w:val="15"/>
              </w:rPr>
              <w:t xml:space="preserve">24,263,782</w:t>
            </w:r>
          </w:p>
        </w:tc>
        <w:tc>
          <w:tcPr/>
          <w:p>
            <w:pPr>
              <w:pStyle w:val="Compact"/>
              <w:spacing w:before="0" w:after="0" w:line="240" w:lineRule="auto"/>
              <w:jc w:val="right"/>
            </w:pPr>
            <w:r>
              <w:rPr>
                <w:b w:val="0"/>
                <w:sz w:val="15"/>
              </w:rPr>
              <w:t xml:space="preserve">24,067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SRR40410753</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71,724</w:t>
            </w:r>
          </w:p>
        </w:tc>
        <w:tc>
          <w:tcPr/>
          <w:p>
            <w:pPr>
              <w:pStyle w:val="Compact"/>
              <w:spacing w:before="0" w:after="0" w:line="240" w:lineRule="auto"/>
              <w:jc w:val="right"/>
            </w:pPr>
            <w:r>
              <w:rPr>
                <w:b w:val="0"/>
                <w:sz w:val="15"/>
              </w:rPr>
              <w:t xml:space="preserve">13,985,625</w:t>
            </w:r>
          </w:p>
        </w:tc>
        <w:tc>
          <w:tcPr/>
          <w:p>
            <w:pPr>
              <w:pStyle w:val="Compact"/>
              <w:spacing w:before="0" w:after="0" w:line="240" w:lineRule="auto"/>
              <w:jc w:val="right"/>
            </w:pPr>
            <w:r>
              <w:rPr>
                <w:b w:val="0"/>
                <w:sz w:val="15"/>
              </w:rPr>
              <w:t xml:space="preserve">14,802</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SRR6748033</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GD273</w:t>
            </w:r>
          </w:p>
        </w:tc>
        <w:tc>
          <w:tcPr/>
          <w:p>
            <w:pPr>
              <w:pStyle w:val="Compact"/>
              <w:spacing w:before="0" w:after="0" w:line="240" w:lineRule="auto"/>
              <w:jc w:val="right"/>
            </w:pPr>
            <w:r>
              <w:rPr>
                <w:b w:val="0"/>
                <w:sz w:val="15"/>
              </w:rPr>
              <w:t xml:space="preserve">3,803,560</w:t>
            </w:r>
          </w:p>
        </w:tc>
        <w:tc>
          <w:tcPr/>
          <w:p>
            <w:pPr>
              <w:pStyle w:val="Compact"/>
              <w:spacing w:before="0" w:after="0" w:line="240" w:lineRule="auto"/>
              <w:jc w:val="right"/>
            </w:pPr>
            <w:r>
              <w:rPr>
                <w:b w:val="0"/>
                <w:sz w:val="15"/>
              </w:rPr>
              <w:t xml:space="preserve">1,120,072,205</w:t>
            </w:r>
          </w:p>
        </w:tc>
        <w:tc>
          <w:tcPr/>
          <w:p>
            <w:pPr>
              <w:pStyle w:val="Compact"/>
              <w:spacing w:before="0" w:after="0" w:line="240" w:lineRule="auto"/>
              <w:jc w:val="right"/>
            </w:pPr>
            <w:r>
              <w:rPr>
                <w:b w:val="0"/>
                <w:sz w:val="15"/>
              </w:rPr>
              <w:t xml:space="preserve">1,595,769</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SRR6748028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GD84</w:t>
            </w:r>
          </w:p>
        </w:tc>
        <w:tc>
          <w:tcPr/>
          <w:p>
            <w:pPr>
              <w:pStyle w:val="Compact"/>
              <w:spacing w:before="0" w:after="0" w:line="240" w:lineRule="auto"/>
              <w:jc w:val="right"/>
            </w:pPr>
            <w:r>
              <w:rPr>
                <w:b w:val="0"/>
                <w:sz w:val="15"/>
              </w:rPr>
              <w:t xml:space="preserve">2,804,411</w:t>
            </w:r>
          </w:p>
        </w:tc>
        <w:tc>
          <w:tcPr/>
          <w:p>
            <w:pPr>
              <w:pStyle w:val="Compact"/>
              <w:spacing w:before="0" w:after="0" w:line="240" w:lineRule="auto"/>
              <w:jc w:val="right"/>
            </w:pPr>
            <w:r>
              <w:rPr>
                <w:b w:val="0"/>
                <w:sz w:val="15"/>
              </w:rPr>
              <w:t xml:space="preserve">824,219,750</w:t>
            </w:r>
          </w:p>
        </w:tc>
        <w:tc>
          <w:tcPr/>
          <w:p>
            <w:pPr>
              <w:pStyle w:val="Compact"/>
              <w:spacing w:before="0" w:after="0" w:line="240" w:lineRule="auto"/>
              <w:jc w:val="right"/>
            </w:pPr>
            <w:r>
              <w:rPr>
                <w:b w:val="0"/>
                <w:sz w:val="15"/>
              </w:rPr>
              <w:t xml:space="preserve">1,918,932</w:t>
            </w:r>
          </w:p>
        </w:tc>
        <w:tc>
          <w:tcPr/>
          <w:p>
            <w:pPr>
              <w:pStyle w:val="Compact"/>
              <w:spacing w:before="0" w:after="0" w:line="240" w:lineRule="auto"/>
              <w:jc w:val="right"/>
            </w:pPr>
            <w:r>
              <w:rPr>
                <w:b w:val="0"/>
                <w:sz w:val="15"/>
              </w:rPr>
              <w:t xml:space="preserve">7</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SRR6748088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GD273</w:t>
            </w:r>
          </w:p>
        </w:tc>
        <w:tc>
          <w:tcPr/>
          <w:p>
            <w:pPr>
              <w:pStyle w:val="Compact"/>
              <w:spacing w:before="0" w:after="0" w:line="240" w:lineRule="auto"/>
              <w:jc w:val="right"/>
            </w:pPr>
            <w:r>
              <w:rPr>
                <w:b w:val="0"/>
                <w:sz w:val="15"/>
              </w:rPr>
              <w:t xml:space="preserve">771,556</w:t>
            </w:r>
          </w:p>
        </w:tc>
        <w:tc>
          <w:tcPr/>
          <w:p>
            <w:pPr>
              <w:pStyle w:val="Compact"/>
              <w:spacing w:before="0" w:after="0" w:line="240" w:lineRule="auto"/>
              <w:jc w:val="right"/>
            </w:pPr>
            <w:r>
              <w:rPr>
                <w:b w:val="0"/>
                <w:sz w:val="15"/>
              </w:rPr>
              <w:t xml:space="preserve">226,981,334</w:t>
            </w:r>
          </w:p>
        </w:tc>
        <w:tc>
          <w:tcPr/>
          <w:p>
            <w:pPr>
              <w:pStyle w:val="Compact"/>
              <w:spacing w:before="0" w:after="0" w:line="240" w:lineRule="auto"/>
              <w:jc w:val="right"/>
            </w:pPr>
            <w:r>
              <w:rPr>
                <w:b w:val="0"/>
                <w:sz w:val="15"/>
              </w:rPr>
              <w:t xml:space="preserve">876,200</w:t>
            </w:r>
          </w:p>
        </w:tc>
        <w:tc>
          <w:tcPr/>
          <w:p>
            <w:pPr>
              <w:pStyle w:val="Compact"/>
              <w:spacing w:before="0" w:after="0" w:line="240" w:lineRule="auto"/>
              <w:jc w:val="right"/>
            </w:pPr>
            <w:r>
              <w:rPr>
                <w:b w:val="0"/>
                <w:sz w:val="15"/>
              </w:rPr>
              <w:t xml:space="preserve">11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SRR6748097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GD84</w:t>
            </w:r>
          </w:p>
        </w:tc>
        <w:tc>
          <w:tcPr/>
          <w:p>
            <w:pPr>
              <w:pStyle w:val="Compact"/>
              <w:spacing w:before="0" w:after="0" w:line="240" w:lineRule="auto"/>
              <w:jc w:val="right"/>
            </w:pPr>
            <w:r>
              <w:rPr>
                <w:b w:val="0"/>
                <w:sz w:val="15"/>
              </w:rPr>
              <w:t xml:space="preserve">377,872</w:t>
            </w:r>
          </w:p>
        </w:tc>
        <w:tc>
          <w:tcPr/>
          <w:p>
            <w:pPr>
              <w:pStyle w:val="Compact"/>
              <w:spacing w:before="0" w:after="0" w:line="240" w:lineRule="auto"/>
              <w:jc w:val="right"/>
            </w:pPr>
            <w:r>
              <w:rPr>
                <w:b w:val="0"/>
                <w:sz w:val="15"/>
              </w:rPr>
              <w:t xml:space="preserve">111,169,454</w:t>
            </w:r>
          </w:p>
        </w:tc>
        <w:tc>
          <w:tcPr/>
          <w:p>
            <w:pPr>
              <w:pStyle w:val="Compact"/>
              <w:spacing w:before="0" w:after="0" w:line="240" w:lineRule="auto"/>
              <w:jc w:val="right"/>
            </w:pPr>
            <w:r>
              <w:rPr>
                <w:b w:val="0"/>
                <w:sz w:val="15"/>
              </w:rPr>
              <w:t xml:space="preserve">533,573</w:t>
            </w:r>
          </w:p>
        </w:tc>
        <w:tc>
          <w:tcPr/>
          <w:p>
            <w:pPr>
              <w:pStyle w:val="Compact"/>
              <w:spacing w:before="0" w:after="0" w:line="240" w:lineRule="auto"/>
              <w:jc w:val="right"/>
            </w:pPr>
            <w:r>
              <w:rPr>
                <w:b w:val="0"/>
                <w:sz w:val="15"/>
              </w:rPr>
              <w:t xml:space="preserve">13</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SRR6747958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GD273</w:t>
            </w:r>
          </w:p>
        </w:tc>
        <w:tc>
          <w:tcPr/>
          <w:p>
            <w:pPr>
              <w:pStyle w:val="Compact"/>
              <w:spacing w:before="0" w:after="0" w:line="240" w:lineRule="auto"/>
              <w:jc w:val="right"/>
            </w:pPr>
            <w:r>
              <w:rPr>
                <w:b w:val="0"/>
                <w:sz w:val="15"/>
              </w:rPr>
              <w:t xml:space="preserve">636,817</w:t>
            </w:r>
          </w:p>
        </w:tc>
        <w:tc>
          <w:tcPr/>
          <w:p>
            <w:pPr>
              <w:pStyle w:val="Compact"/>
              <w:spacing w:before="0" w:after="0" w:line="240" w:lineRule="auto"/>
              <w:jc w:val="right"/>
            </w:pPr>
            <w:r>
              <w:rPr>
                <w:b w:val="0"/>
                <w:sz w:val="15"/>
              </w:rPr>
              <w:t xml:space="preserve">186,911,987</w:t>
            </w:r>
          </w:p>
        </w:tc>
        <w:tc>
          <w:tcPr/>
          <w:p>
            <w:pPr>
              <w:pStyle w:val="Compact"/>
              <w:spacing w:before="0" w:after="0" w:line="240" w:lineRule="auto"/>
              <w:jc w:val="right"/>
            </w:pPr>
            <w:r>
              <w:rPr>
                <w:b w:val="0"/>
                <w:sz w:val="15"/>
              </w:rPr>
              <w:t xml:space="preserve">226,983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SRR6748207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GD84</w:t>
            </w:r>
          </w:p>
        </w:tc>
        <w:tc>
          <w:tcPr/>
          <w:p>
            <w:pPr>
              <w:pStyle w:val="Compact"/>
              <w:spacing w:before="0" w:after="0" w:line="240" w:lineRule="auto"/>
              <w:jc w:val="right"/>
            </w:pPr>
            <w:r>
              <w:rPr>
                <w:b w:val="0"/>
                <w:sz w:val="15"/>
              </w:rPr>
              <w:t xml:space="preserve">243,062</w:t>
            </w:r>
          </w:p>
        </w:tc>
        <w:tc>
          <w:tcPr/>
          <w:p>
            <w:pPr>
              <w:pStyle w:val="Compact"/>
              <w:spacing w:before="0" w:after="0" w:line="240" w:lineRule="auto"/>
              <w:jc w:val="right"/>
            </w:pPr>
            <w:r>
              <w:rPr>
                <w:b w:val="0"/>
                <w:sz w:val="15"/>
              </w:rPr>
              <w:t xml:space="preserve">71,385,301</w:t>
            </w:r>
          </w:p>
        </w:tc>
        <w:tc>
          <w:tcPr/>
          <w:p>
            <w:pPr>
              <w:pStyle w:val="Compact"/>
              <w:spacing w:before="0" w:after="0" w:line="240" w:lineRule="auto"/>
              <w:jc w:val="right"/>
            </w:pPr>
            <w:r>
              <w:rPr>
                <w:b w:val="0"/>
                <w:sz w:val="15"/>
              </w:rPr>
              <w:t xml:space="preserve">45,805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bl>
    <w:bookmarkEnd w:id="92"/>
    <w:bookmarkStart w:id="93" w:name="references"/>
    <w:p>
      <w:pPr>
        <w:pStyle w:val="Heading2"/>
      </w:pPr>
      <w:r>
        <w:t xml:space="preserve">References</w:t>
      </w:r>
    </w:p>
    <w:p>
      <w:pPr>
        <w:pStyle w:val="Compact"/>
        <w:numPr>
          <w:ilvl w:val="0"/>
          <w:numId w:val="1001"/>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1"/>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1"/>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1"/>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1"/>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1"/>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1"/>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1"/>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1"/>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1"/>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1"/>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1"/>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1"/>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1"/>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1"/>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1"/>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1"/>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1"/>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1"/>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1"/>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1"/>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1"/>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1"/>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1"/>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1"/>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1"/>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1"/>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1"/>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3"/>
    <w:bookmarkEnd w:id="94"/>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2bRAD-marker profiling of microbiomes</dc:title>
  <dc:creator>Yufeng Zhang; Shi Huang</dc:creator>
  <cp:keywords>Strain2bScan; 2bRAD; metagenomics; strain profiling</cp:keywords>
  <dcterms:created xsi:type="dcterms:W3CDTF">2026-10-21T01:22:42Z</dcterms:created>
  <dcterms:modified xsi:type="dcterms:W3CDTF">2026-10-21T01:22:42Z</dcterms:modified>
  <dc:subject>Manuscript snapshot with embedded main and supplementary figures</dc:subject>
  <dc:description>Two-input restructuring response 2026-10-18</dc:description>
</cp:coreProperties>
</file>

<file path=docProps/custom.xml><?xml version="1.0" encoding="utf-8"?>
<Properties xmlns="http://schemas.openxmlformats.org/officeDocument/2006/custom-properties" xmlns:vt="http://schemas.openxmlformats.org/officeDocument/2006/docPropsVTypes"/>
</file>