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c573160e92fa6b8ce6bac14bd269bf20145b31"/>
    <w:p>
      <w:pPr>
        <w:pStyle w:val="Heading1"/>
      </w:pPr>
      <w:r>
        <w:t xml:space="preserve">Syn2b: fragmentation-invariant structural comparison of microbial genomes by ordered restriction-enzyme tags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Statistics that count transitions between adjacent states acquire a bias that</w:t>
      </w:r>
      <w:r>
        <w:t xml:space="preserve"> </w:t>
      </w:r>
      <w:r>
        <w:t xml:space="preserve">grows with assembly fragmentation, whereas length-weighted ratios are invariant</w:t>
      </w:r>
      <w:r>
        <w:t xml:space="preserve"> </w:t>
      </w:r>
      <w:r>
        <w:t xml:space="preserve">to splitting; this principle determines which structural-variation metrics are</w:t>
      </w:r>
      <w:r>
        <w:t xml:space="preserve"> </w:t>
      </w:r>
      <w:r>
        <w:t xml:space="preserve">trustworthy for draft genomes. We introduce</w:t>
      </w:r>
      <w:r>
        <w:t xml:space="preserve"> </w:t>
      </w:r>
      <w:r>
        <w:rPr>
          <w:b/>
          <w:bCs/>
        </w:rPr>
        <w:t xml:space="preserve">Syn2b</w:t>
      </w:r>
      <w:r>
        <w:t xml:space="preserve">, an alignment-free method</w:t>
      </w:r>
      <w:r>
        <w:t xml:space="preserve"> </w:t>
      </w:r>
      <w:r>
        <w:t xml:space="preserve">that encodes genome structure through the order and adjacency of short tags</w:t>
      </w:r>
      <w:r>
        <w:t xml:space="preserve"> </w:t>
      </w:r>
      <w:r>
        <w:t xml:space="preserve">generated by Type IIB restriction-enzyme digestion. In the strain-level regime</w:t>
      </w:r>
      <w:r>
        <w:t xml:space="preserve"> </w:t>
      </w:r>
      <w:r>
        <w:t xml:space="preserve">(ANIm ≥ 97%, n = 3,826) Syn2b’s fixed-reference inverted aligned fraction agrees</w:t>
      </w:r>
      <w:r>
        <w:t xml:space="preserve"> </w:t>
      </w:r>
      <w:r>
        <w:t xml:space="preserve">with alignment-based truth at Pearson r = 0.996, slope = 1.006; across 43,312</w:t>
      </w:r>
      <w:r>
        <w:t xml:space="preserve"> </w:t>
      </w:r>
      <w:r>
        <w:t xml:space="preserve">held-out GTDB-R207 pairs, r = 0.94. A four-enzyme panel (BcgI+AlfI+AloI+FalI)</w:t>
      </w:r>
      <w:r>
        <w:t xml:space="preserve"> </w:t>
      </w:r>
      <w:r>
        <w:t xml:space="preserve">yields ~1.34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and detects inversions down to ~4 kb.</w:t>
      </w:r>
      <w:r>
        <w:t xml:space="preserve"> </w:t>
      </w:r>
      <w:r>
        <w:t xml:space="preserve">Applied genome-wide, we find that 34% of GTDB-R207 pairs with ANIm ≥ 97% carry</w:t>
      </w:r>
      <w:r>
        <w:t xml:space="preserve"> </w:t>
      </w:r>
      <w:r>
        <w:t xml:space="preserve">≥2 alignment-visible inversion events — rearrangements invisible to ANI</w:t>
      </w:r>
      <w:r>
        <w:t xml:space="preserve"> </w:t>
      </w:r>
      <w:r>
        <w:t xml:space="preserve">ranking. Syn2b is 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 At the other extreme, fast</w:t>
      </w:r>
      <w:r>
        <w:t xml:space="preserve"> </w:t>
      </w:r>
      <w:r>
        <w:t xml:space="preserve">k-mer-anchor estimators such as skani²¹ compute genome-wide ANI in milliseconds</w:t>
      </w:r>
      <w:r>
        <w:t xml:space="preserve"> </w:t>
      </w:r>
      <w:r>
        <w:t xml:space="preserve">but discard adjacency information entirely and therefore cannot report any</w:t>
      </w:r>
      <w:r>
        <w:t xml:space="preserve"> </w:t>
      </w:r>
      <w:r>
        <w:t xml:space="preserve">structural quantity.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Syn2b</w:t>
      </w:r>
      <w:r>
        <w:t xml:space="preserve">, which occupies the space between these two extremes.</w:t>
      </w:r>
      <w:r>
        <w:t xml:space="preserve"> </w:t>
      </w:r>
      <w:r>
        <w:t xml:space="preserve">Syn2b exploits the predictable fragmentation of Type IIB restriction enzymes to</w:t>
      </w:r>
      <w:r>
        <w:t xml:space="preserve"> </w:t>
      </w:r>
      <w:r>
        <w:t xml:space="preserve">generate short tags (27–32 bp)¹⁷ that are physically sequenceable by 2bRAD-style</w:t>
      </w:r>
      <w:r>
        <w:t xml:space="preserve"> </w:t>
      </w:r>
      <w:r>
        <w:t xml:space="preserve">protocols, linking the in-silico metric directly to an experimental assay. By</w:t>
      </w:r>
      <w:r>
        <w:t xml:space="preserve"> </w:t>
      </w:r>
      <w:r>
        <w:t xml:space="preserve">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four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regime; and (4) a genome-wide survey of</w:t>
      </w:r>
      <w:r>
        <w:t xml:space="preserve"> </w:t>
      </w:r>
      <w:r>
        <w:t xml:space="preserve">ANI–rearrangement discordance showing that one third of strain-level GTDB pairs</w:t>
      </w:r>
      <w:r>
        <w:t xml:space="preserve"> </w:t>
      </w:r>
      <w:r>
        <w:t xml:space="preserve">carry multiple inversion events that ANI ranking cannot see.</w:t>
      </w:r>
    </w:p>
    <w:p>
      <w:r>
        <w:pict>
          <v:rect style="width:0;height:1.5pt" o:hralign="center" o:hrstd="t" o:hr="t"/>
        </w:pict>
      </w:r>
    </w:p>
    <w:bookmarkEnd w:id="10"/>
    <w:bookmarkStart w:id="19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; per-enzyme tag densities and the</w:t>
      </w:r>
      <w:r>
        <w:t xml:space="preserve"> </w:t>
      </w:r>
      <w:r>
        <w:t xml:space="preserve">rationale for this combination are given in section 4.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6a).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These controlled inputs establish that each reported metric</w:t>
      </w:r>
      <w:r>
        <w:t xml:space="preserve"> </w:t>
      </w:r>
      <w:r>
        <w:t xml:space="preserve">responds to its target SV class (Figure 2); quantitative accuracy on real</w:t>
      </w:r>
      <w:r>
        <w:t xml:space="preserve"> </w:t>
      </w:r>
      <w:r>
        <w:t xml:space="preserve">genomes is validated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(6,216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526–631 shared</w:t>
      </w:r>
      <w:r>
        <w:t xml:space="preserve"> </w:t>
      </w:r>
      <w:r>
        <w:t xml:space="preserve">tags relative to the 6,216-tag SNP-only control, with the loss growing with</w:t>
      </w:r>
      <w:r>
        <w:t xml:space="preserve"> </w:t>
      </w:r>
      <w:r>
        <w:t xml:space="preserve">event size (Supplementary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Two considerations motivate enzyme landmarks over purely</w:t>
      </w:r>
      <w:r>
        <w:t xml:space="preserve"> </w:t>
      </w:r>
      <w:r>
        <w:t xml:space="preserve">computational ones. First, Type IIB tags are physical molecules: each landmark</w:t>
      </w:r>
      <w:r>
        <w:t xml:space="preserve"> </w:t>
      </w:r>
      <w:r>
        <w:t xml:space="preserve">is a 27–32-bp fragment flanking a fixed recognition site, so the exact tag set</w:t>
      </w:r>
      <w:r>
        <w:t xml:space="preserve"> </w:t>
      </w:r>
      <w:r>
        <w:t xml:space="preserve">analysed here can be generated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 2bRAD-style digestion and</w:t>
      </w:r>
      <w:r>
        <w:t xml:space="preserve"> </w:t>
      </w:r>
      <w:r>
        <w:t xml:space="preserve">sequencing, linking the in-silico metric to a real assay at negligible extra</w:t>
      </w:r>
      <w:r>
        <w:t xml:space="preserve"> </w:t>
      </w:r>
      <w:r>
        <w:t xml:space="preserve">cost. Second, enzyme recognition is deterministic and parameter-free — the same</w:t>
      </w:r>
      <w:r>
        <w:t xml:space="preserve"> </w:t>
      </w:r>
      <w:r>
        <w:t xml:space="preserve">genome always yields the same landmarks across studies and software versions,</w:t>
      </w:r>
      <w:r>
        <w:t xml:space="preserve"> </w:t>
      </w:r>
      <w:r>
        <w:t xml:space="preserve">which matters for database-scale applications where sketches must remain</w:t>
      </w:r>
      <w:r>
        <w:t xml:space="preserve"> </w:t>
      </w:r>
      <w:r>
        <w:t xml:space="preserve">comparable over time.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</w:t>
      </w:r>
      <w:r>
        <w:t xml:space="preserve"> </w:t>
      </w:r>
      <w:r>
        <w:t xml:space="preserve">(pooled statistics below and in section 6 refer to this sample).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 One caveat applies to both dnadiff and Syn2b</w:t>
      </w:r>
      <w:r>
        <w:t xml:space="preserve"> </w:t>
      </w:r>
      <w:r>
        <w:t xml:space="preserve">fixed-reference fractions: because the orientation of individual contigs in a</w:t>
      </w:r>
      <w:r>
        <w:t xml:space="preserve"> </w:t>
      </w:r>
      <w:r>
        <w:t xml:space="preserve">draft assembly is arbitrary, pairs whose assemblies follow different orientation</w:t>
      </w:r>
      <w:r>
        <w:t xml:space="preserve"> </w:t>
      </w:r>
      <w:r>
        <w:t xml:space="preserve">conventions read as ~0.5 inverted regardless of biology. The fraction is</w:t>
      </w:r>
      <w:r>
        <w:t xml:space="preserve"> </w:t>
      </w:r>
      <w:r>
        <w:t xml:space="preserve">therefore a</w:t>
      </w:r>
      <w:r>
        <w:t xml:space="preserve"> </w:t>
      </w:r>
      <w:r>
        <w:rPr>
          <w:i/>
          <w:iCs/>
        </w:rPr>
        <w:t xml:space="preserve">tracking</w:t>
      </w:r>
      <w:r>
        <w:t xml:space="preserve"> </w:t>
      </w:r>
      <w:r>
        <w:t xml:space="preserve">metric — Syn2b reproduces the alignment-based value with</w:t>
      </w:r>
      <w:r>
        <w:t xml:space="preserve"> </w:t>
      </w:r>
      <w:r>
        <w:t xml:space="preserve">calibrated error — while per-pair biological interpretation of the inverted</w:t>
      </w:r>
      <w:r>
        <w:t xml:space="preserve"> </w:t>
      </w:r>
      <w:r>
        <w:t xml:space="preserve">fraction requires orientation-consistent assemblies;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</w:t>
      </w:r>
      <w:r>
        <w:t xml:space="preserve"> </w:t>
      </w:r>
      <w:r>
        <w:t xml:space="preserve">free of this convention (section 6).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 The contamination is directly visible:</w:t>
      </w:r>
      <w:r>
        <w:t xml:space="preserve"> </w:t>
      </w:r>
      <w:r>
        <w:t xml:space="preserve">across the held-out set, dnadiff’s breakpoint count correlates with assembly</w:t>
      </w:r>
      <w:r>
        <w:t xml:space="preserve"> </w:t>
      </w:r>
      <w:r>
        <w:t xml:space="preserve">contig count at Spearman ρ = 0.28 (partial ρ = 0.34 controlling ANIm), and</w:t>
      </w:r>
      <w:r>
        <w:t xml:space="preserve"> </w:t>
      </w:r>
      <w:r>
        <w:t xml:space="preserve">62% of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are contig starts (correlation with contig count</w:t>
      </w:r>
      <w:r>
        <w:t xml:space="preserve"> </w:t>
      </w:r>
      <w:r>
        <w:t xml:space="preserve">r = 0.771). Syn2b’s junction count, once the same contig correction is applied,</w:t>
      </w:r>
      <w:r>
        <w:t xml:space="preserve"> </w:t>
      </w:r>
      <w:r>
        <w:t xml:space="preserve">shows no residual contig-count dependence. These results support the</w:t>
      </w:r>
      <w:r>
        <w:t xml:space="preserve"> </w:t>
      </w:r>
      <w:r>
        <w:t xml:space="preserve">fragmentation principle and argue for prioritizing length-weighted ratios in</w:t>
      </w:r>
      <w:r>
        <w:t xml:space="preserve"> </w:t>
      </w:r>
      <w:r>
        <w:t xml:space="preserve">structural comparison of draft assemblies.</w:t>
      </w:r>
    </w:p>
    <w:bookmarkEnd w:id="15"/>
    <w:bookmarkStart w:id="16" w:name="X63ef91bfde80d80856d8f5fc6d8bcb8e9757653"/>
    <w:p>
      <w:pPr>
        <w:pStyle w:val="Heading3"/>
      </w:pPr>
      <w:r>
        <w:t xml:space="preserve">6. One third of strain-level GTDB pairs carry invisible rearrangements</w:t>
      </w:r>
    </w:p>
    <w:p>
      <w:pPr>
        <w:pStyle w:val="FirstParagraph"/>
      </w:pPr>
      <w:r>
        <w:t xml:space="preserve">The validations above ask how faithfully Syn2b reproduces alignment-based</w:t>
      </w:r>
      <w:r>
        <w:t xml:space="preserve"> </w:t>
      </w:r>
      <w:r>
        <w:t xml:space="preserve">metrics; we now ask what those metrics reveal when applied genome-wide. We</w:t>
      </w:r>
      <w:r>
        <w:t xml:space="preserve"> </w:t>
      </w:r>
      <w:r>
        <w:t xml:space="preserve">merged the held-out set with the ANIm-verified high-ANI sample (47,748 pairs</w:t>
      </w:r>
      <w:r>
        <w:t xml:space="preserve"> </w:t>
      </w:r>
      <w:r>
        <w:t xml:space="preserve">with per-pair ANIm, dnadiff structural events, and Syn2b metrics) and counted</w:t>
      </w:r>
      <w:r>
        <w:t xml:space="preserve"> </w:t>
      </w:r>
      <w:r>
        <w:t xml:space="preserve">dnadiff inversion events per pair. Because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 insensitive to</w:t>
      </w:r>
      <w:r>
        <w:t xml:space="preserve"> </w:t>
      </w:r>
      <w:r>
        <w:t xml:space="preserve">the orientation conventions that affect length-based inverted fractions</w:t>
      </w:r>
      <w:r>
        <w:t xml:space="preserve"> </w:t>
      </w:r>
      <w:r>
        <w:t xml:space="preserve">(section 5), they provide a convention-free rearrangement truth.</w:t>
      </w:r>
    </w:p>
    <w:p>
      <w:pPr>
        <w:pStyle w:val="BodyText"/>
      </w:pPr>
      <w:r>
        <w:rPr>
          <w:b/>
          <w:bCs/>
        </w:rPr>
        <w:t xml:space="preserve">Rearrangement is common at strain-level ANI.</w:t>
      </w:r>
      <w:r>
        <w:t xml:space="preserve"> </w:t>
      </w:r>
      <w:r>
        <w:t xml:space="preserve">Of the 3,828 pairs with</w:t>
      </w:r>
      <w:r>
        <w:t xml:space="preserve"> </w:t>
      </w:r>
      <w:r>
        <w:t xml:space="preserve">ANIm ≥ 97%, 45% carry at least one dnadiff inversion and 1,295 (34%) carry two</w:t>
      </w:r>
      <w:r>
        <w:t xml:space="preserve"> </w:t>
      </w:r>
      <w:r>
        <w:t xml:space="preserve">or more — pairs that any ANI-based ranking would report as near-identical</w:t>
      </w:r>
      <w:r>
        <w:t xml:space="preserve"> </w:t>
      </w:r>
      <w:r>
        <w:t xml:space="preserve">(Figure 5a). The prevalence decays slowly with divergence: at ANIm ≥ 99%, 29%</w:t>
      </w:r>
      <w:r>
        <w:t xml:space="preserve"> </w:t>
      </w:r>
      <w:r>
        <w:t xml:space="preserve">of pairs still carry ≥1 inversion (18% ≥2; Figure 5b). Extreme cases include</w:t>
      </w:r>
      <w:r>
        <w:t xml:space="preserve"> </w:t>
      </w:r>
      <w:r>
        <w:t xml:space="preserve">two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 </w:t>
      </w:r>
      <w:r>
        <w:t xml:space="preserve">assemblies of the same species (ANIm 97.1%) with 129</w:t>
      </w:r>
      <w:r>
        <w:t xml:space="preserve"> </w:t>
      </w:r>
      <w:r>
        <w:t xml:space="preserve">dnadiff inversions between them (top cases in Supplementary Table 6).</w:t>
      </w:r>
    </w:p>
    <w:p>
      <w:pPr>
        <w:pStyle w:val="BodyText"/>
      </w:pPr>
      <w:r>
        <w:rPr>
          <w:b/>
          <w:bCs/>
        </w:rPr>
        <w:t xml:space="preserve">Discordant pairs are taxonomically structured.</w:t>
      </w:r>
      <w:r>
        <w:t xml:space="preserve"> </w:t>
      </w:r>
      <w:r>
        <w:t xml:space="preserve">Relative to concordant</w:t>
      </w:r>
      <w:r>
        <w:t xml:space="preserve"> </w:t>
      </w:r>
      <w:r>
        <w:t xml:space="preserve">high-ANI pairs, discordant pairs (ANIm ≥ 97%, ≥2 inversions) are enriched in</w:t>
      </w:r>
      <w:r>
        <w:t xml:space="preserve"> </w:t>
      </w:r>
      <w:r>
        <w:t xml:space="preserve">Proteobacteria (1.3×), Firmicutes (1.4×), Firmicutes_A (1.4×), and</w:t>
      </w:r>
      <w:r>
        <w:t xml:space="preserve"> </w:t>
      </w:r>
      <w:r>
        <w:t xml:space="preserve">Actinobacteriota (1.3×), and depleted in Spirochaetota (0.74×;</w:t>
      </w:r>
      <w:r>
        <w:t xml:space="preserve"> </w:t>
      </w:r>
      <w:r>
        <w:t xml:space="preserve">Figure 5c), consistent with known variation in genome rearrangement rates</w:t>
      </w:r>
      <w:r>
        <w:t xml:space="preserve"> </w:t>
      </w:r>
      <w:r>
        <w:t xml:space="preserve">across phyla.</w:t>
      </w:r>
    </w:p>
    <w:p>
      <w:pPr>
        <w:pStyle w:val="BodyText"/>
      </w:pPr>
      <w:r>
        <w:rPr>
          <w:b/>
          <w:bCs/>
        </w:rPr>
        <w:t xml:space="preserve">Syn2b flags discordant pairs at screening cost.</w:t>
      </w:r>
      <w:r>
        <w:t xml:space="preserve"> </w:t>
      </w:r>
      <w:r>
        <w:t xml:space="preserve">Syn2b’s junction count</w:t>
      </w:r>
      <w:r>
        <w:t xml:space="preserve"> </w:t>
      </w:r>
      <w:r>
        <w:t xml:space="preserve">ranks ≥97%-ANIm pairs by rearrangement burden with AUC 0.80 against dnadiff</w:t>
      </w:r>
      <w:r>
        <w:t xml:space="preserve"> </w:t>
      </w:r>
      <w:r>
        <w:t xml:space="preserve">inversion counts and shows no dependence on assembly contig number</w:t>
      </w:r>
      <w:r>
        <w:t xml:space="preserve"> </w:t>
      </w:r>
      <w:r>
        <w:t xml:space="preserve">(section 5). At a screening threshold of ≥12 junctions it flags 30% of</w:t>
      </w:r>
      <w:r>
        <w:t xml:space="preserve"> </w:t>
      </w:r>
      <w:r>
        <w:t xml:space="preserve">discordant pairs at a 4.6% false-positive rate on concordant pairs; flagged</w:t>
      </w:r>
      <w:r>
        <w:t xml:space="preserve"> </w:t>
      </w:r>
      <w:r>
        <w:t xml:space="preserve">pairs can then be committed to alignment-based validation. The remaining</w:t>
      </w:r>
      <w:r>
        <w:t xml:space="preserve"> </w:t>
      </w:r>
      <w:r>
        <w:t xml:space="preserve">discrepancy is expected from the sampling model: junction counts underestimate</w:t>
      </w:r>
      <w:r>
        <w:t xml:space="preserve"> </w:t>
      </w:r>
      <w:r>
        <w:t xml:space="preserve">rearrangements that fall between landmarks, and the ratio metric is blind to</w:t>
      </w:r>
      <w:r>
        <w:t xml:space="preserve"> </w:t>
      </w:r>
      <w:r>
        <w:t xml:space="preserve">event multiplicity. For database-scale applications the practical consequence</w:t>
      </w:r>
      <w:r>
        <w:t xml:space="preserve"> </w:t>
      </w:r>
      <w:r>
        <w:t xml:space="preserve">is direct: a genome search that reports only ANI will rank 1,295 structurally</w:t>
      </w:r>
      <w:r>
        <w:t xml:space="preserve"> </w:t>
      </w:r>
      <w:r>
        <w:t xml:space="preserve">divergent GTDB pairs as top hits, and Syn2b recovers this signal in</w:t>
      </w:r>
      <w:r>
        <w:t xml:space="preserve"> </w:t>
      </w:r>
      <w:r>
        <w:t xml:space="preserve">~19 ms per pair without any alignment.</w:t>
      </w:r>
    </w:p>
    <w:bookmarkEnd w:id="16"/>
    <w:bookmarkStart w:id="17" w:name="Xf6b0eddf9c0c3e42eb314c229d743bb331206ea"/>
    <w:p>
      <w:pPr>
        <w:pStyle w:val="Heading3"/>
      </w:pPr>
      <w:r>
        <w:t xml:space="preserve">7.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7"/>
    <w:bookmarkStart w:id="18" w:name="runtime-benchmarking"/>
    <w:p>
      <w:pPr>
        <w:pStyle w:val="Heading3"/>
      </w:pPr>
      <w:r>
        <w:t xml:space="preserve">8.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31 ms (FalI) to 46 ms</w:t>
      </w:r>
      <w:r>
        <w:t xml:space="preserve"> </w:t>
      </w:r>
      <w:r>
        <w:t xml:space="preserve">(BcgI) (Figure 6a).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6b; Table 3).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Syn2b,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existing structural workflows.</w:t>
      </w:r>
      <w:r>
        <w:t xml:space="preserve"> </w:t>
      </w:r>
      <w:r>
        <w:t xml:space="preserve">SynTracker pioneered</w:t>
      </w:r>
      <w:r>
        <w:t xml:space="preserve"> </w:t>
      </w:r>
      <w:r>
        <w:t xml:space="preserve">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(135 s per ordered pair; Supplementary Table 4), about</w:t>
      </w:r>
      <w:r>
        <w:t xml:space="preserve"> </w:t>
      </w:r>
      <w:r>
        <w:t xml:space="preserve">15,000 times slower than Syn2b for a comparable structural read-out.</w:t>
      </w:r>
      <w:r>
        <w:t xml:space="preserve"> </w:t>
      </w:r>
      <w:r>
        <w:t xml:space="preserve">Alignment-based callers such as dnadiff provide ground truth but require a</w:t>
      </w:r>
      <w:r>
        <w:t xml:space="preserve"> </w:t>
      </w:r>
      <w:r>
        <w:t xml:space="preserve">pairwise nucmer alignment per genome pair (~8.0 s per unique pair on our</w:t>
      </w:r>
      <w:r>
        <w:t xml:space="preserve"> </w:t>
      </w:r>
      <w:r>
        <w:t xml:space="preserve">benchmark; Supplementary Table 4). Syn2b achieves the same structural signal</w:t>
      </w:r>
      <w:r>
        <w:t xml:space="preserve"> </w:t>
      </w:r>
      <w:r>
        <w:t xml:space="preserve">through Type IIB tag adjacency, without pairwise alignment or a pre-built</w:t>
      </w:r>
      <w:r>
        <w:t xml:space="preserve"> </w:t>
      </w:r>
      <w:r>
        <w:t xml:space="preserve">database, at ~19 ms per unique pair. Other alignment-free approaches — MinHash</w:t>
      </w:r>
      <w:r>
        <w:t xml:space="preserve"> </w:t>
      </w:r>
      <w:r>
        <w:t xml:space="preserve">distances (Mash¹⁸) and sparse chaining (skani²¹) — summarize genomes as k-mer</w:t>
      </w:r>
      <w:r>
        <w:t xml:space="preserve"> </w:t>
      </w:r>
      <w:r>
        <w:t xml:space="preserve">sets and are by construction blind to adjacency, as our controlled benchmarks</w:t>
      </w:r>
      <w:r>
        <w:t xml:space="preserve"> </w:t>
      </w:r>
      <w:r>
        <w:t xml:space="preserve">confirm (Figure 2d); Syn2b retains ordered landmarks at comparable cost and is,</w:t>
      </w:r>
      <w:r>
        <w:t xml:space="preserve"> </w:t>
      </w:r>
      <w:r>
        <w:t xml:space="preserve">to our knowledge, the fastest method that reports any length-resolved</w:t>
      </w:r>
      <w:r>
        <w:t xml:space="preserve"> </w:t>
      </w:r>
      <w:r>
        <w:t xml:space="preserve">structural quantity. The GTDB validation shows that the orientation ratio alone</w:t>
      </w:r>
      <w:r>
        <w:t xml:space="preserve"> </w:t>
      </w:r>
      <w:r>
        <w:t xml:space="preserve">matches dnadiff at r = 0.94 overall and r = 0.996 at ANIm ≥ 97%.</w:t>
      </w:r>
    </w:p>
    <w:p>
      <w:pPr>
        <w:pStyle w:val="BodyText"/>
      </w:pPr>
      <w:r>
        <w:rPr>
          <w:b/>
          <w:bCs/>
        </w:rPr>
        <w:t xml:space="preserve">What genome-wide screening reveals.</w:t>
      </w:r>
      <w:r>
        <w:t xml:space="preserve"> </w:t>
      </w:r>
      <w:r>
        <w:t xml:space="preserve">The discordance survey in section 6</w:t>
      </w:r>
      <w:r>
        <w:t xml:space="preserve"> </w:t>
      </w:r>
      <w:r>
        <w:t xml:space="preserve">gives a concrete use case. GTDB-R207 contains 1,295 genome pairs that any</w:t>
      </w:r>
      <w:r>
        <w:t xml:space="preserve"> </w:t>
      </w:r>
      <w:r>
        <w:t xml:space="preserve">ANI-only search will rank as near-identical (ANIm ≥ 97%) yet that carry ≥2</w:t>
      </w:r>
      <w:r>
        <w:t xml:space="preserve"> </w:t>
      </w:r>
      <w:r>
        <w:t xml:space="preserve">alignment-visible inversions. Fast adjacency-based metrics make such pairs</w:t>
      </w:r>
      <w:r>
        <w:t xml:space="preserve"> </w:t>
      </w:r>
      <w:r>
        <w:t xml:space="preserve">discoverable at database scale and in real time during genome search, at which</w:t>
      </w:r>
      <w:r>
        <w:t xml:space="preserve"> </w:t>
      </w:r>
      <w:r>
        <w:t xml:space="preserve">point selected pairs can be committed to alignment-based validation. We expect</w:t>
      </w:r>
      <w:r>
        <w:t xml:space="preserve"> </w:t>
      </w:r>
      <w:r>
        <w:t xml:space="preserve">this screening role — rather than replacement of alignment-based callers — to</w:t>
      </w:r>
      <w:r>
        <w:t xml:space="preserve"> </w:t>
      </w:r>
      <w:r>
        <w:t xml:space="preserve">be the primary mode of use.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per-pair biological interpretation of the inverted fraction requires</w:t>
      </w:r>
      <w:r>
        <w:t xml:space="preserve"> </w:t>
      </w:r>
      <w:r>
        <w:t xml:space="preserve">orientation-consistent assemblies, because arbitrary contig orientation in draft</w:t>
      </w:r>
      <w:r>
        <w:t xml:space="preserve"> </w:t>
      </w:r>
      <w:r>
        <w:t xml:space="preserve">assemblies drives fixed-reference fractions toward 0.5 even between identical</w:t>
      </w:r>
      <w:r>
        <w:t xml:space="preserve"> </w:t>
      </w:r>
      <w:r>
        <w:t xml:space="preserve">genomes; inversion counts are free of this convention but carry the</w:t>
      </w:r>
      <w:r>
        <w:t xml:space="preserve"> </w:t>
      </w:r>
      <w:r>
        <w:t xml:space="preserve">fragmentation dependence of all transition counts, and are best used on</w:t>
      </w:r>
      <w:r>
        <w:t xml:space="preserve"> </w:t>
      </w:r>
      <w:r>
        <w:t xml:space="preserve">low-contig or contig-corrected assemblies.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1"/>
    <w:bookmarkStart w:id="22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2"/>
    <w:bookmarkStart w:id="23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used only as an assembly-quality statistic because most</w:t>
      </w:r>
      <w:r>
        <w:t xml:space="preserve"> </w:t>
      </w:r>
      <w:r>
        <w:t xml:space="preserve">blocks originate at contig starts (Results, GTDB-R207 validation).</w:t>
      </w:r>
    </w:p>
    <w:bookmarkEnd w:id="23"/>
    <w:bookmarkStart w:id="24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4"/>
    <w:bookmarkStart w:id="25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 cohort</w:t>
      </w:r>
      <w:r>
        <w:t xml:space="preserve"> </w:t>
      </w:r>
      <w:r>
        <w:t xml:space="preserve">assembly sets to obtain the ANI values used in Figure 4.</w:t>
      </w:r>
    </w:p>
    <w:bookmarkEnd w:id="25"/>
    <w:bookmarkStart w:id="26" w:name="X8a39519311735125bd69615251976c20069db80"/>
    <w:p>
      <w:pPr>
        <w:pStyle w:val="Heading3"/>
      </w:pPr>
      <w:r>
        <w:t xml:space="preserve">Genome-wide ANI–rearrangement discordance analysis</w:t>
      </w:r>
    </w:p>
    <w:p>
      <w:pPr>
        <w:pStyle w:val="FirstParagraph"/>
      </w:pPr>
      <w:r>
        <w:t xml:space="preserve">The held-out set and the ANIm-verified high-ANI sample were merged on</w:t>
      </w:r>
      <w:r>
        <w:t xml:space="preserve"> </w:t>
      </w:r>
      <w:r>
        <w:rPr>
          <w:rStyle w:val="VerbatimChar"/>
        </w:rPr>
        <w:t xml:space="preserve">pairid</w:t>
      </w:r>
      <w:r>
        <w:t xml:space="preserve"> </w:t>
      </w:r>
      <w:r>
        <w:t xml:space="preserve">(no overlap between the two sets). Per-pair ANIm, dnadiff inversion</w:t>
      </w:r>
      <w:r>
        <w:t xml:space="preserve"> </w:t>
      </w:r>
      <w:r>
        <w:t xml:space="preserve">counts (</w:t>
      </w:r>
      <w:r>
        <w:rPr>
          <w:rStyle w:val="VerbatimChar"/>
        </w:rPr>
        <w:t xml:space="preserve">max</w:t>
      </w:r>
      <w:r>
        <w:t xml:space="preserve"> </w:t>
      </w:r>
      <w:r>
        <w:t xml:space="preserve">of the reference-side and query-side</w:t>
      </w:r>
      <w:r>
        <w:t xml:space="preserve"> </w:t>
      </w:r>
      <w:r>
        <w:rPr>
          <w:rStyle w:val="VerbatimChar"/>
        </w:rPr>
        <w:t xml:space="preserve">dd_inversions</w:t>
      </w:r>
      <w:r>
        <w:t xml:space="preserve"> </w:t>
      </w:r>
      <w:r>
        <w:t xml:space="preserve">columns of</w:t>
      </w:r>
      <w:r>
        <w:t xml:space="preserve"> </w:t>
      </w:r>
      <w:r>
        <w:t xml:space="preserve">the dnadiff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output), dnadiff breakpoint counts, Syn2b junction</w:t>
      </w:r>
      <w:r>
        <w:t xml:space="preserve"> </w:t>
      </w:r>
      <w:r>
        <w:t xml:space="preserve">counts, and per-genome contig numbers (from GTDB-R207 metadata) were combined</w:t>
      </w:r>
      <w:r>
        <w:t xml:space="preserve"> </w:t>
      </w:r>
      <w:r>
        <w:t xml:space="preserve">with the analysis script</w:t>
      </w:r>
      <w:r>
        <w:t xml:space="preserve"> </w:t>
      </w:r>
      <w:r>
        <w:rPr>
          <w:rStyle w:val="VerbatimChar"/>
        </w:rPr>
        <w:t xml:space="preserve">scripts/analyze_ani_synteny_discordance.py</w:t>
      </w:r>
      <w:r>
        <w:t xml:space="preserve">, which</w:t>
      </w:r>
      <w:r>
        <w:t xml:space="preserve"> </w:t>
      </w:r>
      <w:r>
        <w:t xml:space="preserve">also produces Figure 5 and all discordance summary statistics. A pair was</w:t>
      </w:r>
      <w:r>
        <w:t xml:space="preserve"> </w:t>
      </w:r>
      <w:r>
        <w:t xml:space="preserve">called discordant if ANIm ≥ 97% and it carried ≥2 dnadiff inversion events.</w:t>
      </w:r>
      <w:r>
        <w:t xml:space="preserve"> </w:t>
      </w:r>
      <w:r>
        <w:t xml:space="preserve">Phylum-level enrichment was computed against the concordant (ANIm ≥ 97%,</w:t>
      </w:r>
      <w:r>
        <w:t xml:space="preserve"> </w:t>
      </w:r>
      <w:r>
        <w:t xml:space="preserve">&lt;2 inversions) background. Syn2b flagging performance was quantified as the</w:t>
      </w:r>
      <w:r>
        <w:t xml:space="preserve"> </w:t>
      </w:r>
      <w:r>
        <w:t xml:space="preserve">ROC AUC of the Syn2b junction count for discriminating discordant from</w:t>
      </w:r>
      <w:r>
        <w:t xml:space="preserve"> </w:t>
      </w:r>
      <w:r>
        <w:t xml:space="preserve">concordant pairs. Fragmentation dependence of breakpoint-style counts was</w:t>
      </w:r>
      <w:r>
        <w:t xml:space="preserve"> </w:t>
      </w:r>
      <w:r>
        <w:t xml:space="preserve">assessed by Spearman correlation with the per-pair maximum contig count and by</w:t>
      </w:r>
      <w:r>
        <w:t xml:space="preserve"> </w:t>
      </w:r>
      <w:r>
        <w:t xml:space="preserve">partial correlation controlling for ANIm.</w:t>
      </w:r>
    </w:p>
    <w:bookmarkEnd w:id="26"/>
    <w:bookmarkStart w:id="27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7"/>
    <w:bookmarkStart w:id="28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Delcher, A. L., Phillippy, A. M., Coston, R., Salzberg, S. L.</w:t>
      </w:r>
      <w:r>
        <w:t xml:space="preserve"> </w:t>
      </w:r>
      <w:r>
        <w:t xml:space="preserve">&amp; Zimin, A. MUMmer4: a fast and versatile genome alignment system.</w:t>
      </w:r>
      <w:r>
        <w:t xml:space="preserve"> </w:t>
      </w:r>
      <w:r>
        <w:rPr>
          <w:i/>
          <w:iCs/>
        </w:rPr>
        <w:t xml:space="preserve">PLoS</w:t>
      </w:r>
      <w:r>
        <w:rPr>
          <w:i/>
          <w:iCs/>
        </w:rPr>
        <w:t xml:space="preserve"> </w:t>
      </w:r>
      <w:r>
        <w:rPr>
          <w:i/>
          <w:iCs/>
        </w:rPr>
        <w:t xml:space="preserve">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30"/>
    <w:bookmarkStart w:id="31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length-weighted raw inverted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Genome-wide ANI–rearrangement discordance in GTDB-R207.</w:t>
      </w:r>
      <w:r>
        <w:t xml:space="preserve"> </w:t>
      </w:r>
      <w:r>
        <w:t xml:space="preserve">(a) Pair-density map of ANIm versus dnadiff inversion-event count across</w:t>
      </w:r>
      <w:r>
        <w:t xml:space="preserve"> </w:t>
      </w:r>
      <w:r>
        <w:t xml:space="preserve">47,748 pairs (held-out set plus ANIm-verified high-ANI sample); the red line</w:t>
      </w:r>
      <w:r>
        <w:t xml:space="preserve"> </w:t>
      </w:r>
      <w:r>
        <w:t xml:space="preserve">marks the species-level ANI threshold and the annotation gives the number of</w:t>
      </w:r>
      <w:r>
        <w:t xml:space="preserve"> </w:t>
      </w:r>
      <w:r>
        <w:t xml:space="preserve">discordant pairs (ANIm ≥ 97%, ≥2 inversions). (b) Percentage of pairs carrying</w:t>
      </w:r>
      <w:r>
        <w:t xml:space="preserve"> </w:t>
      </w:r>
      <w:r>
        <w:t xml:space="preserve">at least 1, 2, or 5 dnadiff inversions per 1% ANIm bin — rearrangement</w:t>
      </w:r>
      <w:r>
        <w:t xml:space="preserve"> </w:t>
      </w:r>
      <w:r>
        <w:t xml:space="preserve">prevalence decays slowly as ANI approaches 100%. (c) Phylum composition of</w:t>
      </w:r>
      <w:r>
        <w:t xml:space="preserve"> </w:t>
      </w:r>
      <w:r>
        <w:t xml:space="preserve">discordant pairs (dark blue) versus concordant ANIm ≥ 97% pairs (light blue);</w:t>
      </w:r>
      <w:r>
        <w:t xml:space="preserve"> </w:t>
      </w:r>
      <w:r>
        <w:t xml:space="preserve">numbers give the enrichment fold. (</w:t>
      </w:r>
      <w:r>
        <w:rPr>
          <w:rStyle w:val="VerbatimChar"/>
        </w:rPr>
        <w:t xml:space="preserve">figures/main/fig5_discordance_overview.png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Figure 6.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3.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 Per-pair times are</w:t>
      </w:r>
      <w:r>
        <w:t xml:space="preserve"> </w:t>
      </w:r>
      <w:r>
        <w:t xml:space="preserve">reported per unique pair throughout the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6b.</w:t>
      </w:r>
    </w:p>
    <w:p>
      <w:r>
        <w:pict>
          <v:rect style="width:0;height:1.5pt" o:hralign="center" o:hrstd="t" o:hr="t"/>
        </w:pict>
      </w:r>
    </w:p>
    <w:bookmarkEnd w:id="31"/>
    <w:bookmarkStart w:id="35" w:name="supplementary-information"/>
    <w:p>
      <w:pPr>
        <w:pStyle w:val="Heading2"/>
      </w:pPr>
      <w:r>
        <w:t xml:space="preserve">Supplementary Information</w:t>
      </w:r>
    </w:p>
    <w:bookmarkStart w:id="32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2"/>
    <w:bookmarkStart w:id="33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6:</w:t>
      </w:r>
      <w:r>
        <w:t xml:space="preserve"> </w:t>
      </w:r>
      <w:r>
        <w:t xml:space="preserve">ANI–rearrangement discordance across GTDB-R207:</w:t>
      </w:r>
      <w:r>
        <w:t xml:space="preserve"> </w:t>
      </w:r>
      <w:r>
        <w:t xml:space="preserve">inversion-event rates per ANIm band, top discordant pairs with taxonomy, and</w:t>
      </w:r>
      <w:r>
        <w:t xml:space="preserve"> </w:t>
      </w:r>
      <w:r>
        <w:t xml:space="preserve">Syn2b flagging performance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results/discordance/discordance_by_band.tsv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results/discordance/discordant_pairs_top.tsv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results/discordance/syn2b_flagging.tsv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are per unique unordered pair C(n,2); the benchmark recorded</w:t>
      </w:r>
      <w:r>
        <w:t xml:space="preserve"> </w:t>
      </w:r>
      <w:r>
        <w:t xml:space="preserve">n² ordered (self-plus-reciprocal)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pairs; mean of three replicates, SynTracker single run). Syn2b</w:t>
      </w:r>
      <w:r>
        <w:t xml:space="preserve"> </w:t>
      </w:r>
      <w:r>
        <w:t xml:space="preserve">reports structural metrics only; the companion tool Syn2bANI reuses the same</w:t>
      </w:r>
      <w:r>
        <w:t xml:space="preserve"> </w:t>
      </w:r>
      <w:r>
        <w:t xml:space="preserve">tag framework to report ANI together with structural metrics. SynTracker was</w:t>
      </w:r>
      <w:r>
        <w:t xml:space="preserve"> </w:t>
      </w:r>
      <w:r>
        <w:t xml:space="preserve">run with its default pipeline on 16 cores; its output (average pairwise</w:t>
      </w:r>
      <w:r>
        <w:t xml:space="preserve"> </w:t>
      </w:r>
      <w:r>
        <w:t xml:space="preserve">synteny score over gene blocks) differs in content from Syn2b’s junction and</w:t>
      </w:r>
      <w:r>
        <w:t xml:space="preserve"> </w:t>
      </w:r>
      <w:r>
        <w:t xml:space="preserve">ratio metrics, so the comparison is of workflows rather than identical</w:t>
      </w:r>
      <w:r>
        <w:t xml:space="preserve"> </w:t>
      </w:r>
      <w:r>
        <w:t xml:space="preserve">quantities.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unique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282.086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3"/>
    <w:bookmarkStart w:id="34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6"/>
    <w:bookmarkStart w:id="37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7"/>
    <w:bookmarkStart w:id="38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2026-09-14T07:30:04Z</dcterms:created>
  <dcterms:modified xsi:type="dcterms:W3CDTF">2026-09-14T07:30:04Z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