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ec573160e92fa6b8ce6bac14bd269bf20145b31"/>
    <w:p>
      <w:pPr>
        <w:pStyle w:val="Heading1"/>
      </w:pPr>
      <w:r>
        <w:t xml:space="preserve">Syn2b: fragmentation-invariant structural comparison of microbial genomes by ordered restriction-enzyme tags</w:t>
      </w:r>
    </w:p>
    <w:p>
      <w:pPr>
        <w:pStyle w:val="FirstParagraph"/>
      </w:pPr>
      <w:r>
        <w:rPr>
          <w:b/>
          <w:bCs/>
        </w:rPr>
        <w:t xml:space="preserve">Shi Huang¹*, Yufeng Zhang¹</w:t>
      </w:r>
    </w:p>
    <w:p>
      <w:pPr>
        <w:pStyle w:val="BodyText"/>
      </w:pPr>
      <w:r>
        <w:t xml:space="preserve">¹Faculty of Dentistry, The University of Hong Kong, Hong Kong SAR, China</w:t>
      </w:r>
    </w:p>
    <w:p>
      <w:pPr>
        <w:pStyle w:val="BodyText"/>
      </w:pPr>
      <w:r>
        <w:t xml:space="preserve">*Corresponding author: shihuang@hku.hk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Statistics that count transitions between adjacent states acquire a bias that</w:t>
      </w:r>
      <w:r>
        <w:t xml:space="preserve"> </w:t>
      </w:r>
      <w:r>
        <w:t xml:space="preserve">grows with assembly fragmentation, whereas length-weighted ratios are invariant</w:t>
      </w:r>
      <w:r>
        <w:t xml:space="preserve"> </w:t>
      </w:r>
      <w:r>
        <w:t xml:space="preserve">to splitting; this principle determines which structural-variation metrics are</w:t>
      </w:r>
      <w:r>
        <w:t xml:space="preserve"> </w:t>
      </w:r>
      <w:r>
        <w:t xml:space="preserve">trustworthy for draft genomes. We introduce</w:t>
      </w:r>
      <w:r>
        <w:t xml:space="preserve"> </w:t>
      </w:r>
      <w:r>
        <w:rPr>
          <w:b/>
          <w:bCs/>
        </w:rPr>
        <w:t xml:space="preserve">Syn2b</w:t>
      </w:r>
      <w:r>
        <w:t xml:space="preserve">, an alignment-free method</w:t>
      </w:r>
      <w:r>
        <w:t xml:space="preserve"> </w:t>
      </w:r>
      <w:r>
        <w:t xml:space="preserve">that encodes genome structure through the order and adjacency of short tags</w:t>
      </w:r>
      <w:r>
        <w:t xml:space="preserve"> </w:t>
      </w:r>
      <w:r>
        <w:t xml:space="preserve">generated by Type IIB restriction-enzyme digestion. In the strain-level regime</w:t>
      </w:r>
      <w:r>
        <w:t xml:space="preserve"> </w:t>
      </w:r>
      <w:r>
        <w:t xml:space="preserve">(ANIm ≥ 97%, n = 3,826) Syn2b’s fixed-reference inverted landmark fraction</w:t>
      </w:r>
      <w:r>
        <w:t xml:space="preserve"> </w:t>
      </w:r>
      <w:r>
        <w:t xml:space="preserve">agrees with alignment-based truth at Pearson r = 0.996, slope = 1.006; across</w:t>
      </w:r>
      <w:r>
        <w:t xml:space="preserve"> </w:t>
      </w:r>
      <w:r>
        <w:t xml:space="preserve">43,312 held-out GTDB-R207 pairs, r = 0.94. A four-enzyme panel (BcgI+AlfI+AloI+FalI)</w:t>
      </w:r>
      <w:r>
        <w:t xml:space="preserve"> </w:t>
      </w:r>
      <w:r>
        <w:t xml:space="preserve">yields ~1.34 tags/kb in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K-12 and detects inversions down to ~4 kb.</w:t>
      </w:r>
      <w:r>
        <w:t xml:space="preserve"> </w:t>
      </w:r>
      <w:r>
        <w:t xml:space="preserve">Applied to a 47,748-pair GTDB-R207 survey, we find that 34% of pairs with</w:t>
      </w:r>
      <w:r>
        <w:t xml:space="preserve"> </w:t>
      </w:r>
      <w:r>
        <w:t xml:space="preserve">ANIm ≥ 97% carry ≥2 alignment-defined inversion events, rearrangements that</w:t>
      </w:r>
      <w:r>
        <w:t xml:space="preserve"> </w:t>
      </w:r>
      <w:r>
        <w:t xml:space="preserve">ANI ranking alone does not report. Two application-scale censuses established</w:t>
      </w:r>
      <w:r>
        <w:t xml:space="preserve"> </w:t>
      </w:r>
      <w:r>
        <w:t xml:space="preserve">feasibility: 502,819,691 of 646,012,820 effective GTDB-R207 species pairs</w:t>
      </w:r>
      <w:r>
        <w:t xml:space="preserve"> </w:t>
      </w:r>
      <w:r>
        <w:t xml:space="preserve">(77.83%) had ≥2 landmark-defined breakpoints, while an independent HROM census</w:t>
      </w:r>
      <w:r>
        <w:t xml:space="preserve"> </w:t>
      </w:r>
      <w:r>
        <w:t xml:space="preserve">found 17,535,013 of 62,872,901 conspecific pairs (27.89%) positive. Both surveys</w:t>
      </w:r>
      <w:r>
        <w:t xml:space="preserve"> </w:t>
      </w:r>
      <w:r>
        <w:t xml:space="preserve">showed wide taxon-specific variation. Syn2b is available at</w:t>
      </w:r>
      <w:r>
        <w:t xml:space="preserve"> </w:t>
      </w:r>
      <w:r>
        <w:t xml:space="preserve">https://github.com/HuangShiLab/Syn2b.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Microbial species exist as diverse strain assemblages in host-associated and</w:t>
      </w:r>
      <w:r>
        <w:t xml:space="preserve"> </w:t>
      </w:r>
      <w:r>
        <w:t xml:space="preserve">environmental microbiomes. Strain-level variation arises through point mutations</w:t>
      </w:r>
      <w:r>
        <w:t xml:space="preserve"> </w:t>
      </w:r>
      <w:r>
        <w:t xml:space="preserve">and structural genomic changes, including insertions, deletions, inversions,</w:t>
      </w:r>
      <w:r>
        <w:t xml:space="preserve"> </w:t>
      </w:r>
      <w:r>
        <w:t xml:space="preserve">translocations, and homologous recombination, that together determine phenotype,</w:t>
      </w:r>
      <w:r>
        <w:t xml:space="preserve"> </w:t>
      </w:r>
      <w:r>
        <w:t xml:space="preserve">virulence, and antibiotic resistance¹⁻³. While SNP-based methods such as</w:t>
      </w:r>
      <w:r>
        <w:t xml:space="preserve"> </w:t>
      </w:r>
      <w:r>
        <w:t xml:space="preserve">inStrain⁴, MIDAS⁵, and StrainPhlAn⁶ are standard for strain tracking, they are</w:t>
      </w:r>
      <w:r>
        <w:t xml:space="preserve"> </w:t>
      </w:r>
      <w:r>
        <w:t xml:space="preserve">inherently blind to structural variation, particularly when reads are mapped to</w:t>
      </w:r>
      <w:r>
        <w:t xml:space="preserve"> </w:t>
      </w:r>
      <w:r>
        <w:t xml:space="preserve">a reference where rearrangements may be misaligned or discarded⁷.</w:t>
      </w:r>
    </w:p>
    <w:p>
      <w:pPr>
        <w:pStyle w:val="BodyText"/>
      </w:pPr>
      <w:r>
        <w:t xml:space="preserve">This blindness matters. Recombination drives antibiotic resistance in</w:t>
      </w:r>
      <w:r>
        <w:t xml:space="preserve"> </w:t>
      </w:r>
      <w:r>
        <w:rPr>
          <w:i/>
          <w:iCs/>
        </w:rPr>
        <w:t xml:space="preserve">Streptococcus pneumoniae</w:t>
      </w:r>
      <w:r>
        <w:t xml:space="preserve">⁸, virulence in</w:t>
      </w:r>
      <w:r>
        <w:t xml:space="preserve"> </w:t>
      </w:r>
      <w:r>
        <w:rPr>
          <w:i/>
          <w:iCs/>
        </w:rPr>
        <w:t xml:space="preserve">Neisseria meningitidis</w:t>
      </w:r>
      <w:r>
        <w:t xml:space="preserve">⁹, and immune</w:t>
      </w:r>
      <w:r>
        <w:t xml:space="preserve"> </w:t>
      </w:r>
      <w:r>
        <w:t xml:space="preserve">evasion through phase variation in multiple pathogens¹⁰⁻¹². Within a single</w:t>
      </w:r>
      <w:r>
        <w:t xml:space="preserve"> </w:t>
      </w:r>
      <w:r>
        <w:t xml:space="preserve">host, subpopulations of the same species may evolve by distinct modes:</w:t>
      </w:r>
      <w:r>
        <w:t xml:space="preserve"> </w:t>
      </w:r>
      <w:r>
        <w:t xml:space="preserve">hypermutators accumulate point mutations while hyper-recombinators undergo</w:t>
      </w:r>
      <w:r>
        <w:t xml:space="preserve"> </w:t>
      </w:r>
      <w:r>
        <w:t xml:space="preserve">frequent rearrangements¹³⁻¹⁵. Detecting only one mode gives an incomplete</w:t>
      </w:r>
      <w:r>
        <w:t xml:space="preserve"> </w:t>
      </w:r>
      <w:r>
        <w:t xml:space="preserve">picture.</w:t>
      </w:r>
    </w:p>
    <w:p>
      <w:pPr>
        <w:pStyle w:val="BodyText"/>
      </w:pPr>
      <w:r>
        <w:t xml:space="preserve">SynTracker¹⁶ addressed this gap by introducing microsynteny analysis, comparing</w:t>
      </w:r>
      <w:r>
        <w:t xml:space="preserve"> </w:t>
      </w:r>
      <w:r>
        <w:t xml:space="preserve">the order of sequence blocks via BLAST²⁴ and DECIPHER¹⁹ pairwise alignments. Its</w:t>
      </w:r>
      <w:r>
        <w:t xml:space="preserve"> </w:t>
      </w:r>
      <w:r>
        <w:t xml:space="preserve">Average Pairwise Synteny Score (APSS) identified structural-variation-driven</w:t>
      </w:r>
      <w:r>
        <w:t xml:space="preserve"> </w:t>
      </w:r>
      <w:r>
        <w:t xml:space="preserve">diversity in</w:t>
      </w:r>
      <w:r>
        <w:t xml:space="preserve"> </w:t>
      </w:r>
      <w:r>
        <w:rPr>
          <w:i/>
          <w:iCs/>
        </w:rPr>
        <w:t xml:space="preserve">H. pylori</w:t>
      </w:r>
      <w:r>
        <w:t xml:space="preserve">,</w:t>
      </w:r>
      <w:r>
        <w:t xml:space="preserve"> </w:t>
      </w:r>
      <w:r>
        <w:rPr>
          <w:i/>
          <w:iCs/>
        </w:rPr>
        <w:t xml:space="preserve">S. rimosus</w:t>
      </w:r>
      <w:r>
        <w:t xml:space="preserve">, and human gut metagenomes. However,</w:t>
      </w:r>
      <w:r>
        <w:t xml:space="preserve"> </w:t>
      </w:r>
      <w:r>
        <w:t xml:space="preserve">SynTracker’s reliance on BLAST database construction and all-versus-all</w:t>
      </w:r>
      <w:r>
        <w:t xml:space="preserve"> </w:t>
      </w:r>
      <w:r>
        <w:t xml:space="preserve">alignments makes it computationally expensive. At the other extreme, fast</w:t>
      </w:r>
      <w:r>
        <w:t xml:space="preserve"> </w:t>
      </w:r>
      <w:r>
        <w:t xml:space="preserve">k-mer-anchor estimators such as skani²¹ compute genome-wide ANI in milliseconds</w:t>
      </w:r>
      <w:r>
        <w:t xml:space="preserve"> </w:t>
      </w:r>
      <w:r>
        <w:t xml:space="preserve">but discard adjacency information entirely and therefore cannot report any</w:t>
      </w:r>
      <w:r>
        <w:t xml:space="preserve"> </w:t>
      </w:r>
      <w:r>
        <w:t xml:space="preserve">structural quantity.</w:t>
      </w:r>
    </w:p>
    <w:p>
      <w:pPr>
        <w:pStyle w:val="BodyText"/>
      </w:pPr>
      <w:r>
        <w:t xml:space="preserve">Here we present</w:t>
      </w:r>
      <w:r>
        <w:t xml:space="preserve"> </w:t>
      </w:r>
      <w:r>
        <w:rPr>
          <w:b/>
          <w:bCs/>
        </w:rPr>
        <w:t xml:space="preserve">Syn2b</w:t>
      </w:r>
      <w:r>
        <w:t xml:space="preserve">, which occupies the space between these two extremes.</w:t>
      </w:r>
      <w:r>
        <w:t xml:space="preserve"> </w:t>
      </w:r>
      <w:r>
        <w:t xml:space="preserve">Syn2b exploits the predictable fragmentation of Type IIB restriction enzymes to</w:t>
      </w:r>
      <w:r>
        <w:t xml:space="preserve"> </w:t>
      </w:r>
      <w:r>
        <w:t xml:space="preserve">generate short tags (27–32 bp)¹⁷ that are physically sequenceable by 2bRAD-style</w:t>
      </w:r>
      <w:r>
        <w:t xml:space="preserve"> </w:t>
      </w:r>
      <w:r>
        <w:t xml:space="preserve">protocols, linking the in-silico metric directly to an experimental assay. By</w:t>
      </w:r>
      <w:r>
        <w:t xml:space="preserve"> </w:t>
      </w:r>
      <w:r>
        <w:t xml:space="preserve">comparing tag adjacency and order between</w:t>
      </w:r>
      <w:r>
        <w:t xml:space="preserve"> </w:t>
      </w:r>
      <w:r>
        <w:t xml:space="preserve">strains, Syn2b encodes structural variation without alignment, BLAST, or</w:t>
      </w:r>
      <w:r>
        <w:t xml:space="preserve"> </w:t>
      </w:r>
      <w:r>
        <w:t xml:space="preserve">databases. SNPs outside recognition sites leave tag patterns unchanged, while</w:t>
      </w:r>
      <w:r>
        <w:t xml:space="preserve"> </w:t>
      </w:r>
      <w:r>
        <w:t xml:space="preserve">inversions reverse tag order, indels eliminate or add tags, and translocations</w:t>
      </w:r>
      <w:r>
        <w:t xml:space="preserve"> </w:t>
      </w:r>
      <w:r>
        <w:t xml:space="preserve">disrupt global order.</w:t>
      </w:r>
    </w:p>
    <w:p>
      <w:pPr>
        <w:pStyle w:val="BodyText"/>
      </w:pPr>
      <w:r>
        <w:t xml:space="preserve">Syn2b is the methodological foundation for a companion tool,</w:t>
      </w:r>
      <w:r>
        <w:t xml:space="preserve"> </w:t>
      </w:r>
      <w:r>
        <w:rPr>
          <w:b/>
          <w:bCs/>
        </w:rPr>
        <w:t xml:space="preserve">Syn2bANI</w:t>
      </w:r>
      <w:r>
        <w:t xml:space="preserve">, which</w:t>
      </w:r>
      <w:r>
        <w:t xml:space="preserve"> </w:t>
      </w:r>
      <w:r>
        <w:t xml:space="preserve">uses the same tag framework for rapid ANI estimation and genome search. The</w:t>
      </w:r>
      <w:r>
        <w:t xml:space="preserve"> </w:t>
      </w:r>
      <w:r>
        <w:t xml:space="preserve">present paper establishes the structural-variation channel: the fragmentation</w:t>
      </w:r>
      <w:r>
        <w:t xml:space="preserve"> </w:t>
      </w:r>
      <w:r>
        <w:t xml:space="preserve">principle, the production landmark panel, and the calibrated error model. Syn2bANI</w:t>
      </w:r>
      <w:r>
        <w:t xml:space="preserve"> </w:t>
      </w:r>
      <w:r>
        <w:t xml:space="preserve">then applies these results to large-scale ANI+SV search; its structural columns</w:t>
      </w:r>
      <w:r>
        <w:t xml:space="preserve"> </w:t>
      </w:r>
      <w:r>
        <w:t xml:space="preserve">are chosen from the set validated here.</w:t>
      </w:r>
    </w:p>
    <w:p>
      <w:pPr>
        <w:pStyle w:val="BodyText"/>
      </w:pPr>
      <w:r>
        <w:t xml:space="preserve">A critical but often overlooked problem is</w:t>
      </w:r>
      <w:r>
        <w:t xml:space="preserve"> </w:t>
      </w:r>
      <w:r>
        <w:rPr>
          <w:b/>
          <w:bCs/>
        </w:rPr>
        <w:t xml:space="preserve">assembly fragmentation</w:t>
      </w:r>
      <w:r>
        <w:t xml:space="preserve">. Draft</w:t>
      </w:r>
      <w:r>
        <w:t xml:space="preserve"> </w:t>
      </w:r>
      <w:r>
        <w:t xml:space="preserve">genomes are broken into contigs; alignment-based methods split them into 1-to-1</w:t>
      </w:r>
      <w:r>
        <w:t xml:space="preserve"> </w:t>
      </w:r>
      <w:r>
        <w:t xml:space="preserve">blocks; any tag-adjacency method splits them into chains. A statistic defined as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of transitions</w:t>
      </w:r>
      <w:r>
        <w:t xml:space="preserve"> </w:t>
      </w:r>
      <w:r>
        <w:t xml:space="preserve">between adjacent states acquires a bias that grows</w:t>
      </w:r>
      <w:r>
        <w:t xml:space="preserve"> </w:t>
      </w:r>
      <w:r>
        <w:t xml:space="preserve">with the number of fragments K, whereas a statistic defined as a</w:t>
      </w:r>
      <w:r>
        <w:t xml:space="preserve"> </w:t>
      </w:r>
      <w:r>
        <w:rPr>
          <w:b/>
          <w:bCs/>
        </w:rPr>
        <w:t xml:space="preserve">length-weighted ratio</w:t>
      </w:r>
      <w:r>
        <w:t xml:space="preserve"> </w:t>
      </w:r>
      <w:r>
        <w:rPr>
          <w:rStyle w:val="VerbatimChar"/>
        </w:rPr>
        <w:t xml:space="preserve">Σ(length with property) / Σ(total length)</w:t>
      </w:r>
      <w:r>
        <w:t xml:space="preserve"> </w:t>
      </w:r>
      <w:r>
        <w:t xml:space="preserve">is</w:t>
      </w:r>
      <w:r>
        <w:t xml:space="preserve"> </w:t>
      </w:r>
      <w:r>
        <w:t xml:space="preserve">invariant to splitting, because both numerator and denominator are preserved</w:t>
      </w:r>
      <w:r>
        <w:t xml:space="preserve"> </w:t>
      </w:r>
      <w:r>
        <w:t xml:space="preserve">when a segment is cut. This fragmentation principle explains why raw breakpoint</w:t>
      </w:r>
      <w:r>
        <w:t xml:space="preserve"> </w:t>
      </w:r>
      <w:r>
        <w:t xml:space="preserve">counts inflate with contig count and why the inverted landmark fraction agrees</w:t>
      </w:r>
      <w:r>
        <w:t xml:space="preserve"> </w:t>
      </w:r>
      <w:r>
        <w:t xml:space="preserve">with alignment-based estimates even on fragmented assemblies</w:t>
      </w:r>
      <w:r>
        <w:t xml:space="preserve"> </w:t>
      </w:r>
      <w:r>
        <w:t xml:space="preserve">(Supplementary Note 1).</w:t>
      </w:r>
    </w:p>
    <w:p>
      <w:pPr>
        <w:pStyle w:val="BodyText"/>
      </w:pPr>
      <w:r>
        <w:t xml:space="preserve">We validate Syn2b through five lines of evidence: (1) in-silico simulations of</w:t>
      </w:r>
      <w:r>
        <w:t xml:space="preserve"> </w:t>
      </w:r>
      <w:r>
        <w:t xml:space="preserve">inversions, translocations, insertions, and deletions; (2) systematic enzyme</w:t>
      </w:r>
      <w:r>
        <w:t xml:space="preserve"> </w:t>
      </w:r>
      <w:r>
        <w:t xml:space="preserve">comparison showing density-dependent sensitivity; (3) a 43,334-pair</w:t>
      </w:r>
      <w:r>
        <w:t xml:space="preserve"> </w:t>
      </w:r>
      <w:r>
        <w:t xml:space="preserve">GTDB-R207 validation against dnadiff and minimap2, including a calibrated error</w:t>
      </w:r>
      <w:r>
        <w:t xml:space="preserve"> </w:t>
      </w:r>
      <w:r>
        <w:t xml:space="preserve">model for the strain-level regime; (4) a genome-wide survey of</w:t>
      </w:r>
      <w:r>
        <w:t xml:space="preserve"> </w:t>
      </w:r>
      <w:r>
        <w:t xml:space="preserve">ANI–rearrangement discordance showing that one third of strain-level GTDB pairs</w:t>
      </w:r>
      <w:r>
        <w:t xml:space="preserve"> </w:t>
      </w:r>
      <w:r>
        <w:t xml:space="preserve">carry multiple inversion events that ANI ranking does not report; and (5) large</w:t>
      </w:r>
      <w:r>
        <w:t xml:space="preserve"> </w:t>
      </w:r>
      <w:r>
        <w:t xml:space="preserve">GTDB-R207 and independent HROM structural censuses demonstrating scalable</w:t>
      </w:r>
      <w:r>
        <w:t xml:space="preserve"> </w:t>
      </w:r>
      <w:r>
        <w:t xml:space="preserve">application and taxon-specific variation.</w:t>
      </w:r>
    </w:p>
    <w:p>
      <w:r>
        <w:pict>
          <v:rect style="width:0;height:1.5pt" o:hralign="center" o:hrstd="t" o:hr="t"/>
        </w:pict>
      </w:r>
    </w:p>
    <w:bookmarkEnd w:id="10"/>
    <w:bookmarkStart w:id="21" w:name="results"/>
    <w:p>
      <w:pPr>
        <w:pStyle w:val="Heading2"/>
      </w:pPr>
      <w:r>
        <w:t xml:space="preserve">Results</w:t>
      </w:r>
    </w:p>
    <w:bookmarkStart w:id="11" w:name="syn2b-design-and-algorithm"/>
    <w:p>
      <w:pPr>
        <w:pStyle w:val="Heading3"/>
      </w:pPr>
      <w:r>
        <w:t xml:space="preserve">1. Syn2b design and algorithm</w:t>
      </w:r>
    </w:p>
    <w:p>
      <w:pPr>
        <w:pStyle w:val="FirstParagraph"/>
      </w:pPr>
      <w:r>
        <w:rPr>
          <w:b/>
          <w:bCs/>
        </w:rPr>
        <w:t xml:space="preserve">Type IIB enzyme digestion.</w:t>
      </w:r>
      <w:r>
        <w:t xml:space="preserve"> </w:t>
      </w:r>
      <w:r>
        <w:t xml:space="preserve">Syn2b simulates restriction digestion using the</w:t>
      </w:r>
      <w:r>
        <w:t xml:space="preserve"> </w:t>
      </w:r>
      <w:r>
        <w:t xml:space="preserve">recognition rules of Type IIB enzymes. The production panel used for all</w:t>
      </w:r>
      <w:r>
        <w:t xml:space="preserve"> </w:t>
      </w:r>
      <w:r>
        <w:t xml:space="preserve">GTDB-R207 validation is</w:t>
      </w:r>
      <w:r>
        <w:t xml:space="preserve"> </w:t>
      </w:r>
      <w:r>
        <w:rPr>
          <w:b/>
          <w:bCs/>
        </w:rPr>
        <w:t xml:space="preserve">BcgI+AlfI+AloI+FalI</w:t>
      </w:r>
      <w:r>
        <w:t xml:space="preserve">; per-enzyme tag densities and the</w:t>
      </w:r>
      <w:r>
        <w:t xml:space="preserve"> </w:t>
      </w:r>
      <w:r>
        <w:t xml:space="preserve">rationale for this combination are given in section 4. Each enzyme recognizes a</w:t>
      </w:r>
      <w:r>
        <w:t xml:space="preserve"> </w:t>
      </w:r>
      <w:r>
        <w:t xml:space="preserve">specific motif within a 25–32 bp window and produces a tag of that length</w:t>
      </w:r>
      <w:r>
        <w:t xml:space="preserve"> </w:t>
      </w:r>
      <w:r>
        <w:t xml:space="preserve">(Figure 1a).</w:t>
      </w:r>
    </w:p>
    <w:p>
      <w:pPr>
        <w:pStyle w:val="BodyText"/>
      </w:pPr>
      <w:r>
        <w:rPr>
          <w:b/>
          <w:bCs/>
        </w:rPr>
        <w:t xml:space="preserve">Metrics.</w:t>
      </w:r>
      <w:r>
        <w:t xml:space="preserve"> </w:t>
      </w:r>
      <w:r>
        <w:t xml:space="preserve">Syn2b computes three complementary quantities: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Adjacency conservation</w:t>
      </w:r>
      <w:r>
        <w:t xml:space="preserve">: shared adjacent tag pairs between genomes,</w:t>
      </w:r>
      <w:r>
        <w:t xml:space="preserve"> </w:t>
      </w:r>
      <w:r>
        <w:t xml:space="preserve">sensitive to local synteny disruption.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Breakpoint / junction count</w:t>
      </w:r>
      <w:r>
        <w:t xml:space="preserve">: adjacent tag pairs present in one genome but</w:t>
      </w:r>
      <w:r>
        <w:t xml:space="preserve"> </w:t>
      </w:r>
      <w:r>
        <w:t xml:space="preserve">not the other. This is a transition count and therefore inherits a</w:t>
      </w:r>
      <w:r>
        <w:t xml:space="preserve"> </w:t>
      </w:r>
      <w:r>
        <w:t xml:space="preserve">fragmentation-dependent term.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Length-weighted ratios</w:t>
      </w:r>
      <w:r>
        <w:t xml:space="preserve">: the fraction of total length that carries a</w:t>
      </w:r>
      <w:r>
        <w:t xml:space="preserve"> </w:t>
      </w:r>
      <w:r>
        <w:t xml:space="preserve">property (e.g., inverted orientation),</w:t>
      </w:r>
      <w:r>
        <w:t xml:space="preserve"> </w:t>
      </w:r>
      <w:r>
        <w:rPr>
          <w:rStyle w:val="VerbatimChar"/>
        </w:rPr>
        <w:t xml:space="preserve">Σ(length with property) / Σ(total length)</w:t>
      </w:r>
      <w:r>
        <w:t xml:space="preserve">. Syn2b estimates these ratios over landmarks: the count of</w:t>
      </w:r>
      <w:r>
        <w:t xml:space="preserve"> </w:t>
      </w:r>
      <w:r>
        <w:t xml:space="preserve">shared, orientation-informative landmarks carrying the property divided by</w:t>
      </w:r>
      <w:r>
        <w:t xml:space="preserve"> </w:t>
      </w:r>
      <w:r>
        <w:t xml:space="preserve">the count of such landmarks. Under the near-uniform spacing of Type IIB</w:t>
      </w:r>
      <w:r>
        <w:t xml:space="preserve"> </w:t>
      </w:r>
      <w:r>
        <w:t xml:space="preserve">sites the landmark fraction estimates the length ratio, and count ratios</w:t>
      </w:r>
      <w:r>
        <w:t xml:space="preserve"> </w:t>
      </w:r>
      <w:r>
        <w:t xml:space="preserve">are exactly as splitting-invariant as length ratios.</w:t>
      </w:r>
    </w:p>
    <w:p>
      <w:pPr>
        <w:pStyle w:val="FirstParagraph"/>
      </w:pPr>
      <w:r>
        <w:t xml:space="preserve">Because a whole-genome inversion reverses the apparent orientation of every tag,</w:t>
      </w:r>
      <w:r>
        <w:t xml:space="preserve"> </w:t>
      </w:r>
      <w:r>
        <w:t xml:space="preserve">Syn2b reports two versions of the inverted landmark fraction. The</w:t>
      </w:r>
      <w:r>
        <w:t xml:space="preserve"> </w:t>
      </w:r>
      <w:r>
        <w:rPr>
          <w:b/>
          <w:bCs/>
        </w:rPr>
        <w:t xml:space="preserve">majority-frame</w:t>
      </w:r>
      <w:r>
        <w:t xml:space="preserve"> </w:t>
      </w:r>
      <w:r>
        <w:rPr>
          <w:rStyle w:val="VerbatimChar"/>
        </w:rPr>
        <w:t xml:space="preserve">inverted_fraction</w:t>
      </w:r>
      <w:r>
        <w:t xml:space="preserve"> </w:t>
      </w:r>
      <w:r>
        <w:t xml:space="preserve">uses the orientation frame shared by most</w:t>
      </w:r>
      <w:r>
        <w:t xml:space="preserve"> </w:t>
      </w:r>
      <w:r>
        <w:t xml:space="preserve">of the genome and therefore saturates at 0.5; it is appropriate for detecting</w:t>
      </w:r>
      <w:r>
        <w:t xml:space="preserve"> </w:t>
      </w:r>
      <w:r>
        <w:t xml:space="preserve">whether any substantial inversion exists. The</w:t>
      </w:r>
      <w:r>
        <w:t xml:space="preserve"> </w:t>
      </w:r>
      <w:r>
        <w:rPr>
          <w:b/>
          <w:bCs/>
        </w:rPr>
        <w:t xml:space="preserve">fixed-reference</w:t>
      </w:r>
      <w:r>
        <w:t xml:space="preserve"> </w:t>
      </w:r>
      <w:r>
        <w:rPr>
          <w:rStyle w:val="VerbatimChar"/>
        </w:rPr>
        <w:t xml:space="preserve">raw_inverted_fraction</w:t>
      </w:r>
      <w:r>
        <w:t xml:space="preserve"> </w:t>
      </w:r>
      <w:r>
        <w:t xml:space="preserve">scores orientation relative to a chosen reference genome</w:t>
      </w:r>
      <w:r>
        <w:t xml:space="preserve"> </w:t>
      </w:r>
      <w:r>
        <w:t xml:space="preserve">and ranges in [0,1], matching the convention used by dnadiff and other</w:t>
      </w:r>
      <w:r>
        <w:t xml:space="preserve"> </w:t>
      </w:r>
      <w:r>
        <w:t xml:space="preserve">alignment-based methods (Figure 1b). For strain-level comparison, where multiple</w:t>
      </w:r>
      <w:r>
        <w:t xml:space="preserve"> </w:t>
      </w:r>
      <w:r>
        <w:t xml:space="preserve">inversions can push the true inverted fraction above 0.5, the fixed-reference</w:t>
      </w:r>
      <w:r>
        <w:t xml:space="preserve"> </w:t>
      </w:r>
      <w:r>
        <w:t xml:space="preserve">version is the validated metric.</w:t>
      </w:r>
    </w:p>
    <w:p>
      <w:pPr>
        <w:pStyle w:val="BodyText"/>
      </w:pPr>
      <w:r>
        <w:rPr>
          <w:b/>
          <w:bCs/>
        </w:rPr>
        <w:t xml:space="preserve">Implementation.</w:t>
      </w:r>
      <w:r>
        <w:t xml:space="preserve"> </w:t>
      </w:r>
      <w:r>
        <w:t xml:space="preserve">Syn2b is implemented in Rust. Digestion uses anchor-based</w:t>
      </w:r>
      <w:r>
        <w:t xml:space="preserve"> </w:t>
      </w:r>
      <w:r>
        <w:t xml:space="preserve">search rather than sliding-window scans and runs in O(N) time per genome.</w:t>
      </w:r>
      <w:r>
        <w:t xml:space="preserve"> </w:t>
      </w:r>
      <w:r>
        <w:t xml:space="preserve">Pairwise metric computation is O(M log M) in the number of shared tags M. On a</w:t>
      </w:r>
      <w:r>
        <w:t xml:space="preserve"> </w:t>
      </w:r>
      <w:r>
        <w:t xml:space="preserve">single core, digesting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K-12 with all four enzymes takes approximately</w:t>
      </w:r>
      <w:r>
        <w:t xml:space="preserve"> </w:t>
      </w:r>
      <w:r>
        <w:t xml:space="preserve">42 ms (measured; Figure 6a).</w:t>
      </w:r>
    </w:p>
    <w:bookmarkEnd w:id="11"/>
    <w:bookmarkStart w:id="12" w:name="X34bb4db7b7d760f99946fabda95d08aa4459b24"/>
    <w:p>
      <w:pPr>
        <w:pStyle w:val="Heading3"/>
      </w:pPr>
      <w:r>
        <w:t xml:space="preserve">2. A fragmentation principle for structural metrics</w:t>
      </w:r>
    </w:p>
    <w:p>
      <w:pPr>
        <w:pStyle w:val="FirstParagraph"/>
      </w:pPr>
      <w:r>
        <w:t xml:space="preserve">Every observation process fragments genomes. Let a genome contain S landmark</w:t>
      </w:r>
      <w:r>
        <w:t xml:space="preserve"> </w:t>
      </w:r>
      <w:r>
        <w:t xml:space="preserve">sites and let an observation process split it into K segments. A statistic that</w:t>
      </w:r>
      <w:r>
        <w:t xml:space="preserve"> </w:t>
      </w:r>
      <w:r>
        <w:t xml:space="preserve">counts transitions (adjacency breaks, breakpoints, junctions) between segments</w:t>
      </w:r>
      <w:r>
        <w:t xml:space="preserve"> </w:t>
      </w:r>
      <w:r>
        <w:t xml:space="preserve">has expectation</w:t>
      </w:r>
    </w:p>
    <w:p>
      <w:pPr>
        <w:pStyle w:val="SourceCode"/>
      </w:pPr>
      <w:r>
        <w:rPr>
          <w:rStyle w:val="VerbatimChar"/>
        </w:rPr>
        <w:t xml:space="preserve">E[T] = T_true + c·(K − 1) + ...</w:t>
      </w:r>
    </w:p>
    <w:p>
      <w:pPr>
        <w:pStyle w:val="FirstParagraph"/>
      </w:pPr>
      <w:r>
        <w:t xml:space="preserve">where c depends on whether a missing adjacency is treated as a rejected</w:t>
      </w:r>
      <w:r>
        <w:t xml:space="preserve"> </w:t>
      </w:r>
      <w:r>
        <w:t xml:space="preserve">adjacency. In contrast, a length-weighted ratio</w:t>
      </w:r>
    </w:p>
    <w:p>
      <w:pPr>
        <w:pStyle w:val="SourceCode"/>
      </w:pPr>
      <w:r>
        <w:rPr>
          <w:rStyle w:val="VerbatimChar"/>
        </w:rPr>
        <w:t xml:space="preserve">F = Σ_{i∈P} ℓ_i / Σ_i ℓ_i</w:t>
      </w:r>
    </w:p>
    <w:p>
      <w:pPr>
        <w:pStyle w:val="FirstParagraph"/>
      </w:pPr>
      <w:r>
        <w:t xml:space="preserve">is unchanged when a segment of length ℓ_i is split into ℓ_{i1} and ℓ_{i2},</w:t>
      </w:r>
      <w:r>
        <w:t xml:space="preserve"> </w:t>
      </w:r>
      <w:r>
        <w:t xml:space="preserve">because numerator and denominator are both preserved. Syn2b instantiates the</w:t>
      </w:r>
      <w:r>
        <w:t xml:space="preserve"> </w:t>
      </w:r>
      <w:r>
        <w:t xml:space="preserve">ratio over landmark counts rather than base pairs; the same preservation</w:t>
      </w:r>
      <w:r>
        <w:t xml:space="preserve"> </w:t>
      </w:r>
      <w:r>
        <w:t xml:space="preserve">argument applies verbatim: splitting a segment cannot remove a landmark from</w:t>
      </w:r>
      <w:r>
        <w:t xml:space="preserve"> </w:t>
      </w:r>
      <w:r>
        <w:t xml:space="preserve">either the numerator or the denominator, so the count ratio is exactly</w:t>
      </w:r>
      <w:r>
        <w:t xml:space="preserve"> </w:t>
      </w:r>
      <w:r>
        <w:t xml:space="preserve">invariant, and under near-uniform landmark spacing it estimates the length</w:t>
      </w:r>
      <w:r>
        <w:t xml:space="preserve"> </w:t>
      </w:r>
      <w:r>
        <w:t xml:space="preserve">ratio.</w:t>
      </w:r>
    </w:p>
    <w:p>
      <w:pPr>
        <w:pStyle w:val="BodyText"/>
      </w:pPr>
      <w:r>
        <w:t xml:space="preserve">This principle has three testable consequences:</w:t>
      </w:r>
    </w:p>
    <w:p>
      <w:pPr>
        <w:pStyle w:val="Compact"/>
        <w:numPr>
          <w:ilvl w:val="0"/>
          <w:numId w:val="1002"/>
        </w:numPr>
      </w:pPr>
      <w:r>
        <w:t xml:space="preserve">Transition-count metrics should correlate with contig count even when no</w:t>
      </w:r>
      <w:r>
        <w:t xml:space="preserve"> </w:t>
      </w:r>
      <w:r>
        <w:t xml:space="preserve">rearrangements are present.</w:t>
      </w:r>
    </w:p>
    <w:p>
      <w:pPr>
        <w:pStyle w:val="Compact"/>
        <w:numPr>
          <w:ilvl w:val="0"/>
          <w:numId w:val="1002"/>
        </w:numPr>
      </w:pPr>
      <w:r>
        <w:t xml:space="preserve">Length-weighted ratios should not correlate with contig count.</w:t>
      </w:r>
    </w:p>
    <w:p>
      <w:pPr>
        <w:pStyle w:val="Compact"/>
        <w:numPr>
          <w:ilvl w:val="0"/>
          <w:numId w:val="1002"/>
        </w:numPr>
      </w:pPr>
      <w:r>
        <w:t xml:space="preserve">The contig-dependent bias in transition counts should disappear when the</w:t>
      </w:r>
      <w:r>
        <w:t xml:space="preserve"> </w:t>
      </w:r>
      <w:r>
        <w:t xml:space="preserve">fragment term is subtracted or when both genomes are closed.</w:t>
      </w:r>
    </w:p>
    <w:p>
      <w:pPr>
        <w:pStyle w:val="FirstParagraph"/>
      </w:pPr>
      <w:r>
        <w:t xml:space="preserve">All three are borne out in the GTDB-R207 data (sections 4 and 5). A formal</w:t>
      </w:r>
      <w:r>
        <w:t xml:space="preserve"> </w:t>
      </w:r>
      <w:r>
        <w:t xml:space="preserve">statement and proof are given in Supplementary Note 1.</w:t>
      </w:r>
    </w:p>
    <w:bookmarkEnd w:id="12"/>
    <w:bookmarkStart w:id="13" w:name="Xb2e0d4350fa26146680bc2c39ec70b4775e4feb"/>
    <w:p>
      <w:pPr>
        <w:pStyle w:val="Heading3"/>
      </w:pPr>
      <w:r>
        <w:t xml:space="preserve">3. Syn2b is sensitive to structural variation and insensitive to SNPs</w:t>
      </w:r>
    </w:p>
    <w:p>
      <w:pPr>
        <w:pStyle w:val="FirstParagraph"/>
      </w:pPr>
      <w:r>
        <w:t xml:space="preserve">We tested the Rust implementation on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K-12 genomes carrying point</w:t>
      </w:r>
      <w:r>
        <w:t xml:space="preserve"> </w:t>
      </w:r>
      <w:r>
        <w:t xml:space="preserve">mutations only, a single inversion, a single translocation, or a 10-kb</w:t>
      </w:r>
      <w:r>
        <w:t xml:space="preserve"> </w:t>
      </w:r>
      <w:r>
        <w:t xml:space="preserve">insertion/deletion. These controlled inputs establish that each reported metric</w:t>
      </w:r>
      <w:r>
        <w:t xml:space="preserve"> </w:t>
      </w:r>
      <w:r>
        <w:t xml:space="preserve">responds to its target SV class (Figure 2); quantitative accuracy on real</w:t>
      </w:r>
      <w:r>
        <w:t xml:space="preserve"> </w:t>
      </w:r>
      <w:r>
        <w:t xml:space="preserve">genomes is validated in Figure 3.</w:t>
      </w:r>
    </w:p>
    <w:p>
      <w:pPr>
        <w:pStyle w:val="BodyText"/>
      </w:pPr>
      <w:r>
        <w:rPr>
          <w:b/>
          <w:bCs/>
        </w:rPr>
        <w:t xml:space="preserve">SNP-only controls.</w:t>
      </w:r>
      <w:r>
        <w:t xml:space="preserve"> </w:t>
      </w:r>
      <w:r>
        <w:t xml:space="preserve">Substitutions outside recognition sites leave tag</w:t>
      </w:r>
      <w:r>
        <w:t xml:space="preserve"> </w:t>
      </w:r>
      <w:r>
        <w:t xml:space="preserve">adjacency unchanged. Measured across a 0.5–5% substitution sweep on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K-12 (one replicate per rate), the Rust implementation reports zero structural</w:t>
      </w:r>
      <w:r>
        <w:t xml:space="preserve"> </w:t>
      </w:r>
      <w:r>
        <w:t xml:space="preserve">junctions at every rate (</w:t>
      </w:r>
      <w:r>
        <w:rPr>
          <w:rStyle w:val="VerbatimChar"/>
        </w:rPr>
        <w:t xml:space="preserve">scj_distance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junctions = 0</w:t>
      </w:r>
      <w:r>
        <w:t xml:space="preserve">;</w:t>
      </w:r>
      <w:r>
        <w:t xml:space="preserve"> </w:t>
      </w:r>
      <w:r>
        <w:rPr>
          <w:rStyle w:val="VerbatimChar"/>
        </w:rPr>
        <w:t xml:space="preserve">results/snp_sweep_metrics.csv</w:t>
      </w:r>
      <w:r>
        <w:t xml:space="preserve">). SNP load instead reduces the number of shared</w:t>
      </w:r>
      <w:r>
        <w:t xml:space="preserve"> </w:t>
      </w:r>
      <w:r>
        <w:t xml:space="preserve">tags (4,935 at 0.5% substitutions; 1,227 at 5%), which the error model accounts</w:t>
      </w:r>
      <w:r>
        <w:t xml:space="preserve"> </w:t>
      </w:r>
      <w:r>
        <w:t xml:space="preserve">for as reduced landmark sampling (Supplementary Note 2).</w:t>
      </w:r>
    </w:p>
    <w:p>
      <w:pPr>
        <w:pStyle w:val="BodyText"/>
      </w:pPr>
      <w:r>
        <w:rPr>
          <w:b/>
          <w:bCs/>
        </w:rPr>
        <w:t xml:space="preserve">Inversions.</w:t>
      </w:r>
      <w:r>
        <w:t xml:space="preserve"> </w:t>
      </w:r>
      <w:r>
        <w:t xml:space="preserve">A single inversion produces exactly</w:t>
      </w:r>
      <w:r>
        <w:t xml:space="preserve"> </w:t>
      </w:r>
      <w:r>
        <w:rPr>
          <w:b/>
          <w:bCs/>
        </w:rPr>
        <w:t xml:space="preserve">two junctions</w:t>
      </w:r>
      <w:r>
        <w:t xml:space="preserve"> </w:t>
      </w:r>
      <w:r>
        <w:t xml:space="preserve">in the</w:t>
      </w:r>
      <w:r>
        <w:t xml:space="preserve"> </w:t>
      </w:r>
      <w:r>
        <w:t xml:space="preserve">Rust implementation, corresponding to the two breakpoint boundaries, regardless</w:t>
      </w:r>
      <w:r>
        <w:t xml:space="preserve"> </w:t>
      </w:r>
      <w:r>
        <w:t xml:space="preserve">of inversion size (100 kb or 500 kb). The inverted landmark fraction</w:t>
      </w:r>
      <w:r>
        <w:t xml:space="preserve"> </w:t>
      </w:r>
      <w:r>
        <w:t xml:space="preserve">directly reports the inverted segment and is insensitive to where contig</w:t>
      </w:r>
      <w:r>
        <w:t xml:space="preserve"> </w:t>
      </w:r>
      <w:r>
        <w:t xml:space="preserve">boundaries fall. In a detection-size benchmark with ten random positions per</w:t>
      </w:r>
      <w:r>
        <w:t xml:space="preserve"> </w:t>
      </w:r>
      <w:r>
        <w:t xml:space="preserve">size, the four-enzyme panel recovers both junctions of a 4-kb inversion in</w:t>
      </w:r>
      <w:r>
        <w:t xml:space="preserve"> </w:t>
      </w:r>
      <w:r>
        <w:t xml:space="preserve">10/10 replicates (8/10 at 2 kb), whereas BcgI alone reaches 90% detection only</w:t>
      </w:r>
      <w:r>
        <w:t xml:space="preserve"> </w:t>
      </w:r>
      <w:r>
        <w:t xml:space="preserve">at 8 kb (Supplementary Figure 4).</w:t>
      </w:r>
    </w:p>
    <w:p>
      <w:pPr>
        <w:pStyle w:val="BodyText"/>
      </w:pPr>
      <w:r>
        <w:rPr>
          <w:b/>
          <w:bCs/>
        </w:rPr>
        <w:t xml:space="preserve">Translocations.</w:t>
      </w:r>
      <w:r>
        <w:t xml:space="preserve"> </w:t>
      </w:r>
      <w:r>
        <w:t xml:space="preserve">A single translocation produces exactly</w:t>
      </w:r>
      <w:r>
        <w:t xml:space="preserve"> </w:t>
      </w:r>
      <w:r>
        <w:rPr>
          <w:b/>
          <w:bCs/>
        </w:rPr>
        <w:t xml:space="preserve">three junctions</w:t>
      </w:r>
      <w:r>
        <w:t xml:space="preserve">,</w:t>
      </w:r>
      <w:r>
        <w:t xml:space="preserve"> </w:t>
      </w:r>
      <w:r>
        <w:t xml:space="preserve">corresponding to the two breakpoint boundaries plus the relocated block. The</w:t>
      </w:r>
      <w:r>
        <w:t xml:space="preserve"> </w:t>
      </w:r>
      <w:r>
        <w:t xml:space="preserve">global order disruption is also captured by a drop in Kendall tau of matching</w:t>
      </w:r>
      <w:r>
        <w:t xml:space="preserve"> </w:t>
      </w:r>
      <w:r>
        <w:t xml:space="preserve">tag positions.</w:t>
      </w:r>
    </w:p>
    <w:p>
      <w:pPr>
        <w:pStyle w:val="BodyText"/>
      </w:pPr>
      <w:r>
        <w:rPr>
          <w:b/>
          <w:bCs/>
        </w:rPr>
        <w:t xml:space="preserve">Indels.</w:t>
      </w:r>
      <w:r>
        <w:t xml:space="preserve"> </w:t>
      </w:r>
      <w:r>
        <w:t xml:space="preserve">A 10-kb insertion or deletion is detectable through tag loss:</w:t>
      </w:r>
      <w:r>
        <w:t xml:space="preserve"> </w:t>
      </w:r>
      <w:r>
        <w:t xml:space="preserve">controlled insertions and deletions of 10–100 kb produce no junctions (no</w:t>
      </w:r>
      <w:r>
        <w:t xml:space="preserve"> </w:t>
      </w:r>
      <w:r>
        <w:t xml:space="preserve">landmark straddles the breakpoint in these replicates) but remove 14–119 shared</w:t>
      </w:r>
      <w:r>
        <w:t xml:space="preserve"> </w:t>
      </w:r>
      <w:r>
        <w:t xml:space="preserve">tags relative to the 5,704-tag SNP-only control, with the loss scaling at the</w:t>
      </w:r>
      <w:r>
        <w:t xml:space="preserve"> </w:t>
      </w:r>
      <w:r>
        <w:t xml:space="preserve">panel density (~1.3 tags per kb of indel; Supplementary Figure 3).</w:t>
      </w:r>
    </w:p>
    <w:p>
      <w:pPr>
        <w:pStyle w:val="BodyText"/>
      </w:pPr>
      <w:r>
        <w:rPr>
          <w:b/>
          <w:bCs/>
        </w:rPr>
        <w:t xml:space="preserve">Mash is blind to SV.</w:t>
      </w:r>
      <w:r>
        <w:t xml:space="preserve"> </w:t>
      </w:r>
      <w:r>
        <w:t xml:space="preserve">The 1% SNP background alone gives a Mash distance of</w:t>
      </w:r>
      <w:r>
        <w:t xml:space="preserve"> </w:t>
      </w:r>
      <w:r>
        <w:t xml:space="preserve">≈1.0 × 10⁻² (k = 21); adding any structural variant changes the distance by</w:t>
      </w:r>
      <w:r>
        <w:t xml:space="preserve"> </w:t>
      </w:r>
      <w:r>
        <w:t xml:space="preserve">only ~5 × 10⁻⁷, five orders of magnitude below the SNP signal (Figure 2d).</w:t>
      </w:r>
      <w:r>
        <w:t xml:space="preserve"> </w:t>
      </w:r>
      <w:r>
        <w:t xml:space="preserve">confirming that k-mer-based methods cannot distinguish structural variation</w:t>
      </w:r>
      <w:r>
        <w:t xml:space="preserve"> </w:t>
      </w:r>
      <w:r>
        <w:t xml:space="preserve">from point mutations¹⁸.</w:t>
      </w:r>
    </w:p>
    <w:bookmarkEnd w:id="13"/>
    <w:bookmarkStart w:id="14" w:name="enzyme-panel-optimization"/>
    <w:p>
      <w:pPr>
        <w:pStyle w:val="Heading3"/>
      </w:pPr>
      <w:r>
        <w:t xml:space="preserve">4. Enzyme panel optimization</w:t>
      </w:r>
    </w:p>
    <w:p>
      <w:pPr>
        <w:pStyle w:val="FirstParagraph"/>
      </w:pPr>
      <w:r>
        <w:t xml:space="preserve">The production Syn2b panel is</w:t>
      </w:r>
      <w:r>
        <w:t xml:space="preserve"> </w:t>
      </w:r>
      <w:r>
        <w:rPr>
          <w:b/>
          <w:bCs/>
        </w:rPr>
        <w:t xml:space="preserve">BcgI+AlfI+AloI+FalI</w:t>
      </w:r>
      <w:r>
        <w:t xml:space="preserve">, chosen from the 16</w:t>
      </w:r>
      <w:r>
        <w:t xml:space="preserve"> </w:t>
      </w:r>
      <w:r>
        <w:t xml:space="preserve">Type IIB/IIG enzymes implemented in the Rust code by maximizing tag density</w:t>
      </w:r>
      <w:r>
        <w:t xml:space="preserve"> </w:t>
      </w:r>
      <w:r>
        <w:t xml:space="preserve">while limiting motif overlap. The optimization criterion is the junction-channel</w:t>
      </w:r>
      <w:r>
        <w:t xml:space="preserve"> </w:t>
      </w:r>
      <w:r>
        <w:t xml:space="preserve">resolution floor: additional landmarks improve the smallest detectable event</w:t>
      </w:r>
      <w:r>
        <w:t xml:space="preserve"> </w:t>
      </w:r>
      <w:r>
        <w:t xml:space="preserve">more than they improve the already-saturated orientation-channel correlation.</w:t>
      </w:r>
    </w:p>
    <w:p>
      <w:pPr>
        <w:pStyle w:val="BodyText"/>
      </w:pPr>
      <w:r>
        <w:rPr>
          <w:b/>
          <w:bCs/>
        </w:rPr>
        <w:t xml:space="preserve">Single-enzyme densities.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K-12 (NC_000913.3, 4,641,652 bp),</w:t>
      </w:r>
      <w:r>
        <w:t xml:space="preserve"> </w:t>
      </w:r>
      <w:r>
        <w:t xml:space="preserve">BcgI yields 2,935 tags (0.63/kb), AlfI 2,023 (0.44/kb), AloI 523 (0.11/kb),</w:t>
      </w:r>
      <w:r>
        <w:t xml:space="preserve"> </w:t>
      </w:r>
      <w:r>
        <w:t xml:space="preserve">and FalI 735 (0.16/kb) (Table 1; tag spacing distribution in Supplementary</w:t>
      </w:r>
      <w:r>
        <w:t xml:space="preserve"> </w:t>
      </w:r>
      <w:r>
        <w:t xml:space="preserve">Figure 1).</w:t>
      </w:r>
    </w:p>
    <w:p>
      <w:pPr>
        <w:pStyle w:val="BodyText"/>
      </w:pPr>
      <w:r>
        <w:rPr>
          <w:b/>
          <w:bCs/>
        </w:rPr>
        <w:t xml:space="preserve">Multi-enzyme density.</w:t>
      </w:r>
      <w:r>
        <w:t xml:space="preserve"> </w:t>
      </w:r>
      <w:r>
        <w:t xml:space="preserve">Combining all four yields 6,216 tags (1.34/kb), a</w:t>
      </w:r>
      <w:r>
        <w:t xml:space="preserve"> </w:t>
      </w:r>
      <w:r>
        <w:t xml:space="preserve">2.1× increase over BcgI alone.</w:t>
      </w:r>
    </w:p>
    <w:p>
      <w:pPr>
        <w:pStyle w:val="BodyText"/>
      </w:pPr>
      <w:r>
        <w:rPr>
          <w:b/>
          <w:bCs/>
        </w:rPr>
        <w:t xml:space="preserve">Why this combination?</w:t>
      </w:r>
      <w:r>
        <w:t xml:space="preserve"> </w:t>
      </w:r>
      <w:r>
        <w:t xml:space="preserve">BcgI and AlfI provide well-characterized 32-bp Type</w:t>
      </w:r>
      <w:r>
        <w:t xml:space="preserve"> </w:t>
      </w:r>
      <w:r>
        <w:t xml:space="preserve">IIB tags and together contribute the majority of landmarks. AloI and FalI add</w:t>
      </w:r>
      <w:r>
        <w:t xml:space="preserve"> </w:t>
      </w:r>
      <w:r>
        <w:t xml:space="preserve">27-bp Type IIB arms with complementary motifs that increase density without</w:t>
      </w:r>
      <w:r>
        <w:t xml:space="preserve"> </w:t>
      </w:r>
      <w:r>
        <w:t xml:space="preserve">redundancy. Two considerations motivate enzyme landmarks over purely</w:t>
      </w:r>
      <w:r>
        <w:t xml:space="preserve"> </w:t>
      </w:r>
      <w:r>
        <w:t xml:space="preserve">computational ones. First, Type IIB tags are physical molecules: each landmark</w:t>
      </w:r>
      <w:r>
        <w:t xml:space="preserve"> </w:t>
      </w:r>
      <w:r>
        <w:t xml:space="preserve">is a 27–32-bp fragment flanking a fixed recognition site, so the exact tag set</w:t>
      </w:r>
      <w:r>
        <w:t xml:space="preserve"> </w:t>
      </w:r>
      <w:r>
        <w:t xml:space="preserve">analysed here can be generated</w:t>
      </w:r>
      <w:r>
        <w:t xml:space="preserve"> </w:t>
      </w:r>
      <w:r>
        <w:rPr>
          <w:i/>
          <w:iCs/>
        </w:rPr>
        <w:t xml:space="preserve">in vitro</w:t>
      </w:r>
      <w:r>
        <w:t xml:space="preserve"> </w:t>
      </w:r>
      <w:r>
        <w:t xml:space="preserve">by 2bRAD-style digestion and</w:t>
      </w:r>
      <w:r>
        <w:t xml:space="preserve"> </w:t>
      </w:r>
      <w:r>
        <w:t xml:space="preserve">sequencing, linking the in-silico metric to a real assay at negligible extra</w:t>
      </w:r>
      <w:r>
        <w:t xml:space="preserve"> </w:t>
      </w:r>
      <w:r>
        <w:t xml:space="preserve">cost. Second, enzyme recognition is deterministic and parameter-free: the same</w:t>
      </w:r>
      <w:r>
        <w:t xml:space="preserve"> </w:t>
      </w:r>
      <w:r>
        <w:t xml:space="preserve">genome always yields the same landmarks across studies and software versions,</w:t>
      </w:r>
      <w:r>
        <w:t xml:space="preserve"> </w:t>
      </w:r>
      <w:r>
        <w:t xml:space="preserve">which matters for database-scale applications where sketches must remain</w:t>
      </w:r>
      <w:r>
        <w:t xml:space="preserve"> </w:t>
      </w:r>
      <w:r>
        <w:t xml:space="preserve">comparable over time. In practice, recognition sites can be affected by</w:t>
      </w:r>
      <w:r>
        <w:t xml:space="preserve"> </w:t>
      </w:r>
      <w:r>
        <w:t xml:space="preserve">DNA methylation and by sequence polymorphism within the motif; however, because</w:t>
      </w:r>
      <w:r>
        <w:t xml:space="preserve"> </w:t>
      </w:r>
      <w:r>
        <w:t xml:space="preserve">Syn2b reports ratios over many landmarks, the metric remains stable</w:t>
      </w:r>
      <w:r>
        <w:t xml:space="preserve"> </w:t>
      </w:r>
      <w:r>
        <w:t xml:space="preserve">when occasional sites are missing or extra, which enters the error model as</w:t>
      </w:r>
      <w:r>
        <w:t xml:space="preserve"> </w:t>
      </w:r>
      <w:r>
        <w:t xml:space="preserve">reduced landmark sampling (Supplementary Note 2).</w:t>
      </w:r>
    </w:p>
    <w:p>
      <w:pPr>
        <w:pStyle w:val="BodyText"/>
      </w:pPr>
      <w:r>
        <w:rPr>
          <w:b/>
          <w:bCs/>
        </w:rPr>
        <w:t xml:space="preserve">Validation on GTDB-R207.</w:t>
      </w:r>
      <w:r>
        <w:t xml:space="preserve"> </w:t>
      </w:r>
      <w:r>
        <w:t xml:space="preserve">On the 43,312 held-out pairs with complete metrics</w:t>
      </w:r>
      <w:r>
        <w:t xml:space="preserve"> </w:t>
      </w:r>
      <w:r>
        <w:t xml:space="preserve">(41,485 for the BcgI arm), the four-enzyme panel substantially outperforms BcgI</w:t>
      </w:r>
      <w:r>
        <w:t xml:space="preserve"> </w:t>
      </w:r>
      <w:r>
        <w:t xml:space="preserve">alone (Table 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landmark 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shared tags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Pearson r vs dnadiff (95%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BcgI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0.8303 (0.827–0.833)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4-enzyme panel (BcgI+AlfI+AloI+FalI)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0.9355 (0.934–0.937)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0.0370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Comparison to FracMinHash landmarks.</w:t>
      </w:r>
      <w:r>
        <w:t xml:space="preserve"> </w:t>
      </w:r>
      <w:r>
        <w:t xml:space="preserve">To test whether the enzyme choice</w:t>
      </w:r>
      <w:r>
        <w:t xml:space="preserve"> </w:t>
      </w:r>
      <w:r>
        <w:t xml:space="preserve">itself matters or simply the landmark density, we replaced enzyme sites with</w:t>
      </w:r>
      <w:r>
        <w:t xml:space="preserve"> </w:t>
      </w:r>
      <w:r>
        <w:t xml:space="preserve">FracMinHash sketches at scales 250, 750, 2,000, and 6,000. At comparable density</w:t>
      </w:r>
      <w:r>
        <w:t xml:space="preserve"> </w:t>
      </w:r>
      <w:r>
        <w:t xml:space="preserve">to the enzyme panel (fmh750, median 254 shared tags), FracMinHash reaches</w:t>
      </w:r>
      <w:r>
        <w:t xml:space="preserve"> </w:t>
      </w:r>
      <w:r>
        <w:t xml:space="preserve">r = 0.9305 and MAE = 0.0399, close to the enzyme panel (0.9355/0.0370); the</w:t>
      </w:r>
      <w:r>
        <w:t xml:space="preserve"> </w:t>
      </w:r>
      <w:r>
        <w:t xml:space="preserve">small difference is within the range expected from landmark sampling and is not</w:t>
      </w:r>
      <w:r>
        <w:t xml:space="preserve"> </w:t>
      </w:r>
      <w:r>
        <w:t xml:space="preserve">biologically meaningful. At higher density (fmh250, median 761 shared tags) it reaches r = 0.9510</w:t>
      </w:r>
      <w:r>
        <w:t xml:space="preserve"> </w:t>
      </w:r>
      <w:r>
        <w:t xml:space="preserve">and MAE = 0.0323. The enzyme panel is therefore a high-performing,</w:t>
      </w:r>
      <w:r>
        <w:t xml:space="preserve"> </w:t>
      </w:r>
      <w:r>
        <w:t xml:space="preserve">biologically motivated default rather than the absolute optimal density choice.</w:t>
      </w:r>
      <w:r>
        <w:t xml:space="preserve"> </w:t>
      </w:r>
      <w:r>
        <w:t xml:space="preserve">We retain enzyme landmarks because they are deterministic, interpretable, and</w:t>
      </w:r>
      <w:r>
        <w:t xml:space="preserve"> </w:t>
      </w:r>
      <w:r>
        <w:t xml:space="preserve">avoid the memory and runtime cost of the densest FracMinHash sketches, but the</w:t>
      </w:r>
      <w:r>
        <w:t xml:space="preserve"> </w:t>
      </w:r>
      <w:r>
        <w:t xml:space="preserve">method generalizes to any set of ordered landmarks.</w:t>
      </w:r>
    </w:p>
    <w:bookmarkEnd w:id="14"/>
    <w:bookmarkStart w:id="15" w:name="gtdb-r207-validation-against-dnadiff"/>
    <w:p>
      <w:pPr>
        <w:pStyle w:val="Heading3"/>
      </w:pPr>
      <w:r>
        <w:t xml:space="preserve">5. GTDB-R207 validation against dnadiff</w:t>
      </w:r>
    </w:p>
    <w:p>
      <w:pPr>
        <w:pStyle w:val="FirstParagraph"/>
      </w:pPr>
      <w:r>
        <w:t xml:space="preserve">We applied Syn2b to the 43,334 held-out pairs from GTDB-R207 used in the</w:t>
      </w:r>
      <w:r>
        <w:t xml:space="preserve"> </w:t>
      </w:r>
      <w:r>
        <w:t xml:space="preserve">companion Syn2bANI study and compared structural metrics to alignment-based</w:t>
      </w:r>
      <w:r>
        <w:t xml:space="preserve"> </w:t>
      </w:r>
      <w:r>
        <w:t xml:space="preserve">estimates from dnadiff and minimap2 (per-pair metrics in Supplementary Table 1).</w:t>
      </w:r>
    </w:p>
    <w:p>
      <w:pPr>
        <w:pStyle w:val="BodyText"/>
      </w:pPr>
      <w:r>
        <w:rPr>
          <w:b/>
          <w:bCs/>
        </w:rPr>
        <w:t xml:space="preserve">The inverted landmark fraction is the validated metric.</w:t>
      </w:r>
      <w:r>
        <w:t xml:space="preserve"> </w:t>
      </w:r>
      <w:r>
        <w:rPr>
          <w:rStyle w:val="VerbatimChar"/>
        </w:rPr>
        <w:t xml:space="preserve">raw_inverted_fraction</w:t>
      </w:r>
      <w:r>
        <w:t xml:space="preserve"> </w:t>
      </w:r>
      <w:r>
        <w:t xml:space="preserve">correlates with dnadiff’s inverted aligned fraction at</w:t>
      </w:r>
      <w:r>
        <w:t xml:space="preserve"> </w:t>
      </w:r>
      <w:r>
        <w:t xml:space="preserve">Pearson r = 0.9355 (95% CI 0.934–0.937, n = 43,312) across the full held-out</w:t>
      </w:r>
      <w:r>
        <w:t xml:space="preserve"> </w:t>
      </w:r>
      <w:r>
        <w:t xml:space="preserve">set (Figure 3a). Agreement improves monotonically as divergence decreases: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ANIm 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Pearson 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SD(err)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shared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80–85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85–88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88–90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90–92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92–95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95–97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1,162</w:t>
            </w:r>
          </w:p>
        </w:tc>
      </w:tr>
    </w:tbl>
    <w:p>
      <w:pPr>
        <w:pStyle w:val="BodyText"/>
      </w:pPr>
      <w:r>
        <w:t xml:space="preserve">The held-out set contains only two pairs at ≥97% ANIm, so the strain-level</w:t>
      </w:r>
      <w:r>
        <w:t xml:space="preserve"> </w:t>
      </w:r>
      <w:r>
        <w:t xml:space="preserve">regime is evaluated on an independent high-ANI sample selected for that purpose</w:t>
      </w:r>
      <w:r>
        <w:t xml:space="preserve"> </w:t>
      </w:r>
      <w:r>
        <w:t xml:space="preserve">(the pooled statistics below refer to that sample; the genome-wide survey in</w:t>
      </w:r>
      <w:r>
        <w:t xml:space="preserve"> </w:t>
      </w:r>
      <w:r>
        <w:t xml:space="preserve">section 6 additionally merges the two held-out pairs). Figure 3b shows the same trend with</w:t>
      </w:r>
      <w:r>
        <w:t xml:space="preserve"> </w:t>
      </w:r>
      <w:r>
        <w:t xml:space="preserve">pairs binned by the four-enzyme model’s predicted ANI rather than ANIm. There,</w:t>
      </w:r>
      <w:r>
        <w:t xml:space="preserve"> </w:t>
      </w:r>
      <w:r>
        <w:t xml:space="preserve">agreement is close to one-to-one: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ANIm 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Pearson 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SD(err)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shared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95–97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97–98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98–99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99–99.5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99.5–100.1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2,828</w:t>
            </w:r>
          </w:p>
        </w:tc>
      </w:tr>
    </w:tbl>
    <w:p>
      <w:pPr>
        <w:pStyle w:val="BodyText"/>
      </w:pPr>
      <w:r>
        <w:t xml:space="preserve">Pooled over ANIm ≥ 97%: n = 3,826, r = 0.9960, slope = 1.006, intercept =</w:t>
      </w:r>
      <w:r>
        <w:t xml:space="preserve"> </w:t>
      </w:r>
      <w:r>
        <w:t xml:space="preserve">−0.004, SD(error) = 0.0135. Bland–Altman mean difference is &lt;0.001.</w:t>
      </w:r>
    </w:p>
    <w:p>
      <w:pPr>
        <w:pStyle w:val="BodyText"/>
      </w:pPr>
      <w:r>
        <w:t xml:space="preserve">The error variance is well described by a sampling model plus a method floor:</w:t>
      </w:r>
    </w:p>
    <w:p>
      <w:pPr>
        <w:pStyle w:val="SourceCode"/>
      </w:pPr>
      <w:r>
        <w:rPr>
          <w:rStyle w:val="VerbatimChar"/>
        </w:rPr>
        <w:t xml:space="preserve">Var(err) = 1.504 · p(1−p) / m + 0.0205²</w:t>
      </w:r>
    </w:p>
    <w:p>
      <w:pPr>
        <w:pStyle w:val="FirstParagraph"/>
      </w:pPr>
      <w:r>
        <w:t xml:space="preserve">where p is the inverted fraction and m is the number of shared landmarks</w:t>
      </w:r>
      <w:r>
        <w:t xml:space="preserve"> </w:t>
      </w:r>
      <w:r>
        <w:t xml:space="preserve">(shared_tags). The 1.50 coefficient absorbs spatial clustering of landmarks</w:t>
      </w:r>
      <w:r>
        <w:t xml:space="preserve"> </w:t>
      </w:r>
      <w:r>
        <w:t xml:space="preserve">inside inverted segments; the difference between the landmark-count fraction</w:t>
      </w:r>
      <w:r>
        <w:t xml:space="preserve"> </w:t>
      </w:r>
      <w:r>
        <w:t xml:space="preserve">and a strictly length-weighted one; the 0.0205 floor reflects the different</w:t>
      </w:r>
      <w:r>
        <w:t xml:space="preserve"> </w:t>
      </w:r>
      <w:r>
        <w:t xml:space="preserve">denominators used by dnadiff (aligned bases) and Syn2b (shared landmarks). This</w:t>
      </w:r>
      <w:r>
        <w:t xml:space="preserve"> </w:t>
      </w:r>
      <w:r>
        <w:t xml:space="preserve">model is fitted on the held-out set and predicts the tighter spread observed at</w:t>
      </w:r>
      <w:r>
        <w:t xml:space="preserve"> </w:t>
      </w:r>
      <w:r>
        <w:t xml:space="preserve">high ANIm without re-fitting.</w:t>
      </w:r>
    </w:p>
    <w:p>
      <w:pPr>
        <w:pStyle w:val="BodyText"/>
      </w:pPr>
      <w:r>
        <w:rPr>
          <w:b/>
          <w:bCs/>
        </w:rPr>
        <w:t xml:space="preserve">Fixed-reference versus majority-frame reporting.</w:t>
      </w:r>
      <w:r>
        <w:t xml:space="preserve"> </w:t>
      </w:r>
      <w:r>
        <w:t xml:space="preserve">The majority-frame</w:t>
      </w:r>
      <w:r>
        <w:t xml:space="preserve"> </w:t>
      </w:r>
      <w:r>
        <w:rPr>
          <w:rStyle w:val="VerbatimChar"/>
        </w:rPr>
        <w:t xml:space="preserve">inverted_fraction</w:t>
      </w:r>
      <w:r>
        <w:t xml:space="preserve"> </w:t>
      </w:r>
      <w:r>
        <w:t xml:space="preserve">saturates at 0.5 and is therefore only reliable when the</w:t>
      </w:r>
      <w:r>
        <w:t xml:space="preserve"> </w:t>
      </w:r>
      <w:r>
        <w:t xml:space="preserve">true inverted fraction is below 0.5. On the held-out set it correlates with</w:t>
      </w:r>
      <w:r>
        <w:t xml:space="preserve"> </w:t>
      </w:r>
      <w:r>
        <w:t xml:space="preserve">dnadiff at only r = 0.177, because many pairs carry large inversions. The</w:t>
      </w:r>
      <w:r>
        <w:t xml:space="preserve"> </w:t>
      </w:r>
      <w:r>
        <w:t xml:space="preserve">fixed-reference</w:t>
      </w:r>
      <w:r>
        <w:t xml:space="preserve"> </w:t>
      </w:r>
      <w:r>
        <w:rPr>
          <w:rStyle w:val="VerbatimChar"/>
        </w:rPr>
        <w:t xml:space="preserve">raw_inverted_fraction</w:t>
      </w:r>
      <w:r>
        <w:t xml:space="preserve"> </w:t>
      </w:r>
      <w:r>
        <w:t xml:space="preserve">removes the saturation and is the</w:t>
      </w:r>
      <w:r>
        <w:t xml:space="preserve"> </w:t>
      </w:r>
      <w:r>
        <w:t xml:space="preserve">validated metric (r = 0.9355). Nearly half of the held-out pairs (21,035 of</w:t>
      </w:r>
      <w:r>
        <w:t xml:space="preserve"> </w:t>
      </w:r>
      <w:r>
        <w:t xml:space="preserve">43,312, 48.6%) have a dnadiff inverted fraction &gt; 0.5; in this saturated subset</w:t>
      </w:r>
      <w:r>
        <w:t xml:space="preserve"> </w:t>
      </w:r>
      <w:r>
        <w:t xml:space="preserve">the fixed-reference version still agrees at r = 0.8724, whereas the</w:t>
      </w:r>
      <w:r>
        <w:t xml:space="preserve"> </w:t>
      </w:r>
      <w:r>
        <w:t xml:space="preserve">majority-frame version anticorrelates at r = −0.8964 because it flips to the</w:t>
      </w:r>
      <w:r>
        <w:t xml:space="preserve"> </w:t>
      </w:r>
      <w:r>
        <w:t xml:space="preserve">opposite frame (Figure 3c). One caveat applies to both dnadiff and Syn2b</w:t>
      </w:r>
      <w:r>
        <w:t xml:space="preserve"> </w:t>
      </w:r>
      <w:r>
        <w:t xml:space="preserve">fixed-reference fractions: because the orientation of individual contigs in a</w:t>
      </w:r>
      <w:r>
        <w:t xml:space="preserve"> </w:t>
      </w:r>
      <w:r>
        <w:t xml:space="preserve">draft assembly is arbitrary, pairs whose assemblies follow different orientation</w:t>
      </w:r>
      <w:r>
        <w:t xml:space="preserve"> </w:t>
      </w:r>
      <w:r>
        <w:t xml:space="preserve">conventions read as ~0.5 inverted regardless of biology. The fraction is</w:t>
      </w:r>
      <w:r>
        <w:t xml:space="preserve"> </w:t>
      </w:r>
      <w:r>
        <w:t xml:space="preserve">therefore a</w:t>
      </w:r>
      <w:r>
        <w:t xml:space="preserve"> </w:t>
      </w:r>
      <w:r>
        <w:rPr>
          <w:i/>
          <w:iCs/>
        </w:rPr>
        <w:t xml:space="preserve">tracking</w:t>
      </w:r>
      <w:r>
        <w:t xml:space="preserve"> </w:t>
      </w:r>
      <w:r>
        <w:t xml:space="preserve">metric: Syn2b reproduces the alignment-based value with</w:t>
      </w:r>
      <w:r>
        <w:t xml:space="preserve"> </w:t>
      </w:r>
      <w:r>
        <w:t xml:space="preserve">calibrated error, while per-pair biological interpretation of the inverted</w:t>
      </w:r>
      <w:r>
        <w:t xml:space="preserve"> </w:t>
      </w:r>
      <w:r>
        <w:t xml:space="preserve">fraction requires orientation-consistent assemblies; inversion</w:t>
      </w:r>
      <w:r>
        <w:t xml:space="preserve"> </w:t>
      </w:r>
      <w:r>
        <w:rPr>
          <w:i/>
          <w:iCs/>
        </w:rPr>
        <w:t xml:space="preserve">counts</w:t>
      </w:r>
      <w:r>
        <w:t xml:space="preserve"> </w:t>
      </w:r>
      <w:r>
        <w:t xml:space="preserve">are</w:t>
      </w:r>
      <w:r>
        <w:t xml:space="preserve"> </w:t>
      </w:r>
      <w:r>
        <w:t xml:space="preserve">free of this convention (section 6).</w:t>
      </w:r>
    </w:p>
    <w:p>
      <w:pPr>
        <w:pStyle w:val="BodyText"/>
      </w:pPr>
      <w:r>
        <w:rPr>
          <w:b/>
          <w:bCs/>
        </w:rPr>
        <w:t xml:space="preserve">Closed-genome validation.</w:t>
      </w:r>
      <w:r>
        <w:t xml:space="preserve"> </w:t>
      </w:r>
      <w:r>
        <w:t xml:space="preserve">On 100 closed (complete) genome pairs selected for</w:t>
      </w:r>
      <w:r>
        <w:t xml:space="preserve"> </w:t>
      </w:r>
      <w:r>
        <w:t xml:space="preserve">high expected structural divergence, Syn2b detected a median of 4 inversions per</w:t>
      </w:r>
      <w:r>
        <w:t xml:space="preserve"> </w:t>
      </w:r>
      <w:r>
        <w:t xml:space="preserve">pair with a dnadiff counterpart (median of per-pair median junction distances =</w:t>
      </w:r>
      <w:r>
        <w:t xml:space="preserve"> </w:t>
      </w:r>
      <w:r>
        <w:t xml:space="preserve">21.8 kb), while dnadiff reported a median of 31 additional inversions per pair</w:t>
      </w:r>
      <w:r>
        <w:t xml:space="preserve"> </w:t>
      </w:r>
      <w:r>
        <w:t xml:space="preserve">outside Syn2b’s landmark coverage. Pooling across pairs, 13.6% of dnadiff</w:t>
      </w:r>
      <w:r>
        <w:t xml:space="preserve"> </w:t>
      </w:r>
      <w:r>
        <w:t xml:space="preserve">inversion boundaries had a matched Syn2b junction, and 40.4% of matched</w:t>
      </w:r>
      <w:r>
        <w:t xml:space="preserve"> </w:t>
      </w:r>
      <w:r>
        <w:t xml:space="preserve">junctions lay within 5 kb of each other (p90 distance = 314.8 kb;</w:t>
      </w:r>
      <w:r>
        <w:t xml:space="preserve"> </w:t>
      </w:r>
      <w:r>
        <w:t xml:space="preserve">Supplementary Figure 2). These numbers are consistent with the sampling</w:t>
      </w:r>
      <w:r>
        <w:t xml:space="preserve"> </w:t>
      </w:r>
      <w:r>
        <w:t xml:space="preserve">model: closed genomes remove the fragmentation bias, and the remaining</w:t>
      </w:r>
      <w:r>
        <w:t xml:space="preserve"> </w:t>
      </w:r>
      <w:r>
        <w:t xml:space="preserve">discrepancies reflect landmark density and the ambiguity of one-to-one matching</w:t>
      </w:r>
      <w:r>
        <w:t xml:space="preserve"> </w:t>
      </w:r>
      <w:r>
        <w:t xml:space="preserve">between two sets of predicted events rather than algorithmic error.</w:t>
      </w:r>
    </w:p>
    <w:p>
      <w:pPr>
        <w:pStyle w:val="BodyText"/>
      </w:pPr>
      <w:r>
        <w:rPr>
          <w:b/>
          <w:bCs/>
        </w:rPr>
        <w:t xml:space="preserve">Transition-count metrics are confounded by fragmentation.</w:t>
      </w:r>
      <w:r>
        <w:t xml:space="preserve"> </w:t>
      </w:r>
      <w:r>
        <w:t xml:space="preserve">The</w:t>
      </w:r>
      <w:r>
        <w:t xml:space="preserve"> </w:t>
      </w:r>
      <w:r>
        <w:t xml:space="preserve">contamination is directly visible in the truth data itself: across the held-out</w:t>
      </w:r>
      <w:r>
        <w:t xml:space="preserve"> </w:t>
      </w:r>
      <w:r>
        <w:t xml:space="preserve">set, dnadiff’s own breakpoint count correlates with assembly contig count at</w:t>
      </w:r>
      <w:r>
        <w:t xml:space="preserve"> </w:t>
      </w:r>
      <w:r>
        <w:t xml:space="preserve">Spearman ρ = 0.28 (partial ρ = 0.34 controlling ANIm); on draft assemblies a</w:t>
      </w:r>
      <w:r>
        <w:t xml:space="preserve"> </w:t>
      </w:r>
      <w:r>
        <w:t xml:space="preserve">substantial share of alignment-reported breakpoints measures assembly</w:t>
      </w:r>
      <w:r>
        <w:t xml:space="preserve"> </w:t>
      </w:r>
      <w:r>
        <w:t xml:space="preserve">fragmentation, not rearrangement. Syn2b’s junction count does not inherit this</w:t>
      </w:r>
      <w:r>
        <w:t xml:space="preserve"> </w:t>
      </w:r>
      <w:r>
        <w:t xml:space="preserve">term: adjacencies are never formed across contig boundaries (Methods), and</w:t>
      </w:r>
      <w:r>
        <w:t xml:space="preserve"> </w:t>
      </w:r>
      <w:r>
        <w:t xml:space="preserve">across the same held-out set the junction count shows no dependence on contig</w:t>
      </w:r>
      <w:r>
        <w:t xml:space="preserve"> </w:t>
      </w:r>
      <w:r>
        <w:t xml:space="preserve">count (Spearman ρ = 0.02; partial ρ = 0.01 controlling ANIm). The junction</w:t>
      </w:r>
      <w:r>
        <w:t xml:space="preserve"> </w:t>
      </w:r>
      <w:r>
        <w:t xml:space="preserve">channel is cross-validated by an independent implementation: the companion</w:t>
      </w:r>
      <w:r>
        <w:t xml:space="preserve"> </w:t>
      </w:r>
      <w:r>
        <w:t xml:space="preserve">tool’s chain-based breakpoint counter (Syn2bANI v0.1.1) agrees exactly on</w:t>
      </w:r>
      <w:r>
        <w:t xml:space="preserve"> </w:t>
      </w:r>
      <w:r>
        <w:t xml:space="preserve">control comparisons: both report 0 junctions for a genome compared with a</w:t>
      </w:r>
      <w:r>
        <w:t xml:space="preserve"> </w:t>
      </w:r>
      <w:r>
        <w:t xml:space="preserve">renamed copy of itself and 2 for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O157:H7 EDL933 vs Sakai, and,</w:t>
      </w:r>
      <w:r>
        <w:t xml:space="preserve"> </w:t>
      </w:r>
      <w:r>
        <w:t xml:space="preserve">recomputed on the full 43,334-pair set after two defects in the chain-based</w:t>
      </w:r>
      <w:r>
        <w:t xml:space="preserve"> </w:t>
      </w:r>
      <w:r>
        <w:t xml:space="preserve">counter were identified and fixed (paralogous chains counted as adjacency</w:t>
      </w:r>
      <w:r>
        <w:t xml:space="preserve"> </w:t>
      </w:r>
      <w:r>
        <w:t xml:space="preserve">evidence, and chain breaks counted as rearrangements), its partial</w:t>
      </w:r>
      <w:r>
        <w:t xml:space="preserve"> </w:t>
      </w:r>
      <w:r>
        <w:t xml:space="preserve">correlation with dnadiff breakpoints controlling for ANIm and contig count is</w:t>
      </w:r>
      <w:r>
        <w:t xml:space="preserve"> </w:t>
      </w:r>
      <w:r>
        <w:t xml:space="preserve">r = 0.411 (raw r = 0.361; no contig-count dependence, r = −0.05), in</w:t>
      </w:r>
      <w:r>
        <w:t xml:space="preserve"> </w:t>
      </w:r>
      <w:r>
        <w:t xml:space="preserve">agreement with the per-pair ranking of Syn2b’s junction count across the same</w:t>
      </w:r>
      <w:r>
        <w:t xml:space="preserve"> </w:t>
      </w:r>
      <w:r>
        <w:t xml:space="preserve">pairs (Spearman ρ = 0.86). These results support the</w:t>
      </w:r>
      <w:r>
        <w:t xml:space="preserve"> </w:t>
      </w:r>
      <w:r>
        <w:t xml:space="preserve">fragmentation principle and argue</w:t>
      </w:r>
      <w:r>
        <w:t xml:space="preserve"> </w:t>
      </w:r>
      <w:r>
        <w:t xml:space="preserve">for prioritizing ratio-type over transition-count metrics in structural</w:t>
      </w:r>
      <w:r>
        <w:t xml:space="preserve"> </w:t>
      </w:r>
      <w:r>
        <w:t xml:space="preserve">comparison of draft assemblies.</w:t>
      </w:r>
    </w:p>
    <w:bookmarkEnd w:id="15"/>
    <w:bookmarkStart w:id="16" w:name="X63ef91bfde80d80856d8f5fc6d8bcb8e9757653"/>
    <w:p>
      <w:pPr>
        <w:pStyle w:val="Heading3"/>
      </w:pPr>
      <w:r>
        <w:t xml:space="preserve">6. One third of strain-level GTDB pairs carry invisible rearrangements</w:t>
      </w:r>
    </w:p>
    <w:p>
      <w:pPr>
        <w:pStyle w:val="FirstParagraph"/>
      </w:pPr>
      <w:r>
        <w:t xml:space="preserve">The validations above ask how faithfully Syn2b reproduces alignment-based</w:t>
      </w:r>
      <w:r>
        <w:t xml:space="preserve"> </w:t>
      </w:r>
      <w:r>
        <w:t xml:space="preserve">metrics; we now ask what those metrics indicate when applied genome-wide. We</w:t>
      </w:r>
      <w:r>
        <w:t xml:space="preserve"> </w:t>
      </w:r>
      <w:r>
        <w:t xml:space="preserve">merged the held-out set with the ANIm-verified high-ANI sample (47,748 pairs</w:t>
      </w:r>
      <w:r>
        <w:t xml:space="preserve"> </w:t>
      </w:r>
      <w:r>
        <w:t xml:space="preserve">with per-pair ANIm, dnadiff structural events, and Syn2b metrics) and counted</w:t>
      </w:r>
      <w:r>
        <w:t xml:space="preserve"> </w:t>
      </w:r>
      <w:r>
        <w:t xml:space="preserve">dnadiff inversion events per pair. Because inversion</w:t>
      </w:r>
      <w:r>
        <w:t xml:space="preserve"> </w:t>
      </w:r>
      <w:r>
        <w:rPr>
          <w:i/>
          <w:iCs/>
        </w:rPr>
        <w:t xml:space="preserve">counts</w:t>
      </w:r>
      <w:r>
        <w:t xml:space="preserve"> </w:t>
      </w:r>
      <w:r>
        <w:t xml:space="preserve">are insensitive to</w:t>
      </w:r>
      <w:r>
        <w:t xml:space="preserve"> </w:t>
      </w:r>
      <w:r>
        <w:t xml:space="preserve">the orientation conventions that affect length-based inverted fractions</w:t>
      </w:r>
      <w:r>
        <w:t xml:space="preserve"> </w:t>
      </w:r>
      <w:r>
        <w:t xml:space="preserve">(section 5), they provide a convention-free rearrangement truth.</w:t>
      </w:r>
    </w:p>
    <w:p>
      <w:pPr>
        <w:pStyle w:val="BodyText"/>
      </w:pPr>
      <w:r>
        <w:rPr>
          <w:b/>
          <w:bCs/>
        </w:rPr>
        <w:t xml:space="preserve">Rearrangement is common at strain-level ANI.</w:t>
      </w:r>
      <w:r>
        <w:t xml:space="preserve"> </w:t>
      </w:r>
      <w:r>
        <w:t xml:space="preserve">Of the 3,828 pairs with</w:t>
      </w:r>
      <w:r>
        <w:t xml:space="preserve"> </w:t>
      </w:r>
      <w:r>
        <w:t xml:space="preserve">ANIm ≥ 97%, 45% carry at least one dnadiff inversion (95% CI 43.5–46.7,</w:t>
      </w:r>
      <w:r>
        <w:t xml:space="preserve"> </w:t>
      </w:r>
      <w:r>
        <w:t xml:space="preserve">pair bootstrap) and 1,295 (34%, CI 32.4–35.3) carry two or more, pairs that</w:t>
      </w:r>
      <w:r>
        <w:t xml:space="preserve"> </w:t>
      </w:r>
      <w:r>
        <w:t xml:space="preserve">any ANI-based ranking would report as near-identical (Figure 5a). The</w:t>
      </w:r>
      <w:r>
        <w:t xml:space="preserve"> </w:t>
      </w:r>
      <w:r>
        <w:t xml:space="preserve">prevalence decays slowly with divergence: at ANIm ≥ 99%, 29% of pairs still</w:t>
      </w:r>
      <w:r>
        <w:t xml:space="preserve"> </w:t>
      </w:r>
      <w:r>
        <w:t xml:space="preserve">carry ≥1 inversion (CI 27.2–31.0; 18% ≥2, CI 16.8–20.1; Figure 5b). Extreme</w:t>
      </w:r>
      <w:r>
        <w:t xml:space="preserve"> </w:t>
      </w:r>
      <w:r>
        <w:t xml:space="preserve">cases include two</w:t>
      </w:r>
      <w:r>
        <w:t xml:space="preserve"> </w:t>
      </w:r>
      <w:r>
        <w:rPr>
          <w:i/>
          <w:iCs/>
        </w:rPr>
        <w:t xml:space="preserve">Streptomyces</w:t>
      </w:r>
      <w:r>
        <w:t xml:space="preserve"> </w:t>
      </w:r>
      <w:r>
        <w:t xml:space="preserve">assemblies of the same species (ANIm 97.1%)</w:t>
      </w:r>
      <w:r>
        <w:t xml:space="preserve"> </w:t>
      </w:r>
      <w:r>
        <w:t xml:space="preserve">with 129 dnadiff inversions between them (top cases in Supplementary Table 6).</w:t>
      </w:r>
      <w:r>
        <w:t xml:space="preserve"> </w:t>
      </w:r>
      <w:r>
        <w:t xml:space="preserve">These calls are not a by-product of assembly fragmentation: discordant pairs</w:t>
      </w:r>
      <w:r>
        <w:t xml:space="preserve"> </w:t>
      </w:r>
      <w:r>
        <w:t xml:space="preserve">carry</w:t>
      </w:r>
      <w:r>
        <w:t xml:space="preserve"> </w:t>
      </w:r>
      <w:r>
        <w:rPr>
          <w:i/>
          <w:iCs/>
        </w:rPr>
        <w:t xml:space="preserve">fewer</w:t>
      </w:r>
      <w:r>
        <w:t xml:space="preserve"> </w:t>
      </w:r>
      <w:r>
        <w:t xml:space="preserve">contigs than concordant ones (median 122 vs 177 contigs per pair;</w:t>
      </w:r>
      <w:r>
        <w:t xml:space="preserve"> </w:t>
      </w:r>
      <w:r>
        <w:t xml:space="preserve">Mann–Whitney p = 1.7 × 10⁻¹⁷), and because dnadiff can only call inversions</w:t>
      </w:r>
      <w:r>
        <w:t xml:space="preserve"> </w:t>
      </w:r>
      <w:r>
        <w:t xml:space="preserve">inside aligned segments, fragmented assemblies under-count events; the 45%</w:t>
      </w:r>
      <w:r>
        <w:t xml:space="preserve"> </w:t>
      </w:r>
      <w:r>
        <w:t xml:space="preserve">prevalence is therefore conservative.</w:t>
      </w:r>
    </w:p>
    <w:p>
      <w:pPr>
        <w:pStyle w:val="BodyText"/>
      </w:pPr>
      <w:r>
        <w:rPr>
          <w:b/>
          <w:bCs/>
        </w:rPr>
        <w:t xml:space="preserve">Discordant pairs are taxonomically structured.</w:t>
      </w:r>
      <w:r>
        <w:t xml:space="preserve"> </w:t>
      </w:r>
      <w:r>
        <w:t xml:space="preserve">Relative to concordant</w:t>
      </w:r>
      <w:r>
        <w:t xml:space="preserve"> </w:t>
      </w:r>
      <w:r>
        <w:t xml:space="preserve">high-ANI pairs, discordant pairs (ANIm ≥ 97%, ≥2 inversions) are enriched in</w:t>
      </w:r>
      <w:r>
        <w:t xml:space="preserve"> </w:t>
      </w:r>
      <w:r>
        <w:t xml:space="preserve">Proteobacteria (1.3×), Firmicutes (1.4×), Firmicutes_A (1.4×), and</w:t>
      </w:r>
      <w:r>
        <w:t xml:space="preserve"> </w:t>
      </w:r>
      <w:r>
        <w:t xml:space="preserve">Actinobacteriota (1.3×), and depleted in Spirochaetota (0.74×;</w:t>
      </w:r>
      <w:r>
        <w:t xml:space="preserve"> </w:t>
      </w:r>
      <w:r>
        <w:t xml:space="preserve">Figure 5c), consistent with known variation in genome rearrangement rates</w:t>
      </w:r>
      <w:r>
        <w:t xml:space="preserve"> </w:t>
      </w:r>
      <w:r>
        <w:t xml:space="preserve">across phyla.</w:t>
      </w:r>
    </w:p>
    <w:p>
      <w:pPr>
        <w:pStyle w:val="BodyText"/>
      </w:pPr>
      <w:r>
        <w:rPr>
          <w:b/>
          <w:bCs/>
        </w:rPr>
        <w:t xml:space="preserve">Known-biology collections bracket the discordance range.</w:t>
      </w:r>
      <w:r>
        <w:t xml:space="preserve"> </w:t>
      </w:r>
      <w:r>
        <w:t xml:space="preserve">Complete-genome</w:t>
      </w:r>
      <w:r>
        <w:t xml:space="preserve"> </w:t>
      </w:r>
      <w:r>
        <w:t xml:space="preserve">collections with documented rearrangement phenotypes calibrate the junction</w:t>
      </w:r>
      <w:r>
        <w:t xml:space="preserve"> </w:t>
      </w:r>
      <w:r>
        <w:t xml:space="preserve">channel against real biology (Supplementary Figure 5). Among 190 pairs of</w:t>
      </w:r>
      <w:r>
        <w:t xml:space="preserve"> </w:t>
      </w:r>
      <w:r>
        <w:t xml:space="preserve">complete</w:t>
      </w:r>
      <w:r>
        <w:t xml:space="preserve"> </w:t>
      </w:r>
      <w:r>
        <w:rPr>
          <w:i/>
          <w:iCs/>
        </w:rPr>
        <w:t xml:space="preserve">M. tuberculosis</w:t>
      </w:r>
      <w:r>
        <w:t xml:space="preserve"> </w:t>
      </w:r>
      <w:r>
        <w:t xml:space="preserve">genomes (median skani ANI 99.92%), the median</w:t>
      </w:r>
      <w:r>
        <w:t xml:space="preserve"> </w:t>
      </w:r>
      <w:r>
        <w:t xml:space="preserve">junction count is 0, the structurally hyper-conserved negative control.</w:t>
      </w:r>
      <w:r>
        <w:t xml:space="preserve"> </w:t>
      </w:r>
      <w:r>
        <w:t xml:space="preserve">At the other end,</w:t>
      </w:r>
      <w:r>
        <w:t xml:space="preserve"> </w:t>
      </w:r>
      <w:r>
        <w:rPr>
          <w:i/>
          <w:iCs/>
        </w:rPr>
        <w:t xml:space="preserve">Shigella</w:t>
      </w:r>
      <w:r>
        <w:t xml:space="preserve">, whose chromosomes rearrange through</w:t>
      </w:r>
      <w:r>
        <w:t xml:space="preserve"> </w:t>
      </w:r>
      <w:r>
        <w:t xml:space="preserve">IS-element-mediated recombination, shows 84–88% of pairs carrying ≥2</w:t>
      </w:r>
      <w:r>
        <w:t xml:space="preserve"> </w:t>
      </w:r>
      <w:r>
        <w:t xml:space="preserve">junctions even at ANI ≥ 99% (median 7–10 junctions;</w:t>
      </w:r>
      <w:r>
        <w:t xml:space="preserve"> </w:t>
      </w:r>
      <w:r>
        <w:rPr>
          <w:i/>
          <w:iCs/>
        </w:rPr>
        <w:t xml:space="preserve">S. flexneri</w:t>
      </w:r>
      <w:r>
        <w:t xml:space="preserve"> </w:t>
      </w:r>
      <w:r>
        <w:t xml:space="preserve">reaches 81),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Salmonella</w:t>
      </w:r>
      <w:r>
        <w:t xml:space="preserve"> </w:t>
      </w:r>
      <w:r>
        <w:t xml:space="preserve">Typhimurium (75% at ≥2, rDNA-mediated inversions) and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(58%) in between. All these pairs would be ranked near-identical by</w:t>
      </w:r>
      <w:r>
        <w:t xml:space="preserve"> </w:t>
      </w:r>
      <w:r>
        <w:t xml:space="preserve">ANI alone; the ordering of the collections matches their known rearrangement</w:t>
      </w:r>
      <w:r>
        <w:t xml:space="preserve"> </w:t>
      </w:r>
      <w:r>
        <w:t xml:space="preserve">biology on complete genomes.</w:t>
      </w:r>
    </w:p>
    <w:p>
      <w:pPr>
        <w:pStyle w:val="BodyText"/>
      </w:pPr>
      <w:r>
        <w:rPr>
          <w:b/>
          <w:bCs/>
        </w:rPr>
        <w:t xml:space="preserve">Syn2b flags discordant pairs at screening cost.</w:t>
      </w:r>
      <w:r>
        <w:t xml:space="preserve"> </w:t>
      </w:r>
      <w:r>
        <w:t xml:space="preserve">Syn2b’s junction count</w:t>
      </w:r>
      <w:r>
        <w:t xml:space="preserve"> </w:t>
      </w:r>
      <w:r>
        <w:t xml:space="preserve">ranks ≥97%-ANIm pairs by rearrangement burden with AUC 0.80 against dnadiff</w:t>
      </w:r>
      <w:r>
        <w:t xml:space="preserve"> </w:t>
      </w:r>
      <w:r>
        <w:t xml:space="preserve">inversion counts and shows no dependence on assembly contig number</w:t>
      </w:r>
      <w:r>
        <w:t xml:space="preserve"> </w:t>
      </w:r>
      <w:r>
        <w:t xml:space="preserve">(section 5); normalizing the count by shared landmarks does not improve the</w:t>
      </w:r>
      <w:r>
        <w:t xml:space="preserve"> </w:t>
      </w:r>
      <w:r>
        <w:t xml:space="preserve">ranking (AUC 0.79), consistent with shared-tag counts being nearly constant</w:t>
      </w:r>
      <w:r>
        <w:t xml:space="preserve"> </w:t>
      </w:r>
      <w:r>
        <w:t xml:space="preserve">in this regime. At a screening threshold of ≥12 junctions it flags 30% of</w:t>
      </w:r>
      <w:r>
        <w:t xml:space="preserve"> </w:t>
      </w:r>
      <w:r>
        <w:t xml:space="preserve">discordant pairs at a 4.6% false-positive rate on concordant pairs (13.1% of</w:t>
      </w:r>
      <w:r>
        <w:t xml:space="preserve"> </w:t>
      </w:r>
      <w:r>
        <w:t xml:space="preserve">all ≥97%-ANIm pairs); flagged pairs can then be committed to alignment-based</w:t>
      </w:r>
      <w:r>
        <w:t xml:space="preserve"> </w:t>
      </w:r>
      <w:r>
        <w:t xml:space="preserve">validation. The economics of this two-stage workflow follow directly: at</w:t>
      </w:r>
      <w:r>
        <w:t xml:space="preserve"> </w:t>
      </w:r>
      <w:r>
        <w:t xml:space="preserve">~19 ms to screen a pair and ~8 s to align it, screening everything and</w:t>
      </w:r>
      <w:r>
        <w:t xml:space="preserve"> </w:t>
      </w:r>
      <w:r>
        <w:t xml:space="preserve">aligning only the flagged pairs costs ~1.1 s per pair on average, ~7.5× less</w:t>
      </w:r>
      <w:r>
        <w:t xml:space="preserve"> </w:t>
      </w:r>
      <w:r>
        <w:t xml:space="preserve">than aligning every pair, and at the scale of all 711M within-species GTDB</w:t>
      </w:r>
      <w:r>
        <w:t xml:space="preserve"> </w:t>
      </w:r>
      <w:r>
        <w:t xml:space="preserve">pairs the difference is 0.21M versus 1.58M core-hours. The remaining</w:t>
      </w:r>
      <w:r>
        <w:t xml:space="preserve"> </w:t>
      </w:r>
      <w:r>
        <w:t xml:space="preserve">discrepancy is expected from the sampling model: junction counts</w:t>
      </w:r>
      <w:r>
        <w:t xml:space="preserve"> </w:t>
      </w:r>
      <w:r>
        <w:t xml:space="preserve">underestimate rearrangements that fall between landmarks, and the ratio metric</w:t>
      </w:r>
      <w:r>
        <w:t xml:space="preserve"> </w:t>
      </w:r>
      <w:r>
        <w:t xml:space="preserve">is blind to event multiplicity. For database-scale applications the practical</w:t>
      </w:r>
      <w:r>
        <w:t xml:space="preserve"> </w:t>
      </w:r>
      <w:r>
        <w:t xml:space="preserve">consequence is direct: a genome search that reports only ANI will rank 1,295</w:t>
      </w:r>
      <w:r>
        <w:t xml:space="preserve"> </w:t>
      </w:r>
      <w:r>
        <w:t xml:space="preserve">structurally divergent surveyed pairs as top hits, and Syn2b recovers this</w:t>
      </w:r>
      <w:r>
        <w:t xml:space="preserve"> </w:t>
      </w:r>
      <w:r>
        <w:t xml:space="preserve">signal in ~19 ms per pair without any alignment.</w:t>
      </w:r>
    </w:p>
    <w:bookmarkEnd w:id="16"/>
    <w:bookmarkStart w:id="17" w:name="Xd33ba60f870f82387d1d5309181bf4a40bd85d4"/>
    <w:p>
      <w:pPr>
        <w:pStyle w:val="Heading3"/>
      </w:pPr>
      <w:r>
        <w:t xml:space="preserve">7. Effective within-species GTDB-R207 structural census</w:t>
      </w:r>
    </w:p>
    <w:p>
      <w:pPr>
        <w:pStyle w:val="FirstParagraph"/>
      </w:pPr>
      <w:r>
        <w:t xml:space="preserve">To test whether the strain-level observations scale beyond curated representative pairs, we applied the same production enzyme panel to all multi-genome GTDB-R207 species clusters. The planned set contained 274,374 genomes in 22,535 clusters (711,020,841 unique pairs). After removing 12,637 genomes without usable digests and normalizing legacy contig-level output identifiers to accessions, the effective scope was</w:t>
      </w:r>
      <w:r>
        <w:t xml:space="preserve"> </w:t>
      </w:r>
      <w:r>
        <w:rPr>
          <w:b/>
          <w:bCs/>
        </w:rPr>
        <w:t xml:space="preserve">261,737 genomes in 21,973 clusters</w:t>
      </w:r>
      <w:r>
        <w:t xml:space="preserve">, corresponding to</w:t>
      </w:r>
      <w:r>
        <w:t xml:space="preserve"> </w:t>
      </w:r>
      <w:r>
        <w:rPr>
          <w:b/>
          <w:bCs/>
        </w:rPr>
        <w:t xml:space="preserve">653,584,719 unique unordered pairs</w:t>
      </w:r>
      <w:r>
        <w:t xml:space="preserve">. Global canonicalization and external-sort deduplication produced</w:t>
      </w:r>
      <w:r>
        <w:t xml:space="preserve"> </w:t>
      </w:r>
      <w:r>
        <w:rPr>
          <w:b/>
          <w:bCs/>
        </w:rPr>
        <w:t xml:space="preserve">646,012,820 structurally reported pairs</w:t>
      </w:r>
      <w:r>
        <w:t xml:space="preserve">.</w:t>
      </w:r>
    </w:p>
    <w:p>
      <w:pPr>
        <w:pStyle w:val="BodyText"/>
      </w:pPr>
      <w:r>
        <w:t xml:space="preserve">In this observed effective set,</w:t>
      </w:r>
      <w:r>
        <w:t xml:space="preserve"> </w:t>
      </w:r>
      <w:r>
        <w:rPr>
          <w:b/>
          <w:bCs/>
        </w:rPr>
        <w:t xml:space="preserve">502,819,691 pairs (77.83%) carried at least two landmark-defined breakpoints</w:t>
      </w:r>
      <w:r>
        <w:t xml:space="preserve">. Species-level rates spanned nearly the full range even among clusters with ≥1,000 effective pairs (Supplementary Figure 6). High-rate examples included</w:t>
      </w:r>
      <w:r>
        <w:t xml:space="preserve"> </w:t>
      </w:r>
      <w:r>
        <w:rPr>
          <w:i/>
          <w:iCs/>
        </w:rPr>
        <w:t xml:space="preserve">Pseudomonas_E viridiflava</w:t>
      </w:r>
      <w:r>
        <w:t xml:space="preserve"> </w:t>
      </w:r>
      <w:r>
        <w:t xml:space="preserve">(943,251/943,251 informative pairs; 97.88%),</w:t>
      </w:r>
      <w:r>
        <w:t xml:space="preserve"> </w:t>
      </w:r>
      <w:r>
        <w:rPr>
          <w:i/>
          <w:iCs/>
        </w:rPr>
        <w:t xml:space="preserve">Streptococcus pneumoniae</w:t>
      </w:r>
      <w:r>
        <w:t xml:space="preserve"> </w:t>
      </w:r>
      <w:r>
        <w:t xml:space="preserve">(97.81% of 29.42M pairs), and several</w:t>
      </w:r>
      <w:r>
        <w:t xml:space="preserve"> </w:t>
      </w:r>
      <w:r>
        <w:rPr>
          <w:i/>
          <w:iCs/>
        </w:rPr>
        <w:t xml:space="preserve">Mesorhizobium/Rhizobium</w:t>
      </w:r>
      <w:r>
        <w:t xml:space="preserve"> </w:t>
      </w:r>
      <w:r>
        <w:t xml:space="preserve">lineages (&gt;99%). Low-rate examples included</w:t>
      </w:r>
      <w:r>
        <w:t xml:space="preserve"> </w:t>
      </w:r>
      <w:r>
        <w:rPr>
          <w:i/>
          <w:iCs/>
        </w:rPr>
        <w:t xml:space="preserve">Chlamydia trachomatis</w:t>
      </w:r>
      <w:r>
        <w:t xml:space="preserve"> </w:t>
      </w:r>
      <w:r>
        <w:t xml:space="preserve">(2.95%),</w:t>
      </w:r>
      <w:r>
        <w:t xml:space="preserve"> </w:t>
      </w:r>
      <w:r>
        <w:rPr>
          <w:i/>
          <w:iCs/>
        </w:rPr>
        <w:t xml:space="preserve">Treponema pallidum</w:t>
      </w:r>
      <w:r>
        <w:t xml:space="preserve"> </w:t>
      </w:r>
      <w:r>
        <w:t xml:space="preserve">(2.33%),</w:t>
      </w:r>
      <w:r>
        <w:t xml:space="preserve"> </w:t>
      </w:r>
      <w:r>
        <w:rPr>
          <w:i/>
          <w:iCs/>
        </w:rPr>
        <w:t xml:space="preserve">Francisella tularensis</w:t>
      </w:r>
      <w:r>
        <w:t xml:space="preserve"> </w:t>
      </w:r>
      <w:r>
        <w:t xml:space="preserve">(9.50%), and</w:t>
      </w:r>
      <w:r>
        <w:t xml:space="preserve"> </w:t>
      </w:r>
      <w:r>
        <w:rPr>
          <w:i/>
          <w:iCs/>
        </w:rPr>
        <w:t xml:space="preserve">Wolbachia pipientis</w:t>
      </w:r>
      <w:r>
        <w:t xml:space="preserve"> </w:t>
      </w:r>
      <w:r>
        <w:t xml:space="preserve">(11.15%). These differences persisted after restricting to clusters with ≥1,000 pairs.</w:t>
      </w:r>
    </w:p>
    <w:bookmarkEnd w:id="17"/>
    <w:bookmarkStart w:id="18" w:name="X422b81198986dd416db71a2c6612906e090ee88"/>
    <w:p>
      <w:pPr>
        <w:pStyle w:val="Heading3"/>
      </w:pPr>
      <w:r>
        <w:t xml:space="preserve">8. Independent HROM census replicates taxon-specific structural variation</w:t>
      </w:r>
    </w:p>
    <w:p>
      <w:pPr>
        <w:pStyle w:val="FirstParagraph"/>
      </w:pPr>
      <w:r>
        <w:t xml:space="preserve">To ask whether database-scale structural screening generalizes beyond GTDB, we</w:t>
      </w:r>
      <w:r>
        <w:t xml:space="preserve"> </w:t>
      </w:r>
      <w:r>
        <w:t xml:space="preserve">analysed all 142,277 genomes in the 2,241 multi-genome clusters of the Human</w:t>
      </w:r>
      <w:r>
        <w:t xml:space="preserve"> </w:t>
      </w:r>
      <w:r>
        <w:t xml:space="preserve">Reference Oral Microbiome (HROM) database. The analysis evaluated all</w:t>
      </w:r>
      <w:r>
        <w:t xml:space="preserve"> </w:t>
      </w:r>
      <w:r>
        <w:t xml:space="preserve">62,872,901 unordered conspecific pairs with the same Syn2b structural channel</w:t>
      </w:r>
      <w:r>
        <w:t xml:space="preserve"> </w:t>
      </w:r>
      <w:r>
        <w:t xml:space="preserve">and paired each structural row with skani 0.3.2 ANI. Of these pairs,</w:t>
      </w:r>
      <w:r>
        <w:t xml:space="preserve"> </w:t>
      </w:r>
      <w:r>
        <w:rPr>
          <w:b/>
          <w:bCs/>
        </w:rPr>
        <w:t xml:space="preserve">17,535,013 (27.89%; Wilson 95% CI 27.88–27.90%) carried ≥2 landmark-defined</w:t>
      </w:r>
      <w:r>
        <w:rPr>
          <w:b/>
          <w:bCs/>
        </w:rPr>
        <w:t xml:space="preserve"> </w:t>
      </w:r>
      <w:r>
        <w:rPr>
          <w:b/>
          <w:bCs/>
        </w:rPr>
        <w:t xml:space="preserve">breakpoints</w:t>
      </w:r>
      <w:r>
        <w:t xml:space="preserve">, and every row received a matched ANI value.</w:t>
      </w:r>
    </w:p>
    <w:p>
      <w:pPr>
        <w:pStyle w:val="BodyText"/>
      </w:pPr>
      <w:r>
        <w:t xml:space="preserve">The taxon-specific signal was broad. Among the 367 HROM clusters with at least</w:t>
      </w:r>
      <w:r>
        <w:t xml:space="preserve"> </w:t>
      </w:r>
      <w:r>
        <w:t xml:space="preserve">1,000 pairs, the fraction of pairs with ≥2 breakpoints ranged from 0.66% to</w:t>
      </w:r>
      <w:r>
        <w:t xml:space="preserve"> </w:t>
      </w:r>
      <w:r>
        <w:t xml:space="preserve">83.29%, with a median of 17.92%. This independent census therefore reproduced</w:t>
      </w:r>
      <w:r>
        <w:t xml:space="preserve"> </w:t>
      </w:r>
      <w:r>
        <w:t xml:space="preserve">two central patterns from the GTDB survey: structural variation is widespread</w:t>
      </w:r>
      <w:r>
        <w:t xml:space="preserve"> </w:t>
      </w:r>
      <w:r>
        <w:t xml:space="preserve">within named species clusters, and its prevalence differs greatly among taxa.</w:t>
      </w:r>
    </w:p>
    <w:bookmarkEnd w:id="18"/>
    <w:bookmarkStart w:id="19" w:name="Xf6b0eddf9c0c3e42eb314c229d743bb331206ea"/>
    <w:p>
      <w:pPr>
        <w:pStyle w:val="Heading3"/>
      </w:pPr>
      <w:r>
        <w:t xml:space="preserve">9. SynTracker cohorts show ANI–synteny decoupling</w:t>
      </w:r>
    </w:p>
    <w:p>
      <w:pPr>
        <w:pStyle w:val="FirstParagraph"/>
      </w:pPr>
      <w:r>
        <w:t xml:space="preserve">We re-analysed four published SynTracker isolate cohorts (</w:t>
      </w:r>
      <w:r>
        <w:rPr>
          <w:i/>
          <w:iCs/>
        </w:rPr>
        <w:t xml:space="preserve">E. coli</w:t>
      </w:r>
      <w:r>
        <w:t xml:space="preserve"> </w:t>
      </w:r>
      <w:r>
        <w:t xml:space="preserve">hypermutator, n = 253 pairs;</w:t>
      </w:r>
      <w:r>
        <w:t xml:space="preserve"> </w:t>
      </w:r>
      <w:r>
        <w:rPr>
          <w:i/>
          <w:iCs/>
        </w:rPr>
        <w:t xml:space="preserve">H. pylori</w:t>
      </w:r>
      <w:r>
        <w:t xml:space="preserve">, n = 2,926 pairs;</w:t>
      </w:r>
      <w:r>
        <w:t xml:space="preserve"> </w:t>
      </w:r>
      <w:r>
        <w:rPr>
          <w:i/>
          <w:iCs/>
        </w:rPr>
        <w:t xml:space="preserve">N. gonorrhoeae</w:t>
      </w:r>
      <w:r>
        <w:t xml:space="preserve">,</w:t>
      </w:r>
      <w:r>
        <w:t xml:space="preserve"> </w:t>
      </w:r>
      <w:r>
        <w:t xml:space="preserve">n = 66 pairs;</w:t>
      </w:r>
      <w:r>
        <w:t xml:space="preserve"> </w:t>
      </w:r>
      <w:r>
        <w:rPr>
          <w:i/>
          <w:iCs/>
        </w:rPr>
        <w:t xml:space="preserve">S. rimosus</w:t>
      </w:r>
      <w:r>
        <w:t xml:space="preserve">, n = 190 pairs) with skani ANI and Syn2b structural</w:t>
      </w:r>
      <w:r>
        <w:t xml:space="preserve"> </w:t>
      </w:r>
      <w:r>
        <w:t xml:space="preserve">metrics. Unlike Figure 3, which validates Syn2b against alignment-based inverted</w:t>
      </w:r>
      <w:r>
        <w:t xml:space="preserve"> </w:t>
      </w:r>
      <w:r>
        <w:t xml:space="preserve">fractions, this comparison asks whether Syn2b’s fast structural signal adds</w:t>
      </w:r>
      <w:r>
        <w:t xml:space="preserve"> </w:t>
      </w:r>
      <w:r>
        <w:t xml:space="preserve">information beyond a state-of-the-art ANI estimator.</w:t>
      </w:r>
    </w:p>
    <w:p>
      <w:pPr>
        <w:pStyle w:val="BodyText"/>
      </w:pPr>
      <w:r>
        <w:rPr>
          <w:b/>
          <w:bCs/>
        </w:rPr>
        <w:t xml:space="preserve">Species occupy distinct structural regimes.</w:t>
      </w:r>
      <w:r>
        <w:t xml:space="preserve"> </w:t>
      </w:r>
      <w:r>
        <w:rPr>
          <w:i/>
          <w:iCs/>
        </w:rPr>
        <w:t xml:space="preserve">S. rimosus</w:t>
      </w:r>
      <w:r>
        <w:t xml:space="preserve"> </w:t>
      </w:r>
      <w:r>
        <w:t xml:space="preserve">pairs cluster at</w:t>
      </w:r>
      <w:r>
        <w:t xml:space="preserve"> </w:t>
      </w:r>
      <w:r>
        <w:t xml:space="preserve">very high ANI (&gt;99.9%) yet span the widest breakpoint range (median</w:t>
      </w:r>
      <w:r>
        <w:t xml:space="preserve"> </w:t>
      </w:r>
      <w:r>
        <w:t xml:space="preserve">junction count = 10), showing that clonal sequence similarity does not</w:t>
      </w:r>
      <w:r>
        <w:t xml:space="preserve"> </w:t>
      </w:r>
      <w:r>
        <w:t xml:space="preserve">guarantee structural identity.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hypermutator pairs are near-clonal</w:t>
      </w:r>
      <w:r>
        <w:t xml:space="preserve"> </w:t>
      </w:r>
      <w:r>
        <w:t xml:space="preserve">(ANI 99.93–100.00%, median 99.99) and carry essentially no structural signal</w:t>
      </w:r>
      <w:r>
        <w:t xml:space="preserve"> </w:t>
      </w:r>
      <w:r>
        <w:t xml:space="preserve">(median junction count = 0, maximum 3), consistent with a population driven</w:t>
      </w:r>
      <w:r>
        <w:t xml:space="preserve"> </w:t>
      </w:r>
      <w:r>
        <w:t xml:space="preserve">primarily by point mutation.</w:t>
      </w:r>
      <w:r>
        <w:t xml:space="preserve"> </w:t>
      </w:r>
      <w:r>
        <w:rPr>
          <w:i/>
          <w:iCs/>
        </w:rPr>
        <w:t xml:space="preserve">H. pylori</w:t>
      </w:r>
      <w:r>
        <w:t xml:space="preserve"> </w:t>
      </w:r>
      <w:r>
        <w:t xml:space="preserve">spans the broadest ANI range</w:t>
      </w:r>
      <w:r>
        <w:t xml:space="preserve"> </w:t>
      </w:r>
      <w:r>
        <w:t xml:space="preserve">(94.6–100%) and</w:t>
      </w:r>
      <w:r>
        <w:t xml:space="preserve"> </w:t>
      </w:r>
      <w:r>
        <w:rPr>
          <w:i/>
          <w:iCs/>
        </w:rPr>
        <w:t xml:space="preserve">N. gonorrhoeae</w:t>
      </w:r>
      <w:r>
        <w:t xml:space="preserve"> </w:t>
      </w:r>
      <w:r>
        <w:t xml:space="preserve">sits at 99.6–100%; in both, ANI and</w:t>
      </w:r>
      <w:r>
        <w:t xml:space="preserve"> </w:t>
      </w:r>
      <w:r>
        <w:t xml:space="preserve">breakpoints vary together but with substantial scatter (Figure 4a–c).</w:t>
      </w:r>
    </w:p>
    <w:p>
      <w:pPr>
        <w:pStyle w:val="BodyText"/>
      </w:pPr>
      <w:r>
        <w:rPr>
          <w:b/>
          <w:bCs/>
        </w:rPr>
        <w:t xml:space="preserve">Within-host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H. pylori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structure.</w:t>
      </w:r>
      <w:r>
        <w:t xml:space="preserve"> </w:t>
      </w:r>
      <w:r>
        <w:t xml:space="preserve">Among the 2,926</w:t>
      </w:r>
      <w:r>
        <w:t xml:space="preserve"> </w:t>
      </w:r>
      <w:r>
        <w:rPr>
          <w:i/>
          <w:iCs/>
        </w:rPr>
        <w:t xml:space="preserve">H. pylori</w:t>
      </w:r>
      <w:r>
        <w:t xml:space="preserve"> </w:t>
      </w:r>
      <w:r>
        <w:t xml:space="preserve">pairs, 476</w:t>
      </w:r>
      <w:r>
        <w:t xml:space="preserve"> </w:t>
      </w:r>
      <w:r>
        <w:t xml:space="preserve">were recovered from the same participant. Within-participant pairs showed very</w:t>
      </w:r>
      <w:r>
        <w:t xml:space="preserve"> </w:t>
      </w:r>
      <w:r>
        <w:t xml:space="preserve">low structural disruption (median junction count = 0, median</w:t>
      </w:r>
      <w:r>
        <w:t xml:space="preserve"> </w:t>
      </w:r>
      <w:r>
        <w:rPr>
          <w:rStyle w:val="VerbatimChar"/>
        </w:rPr>
        <w:t xml:space="preserve">observable_fraction</w:t>
      </w:r>
      <w:r>
        <w:t xml:space="preserve"> </w:t>
      </w:r>
      <w:r>
        <w:t xml:space="preserve">= 0.995), whereas cross-participant pairs showed</w:t>
      </w:r>
      <w:r>
        <w:t xml:space="preserve"> </w:t>
      </w:r>
      <w:r>
        <w:t xml:space="preserve">substantially more signal (median junction count = 8, median</w:t>
      </w:r>
      <w:r>
        <w:t xml:space="preserve"> </w:t>
      </w:r>
      <w:r>
        <w:rPr>
          <w:rStyle w:val="VerbatimChar"/>
        </w:rPr>
        <w:t xml:space="preserve">observable_fraction</w:t>
      </w:r>
      <w:r>
        <w:t xml:space="preserve"> </w:t>
      </w:r>
      <w:r>
        <w:t xml:space="preserve">= 0.978). A label-permutation test (10,000 permutations)</w:t>
      </w:r>
      <w:r>
        <w:t xml:space="preserve"> </w:t>
      </w:r>
      <w:r>
        <w:t xml:space="preserve">confirms the difference (median difference −8 breakpoints, p &lt; 1e-4, Cliff’s</w:t>
      </w:r>
      <w:r>
        <w:t xml:space="preserve"> </w:t>
      </w:r>
      <w:r>
        <w:t xml:space="preserve">delta = −0.92; Mann–Whitney p = 4e-226; Supplementary Table 5). Same-host pairs</w:t>
      </w:r>
      <w:r>
        <w:t xml:space="preserve"> </w:t>
      </w:r>
      <w:r>
        <w:t xml:space="preserve">tend to have both high ANI and low breakpoint counts, whereas between-host pairs</w:t>
      </w:r>
      <w:r>
        <w:t xml:space="preserve"> </w:t>
      </w:r>
      <w:r>
        <w:t xml:space="preserve">show greater structural divergence even when ANI is similar (Figure 4d). This</w:t>
      </w:r>
      <w:r>
        <w:t xml:space="preserve"> </w:t>
      </w:r>
      <w:r>
        <w:t xml:space="preserve">pattern mirrors the participant-level signal reported by SynTracker and</w:t>
      </w:r>
      <w:r>
        <w:t xml:space="preserve"> </w:t>
      </w:r>
      <w:r>
        <w:t xml:space="preserve">demonstrates that Syn2b captures epidemiologically relevant structure using</w:t>
      </w:r>
      <w:r>
        <w:t xml:space="preserve"> </w:t>
      </w:r>
      <w:r>
        <w:t xml:space="preserve">only restriction-enzyme tags.</w:t>
      </w:r>
    </w:p>
    <w:bookmarkEnd w:id="19"/>
    <w:bookmarkStart w:id="20" w:name="runtime-benchmarking"/>
    <w:p>
      <w:pPr>
        <w:pStyle w:val="Heading3"/>
      </w:pPr>
      <w:r>
        <w:t xml:space="preserve">10. Runtime benchmarking</w:t>
      </w:r>
    </w:p>
    <w:p>
      <w:pPr>
        <w:pStyle w:val="FirstParagraph"/>
      </w:pPr>
      <w:r>
        <w:t xml:space="preserve">Digestion of a 4.6-Mbp genome with the full four-enzyme panel takes</w:t>
      </w:r>
      <w:r>
        <w:t xml:space="preserve"> </w:t>
      </w:r>
      <w:r>
        <w:t xml:space="preserve">approximately 42 ms on a single core (measured on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K-12, including</w:t>
      </w:r>
      <w:r>
        <w:t xml:space="preserve"> </w:t>
      </w:r>
      <w:r>
        <w:t xml:space="preserve">process startup; timings archived in the repository), with individual</w:t>
      </w:r>
      <w:r>
        <w:t xml:space="preserve"> </w:t>
      </w:r>
      <w:r>
        <w:t xml:space="preserve">production-panel enzymes ranging from approximately 30 ms (FalI) to 46 ms</w:t>
      </w:r>
      <w:r>
        <w:t xml:space="preserve"> </w:t>
      </w:r>
      <w:r>
        <w:t xml:space="preserve">(BcgI) (Figure 6a). Pairwise structural comparison scales sub-linearly</w:t>
      </w:r>
      <w:r>
        <w:t xml:space="preserve"> </w:t>
      </w:r>
      <w:r>
        <w:t xml:space="preserve">per unique pair as the fixed per-run cost is amortized: 39.8 ms/pair for 5</w:t>
      </w:r>
      <w:r>
        <w:t xml:space="preserve"> </w:t>
      </w:r>
      <w:r>
        <w:t xml:space="preserve">genomes, 23.2 ms/pair for 10 genomes, 22.0 ms/pair for 15 genomes, and 18.9</w:t>
      </w:r>
      <w:r>
        <w:t xml:space="preserve"> </w:t>
      </w:r>
      <w:r>
        <w:t xml:space="preserve">ms/pair for 22 genomes (Figure 6b; Table 3). The n = 2 case is dominated by startup</w:t>
      </w:r>
      <w:r>
        <w:t xml:space="preserve"> </w:t>
      </w:r>
      <w:r>
        <w:t xml:space="preserve">overhead and is excluded from the amortized curve; the 22-genome estimate uses</w:t>
      </w:r>
      <w:r>
        <w:t xml:space="preserve"> </w:t>
      </w:r>
      <w:r>
        <w:t xml:space="preserve">the 231 unique unordered pairs rather than the 484 directional self-plus-</w:t>
      </w:r>
      <w:r>
        <w:t xml:space="preserve"> </w:t>
      </w:r>
      <w:r>
        <w:t xml:space="preserve">reciprocal comparisons recorded in the raw benchmark.</w:t>
      </w:r>
    </w:p>
    <w:p>
      <w:pPr>
        <w:pStyle w:val="BodyText"/>
      </w:pPr>
      <w:r>
        <w:t xml:space="preserve">Memory footprint is dominated by the genome sequence and tag index and remained</w:t>
      </w:r>
      <w:r>
        <w:t xml:space="preserve"> </w:t>
      </w:r>
      <w:r>
        <w:t xml:space="preserve">well within standard laptop limits for all panel sizes tested. On the</w:t>
      </w:r>
      <w:r>
        <w:t xml:space="preserve"> </w:t>
      </w:r>
      <w:r>
        <w:t xml:space="preserve">same 22-genome panel (484 ordered pairs), Syn2b completed structural comparison</w:t>
      </w:r>
      <w:r>
        <w:t xml:space="preserve"> </w:t>
      </w:r>
      <w:r>
        <w:t xml:space="preserve">in 4.4 s, versus 1,844 s for the skani+dnadiff workflow, a ~420-fold speedup</w:t>
      </w:r>
      <w:r>
        <w:t xml:space="preserve"> </w:t>
      </w:r>
      <w:r>
        <w:t xml:space="preserve">(Supplementary Table 4). Supplementary Table 2 gives the scaling across panel</w:t>
      </w:r>
      <w:r>
        <w:t xml:space="preserve"> </w:t>
      </w:r>
      <w:r>
        <w:t xml:space="preserve">sizes. SynTracker, the microsynteny alternative, required 65,162 s (18.1 h) on</w:t>
      </w:r>
      <w:r>
        <w:t xml:space="preserve"> </w:t>
      </w:r>
      <w:r>
        <w:t xml:space="preserve">the same 22-genome panel even with 16 cores, ~15,000-fold slower than Syn2b,</w:t>
      </w:r>
      <w:r>
        <w:t xml:space="preserve"> </w:t>
      </w:r>
      <w:r>
        <w:t xml:space="preserve">consistent with its BLAST database construction and all-versus-all DECIPHER</w:t>
      </w:r>
      <w:r>
        <w:t xml:space="preserve"> </w:t>
      </w:r>
      <w:r>
        <w:t xml:space="preserve">alignment being at least as expensive as the nucmer-based dnadiff stage.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We have presented Syn2b, a rapid, alignment-free method for</w:t>
      </w:r>
      <w:r>
        <w:t xml:space="preserve"> </w:t>
      </w:r>
      <w:r>
        <w:t xml:space="preserve">structural-variation comparison of microbial strains. Its central advance is not</w:t>
      </w:r>
      <w:r>
        <w:t xml:space="preserve"> </w:t>
      </w:r>
      <w:r>
        <w:t xml:space="preserve">merely speed but a principled answer to the fragmentation problem: report</w:t>
      </w:r>
      <w:r>
        <w:t xml:space="preserve"> </w:t>
      </w:r>
      <w:r>
        <w:t xml:space="preserve">length-weighted ratios, not transition counts, when working with draft</w:t>
      </w:r>
      <w:r>
        <w:t xml:space="preserve"> </w:t>
      </w:r>
      <w:r>
        <w:t xml:space="preserve">assemblies.</w:t>
      </w:r>
    </w:p>
    <w:p>
      <w:pPr>
        <w:pStyle w:val="BodyText"/>
      </w:pPr>
      <w:r>
        <w:rPr>
          <w:b/>
          <w:bCs/>
        </w:rPr>
        <w:t xml:space="preserve">Comparison to existing structural workflows.</w:t>
      </w:r>
      <w:r>
        <w:t xml:space="preserve"> </w:t>
      </w:r>
      <w:r>
        <w:t xml:space="preserve">SynTracker pioneered</w:t>
      </w:r>
      <w:r>
        <w:t xml:space="preserve"> </w:t>
      </w:r>
      <w:r>
        <w:t xml:space="preserve">microsynteny for strain comparison but requires BLAST databases and</w:t>
      </w:r>
      <w:r>
        <w:t xml:space="preserve"> </w:t>
      </w:r>
      <w:r>
        <w:t xml:space="preserve">all-versus-all DECIPHER alignments; on our 22-genome benchmark panel it needed</w:t>
      </w:r>
      <w:r>
        <w:t xml:space="preserve"> </w:t>
      </w:r>
      <w:r>
        <w:t xml:space="preserve">18.1 h on 16 cores (282 s per unique pair; Supplementary Table 4), about</w:t>
      </w:r>
      <w:r>
        <w:t xml:space="preserve"> </w:t>
      </w:r>
      <w:r>
        <w:t xml:space="preserve">15,000 times slower than Syn2b for a comparable structural read-out.</w:t>
      </w:r>
      <w:r>
        <w:t xml:space="preserve"> </w:t>
      </w:r>
      <w:r>
        <w:t xml:space="preserve">Alignment-based callers such as dnadiff provide ground truth but require a</w:t>
      </w:r>
      <w:r>
        <w:t xml:space="preserve"> </w:t>
      </w:r>
      <w:r>
        <w:t xml:space="preserve">pairwise nucmer alignment per genome pair (~8.0 s per unique pair on our</w:t>
      </w:r>
      <w:r>
        <w:t xml:space="preserve"> </w:t>
      </w:r>
      <w:r>
        <w:t xml:space="preserve">benchmark; Supplementary Table 4); the cheapest alignment alternative,</w:t>
      </w:r>
      <w:r>
        <w:t xml:space="preserve"> </w:t>
      </w:r>
      <w:r>
        <w:t xml:space="preserve">minimap2²² (</w:t>
      </w:r>
      <w:r>
        <w:rPr>
          <w:rStyle w:val="VerbatimChar"/>
        </w:rPr>
        <w:t xml:space="preserve">-cx asm5</w:t>
      </w:r>
      <w:r>
        <w:t xml:space="preserve">, one thread), still needs ~1.9 s per complete-genome</w:t>
      </w:r>
      <w:r>
        <w:t xml:space="preserve"> </w:t>
      </w:r>
      <w:r>
        <w:t xml:space="preserve">pair on the same machine as our local Syn2b timings, roughly 100× Syn2b’s</w:t>
      </w:r>
      <w:r>
        <w:t xml:space="preserve"> </w:t>
      </w:r>
      <w:r>
        <w:t xml:space="preserve">per-pair cost. Syn2b achieves the same structural signal</w:t>
      </w:r>
      <w:r>
        <w:t xml:space="preserve"> </w:t>
      </w:r>
      <w:r>
        <w:t xml:space="preserve">through Type IIB tag adjacency, without pairwise alignment or a pre-built</w:t>
      </w:r>
      <w:r>
        <w:t xml:space="preserve"> </w:t>
      </w:r>
      <w:r>
        <w:t xml:space="preserve">database, at ~19 ms per unique pair. Other alignment-free approaches, MinHash</w:t>
      </w:r>
      <w:r>
        <w:t xml:space="preserve"> </w:t>
      </w:r>
      <w:r>
        <w:t xml:space="preserve">distances (Mash¹⁸) and sparse chaining (skani²¹), summarize genomes as k-mer</w:t>
      </w:r>
      <w:r>
        <w:t xml:space="preserve"> </w:t>
      </w:r>
      <w:r>
        <w:t xml:space="preserve">sets and are by construction blind to adjacency, as our controlled benchmarks</w:t>
      </w:r>
      <w:r>
        <w:t xml:space="preserve"> </w:t>
      </w:r>
      <w:r>
        <w:t xml:space="preserve">confirm (Figure 2d); Syn2b retains ordered landmarks at comparable cost and is,</w:t>
      </w:r>
      <w:r>
        <w:t xml:space="preserve"> </w:t>
      </w:r>
      <w:r>
        <w:t xml:space="preserve">to our knowledge, the fastest method that reports any length-resolved</w:t>
      </w:r>
      <w:r>
        <w:t xml:space="preserve"> </w:t>
      </w:r>
      <w:r>
        <w:t xml:space="preserve">structural quantity. The GTDB validation shows that the orientation ratio alone</w:t>
      </w:r>
      <w:r>
        <w:t xml:space="preserve"> </w:t>
      </w:r>
      <w:r>
        <w:t xml:space="preserve">matches dnadiff at r = 0.94 overall and r = 0.996 at ANIm ≥ 97%.</w:t>
      </w:r>
    </w:p>
    <w:p>
      <w:pPr>
        <w:pStyle w:val="BodyText"/>
      </w:pPr>
      <w:r>
        <w:rPr>
          <w:b/>
          <w:bCs/>
        </w:rPr>
        <w:t xml:space="preserve">What genome-wide screening shows.</w:t>
      </w:r>
      <w:r>
        <w:t xml:space="preserve"> </w:t>
      </w:r>
      <w:r>
        <w:t xml:space="preserve">The discordance survey in section 6</w:t>
      </w:r>
      <w:r>
        <w:t xml:space="preserve"> </w:t>
      </w:r>
      <w:r>
        <w:t xml:space="preserve">gives a concrete use case. In the 47,748 surveyed pairs alone there are 1,295</w:t>
      </w:r>
      <w:r>
        <w:t xml:space="preserve"> </w:t>
      </w:r>
      <w:r>
        <w:t xml:space="preserve">genome pairs that any ANI-only search would rank as near-identical</w:t>
      </w:r>
      <w:r>
        <w:t xml:space="preserve"> </w:t>
      </w:r>
      <w:r>
        <w:t xml:space="preserve">(ANIm ≥ 97%) yet that carry ≥2 alignment-defined inversions; extrapolated to</w:t>
      </w:r>
      <w:r>
        <w:t xml:space="preserve"> </w:t>
      </w:r>
      <w:r>
        <w:t xml:space="preserve">the full GTDB representative set, the absolute number is far larger. The</w:t>
      </w:r>
      <w:r>
        <w:t xml:space="preserve"> </w:t>
      </w:r>
      <w:r>
        <w:t xml:space="preserve">application-scale GTDB and HROM censuses extend this observation from curated</w:t>
      </w:r>
      <w:r>
        <w:t xml:space="preserve"> </w:t>
      </w:r>
      <w:r>
        <w:t xml:space="preserve">samples to 646,012,820 and 62,872,901 effective pairs, respectively. Fast</w:t>
      </w:r>
      <w:r>
        <w:t xml:space="preserve"> </w:t>
      </w:r>
      <w:r>
        <w:t xml:space="preserve">adjacency-based metrics make such pairs</w:t>
      </w:r>
      <w:r>
        <w:t xml:space="preserve"> </w:t>
      </w:r>
      <w:r>
        <w:t xml:space="preserve">discoverable at database scale and in real time during genome search, at which</w:t>
      </w:r>
      <w:r>
        <w:t xml:space="preserve"> </w:t>
      </w:r>
      <w:r>
        <w:t xml:space="preserve">point selected pairs can be committed to alignment-based validation. We expect</w:t>
      </w:r>
      <w:r>
        <w:t xml:space="preserve"> </w:t>
      </w:r>
      <w:r>
        <w:t xml:space="preserve">this screening role, rather than replacement of alignment-based callers, to</w:t>
      </w:r>
      <w:r>
        <w:t xml:space="preserve"> </w:t>
      </w:r>
      <w:r>
        <w:t xml:space="preserve">be the primary mode of use.</w:t>
      </w:r>
    </w:p>
    <w:p>
      <w:pPr>
        <w:pStyle w:val="BodyText"/>
      </w:pPr>
      <w:r>
        <w:rPr>
          <w:b/>
          <w:bCs/>
        </w:rPr>
        <w:t xml:space="preserve">Enzyme selection.</w:t>
      </w:r>
      <w:r>
        <w:t xml:space="preserve"> </w:t>
      </w:r>
      <w:r>
        <w:t xml:space="preserve">Tag density is the primary determinant of sensitivity.</w:t>
      </w:r>
      <w:r>
        <w:t xml:space="preserve"> </w:t>
      </w:r>
      <w:r>
        <w:t xml:space="preserve">In a controlled detection-size benchmark, the BcgI+AlfI+AloI+FalI panel</w:t>
      </w:r>
      <w:r>
        <w:t xml:space="preserve"> </w:t>
      </w:r>
      <w:r>
        <w:t xml:space="preserve">recovered both junctions of 4-kb inversions in 10/10 replicates, whereas BcgI</w:t>
      </w:r>
      <w:r>
        <w:t xml:space="preserve"> </w:t>
      </w:r>
      <w:r>
        <w:t xml:space="preserve">alone required 8 kb for comparable detection (Supplementary Figure 4). For very closely related</w:t>
      </w:r>
      <w:r>
        <w:t xml:space="preserve"> </w:t>
      </w:r>
      <w:r>
        <w:t xml:space="preserve">strains, even single Type IIB enzymes suffice because shared landmark counts are</w:t>
      </w:r>
      <w:r>
        <w:t xml:space="preserve"> </w:t>
      </w:r>
      <w:r>
        <w:t xml:space="preserve">high; for divergent pairs or small SV detection, dense panels are preferable.</w:t>
      </w:r>
    </w:p>
    <w:p>
      <w:pPr>
        <w:pStyle w:val="BodyText"/>
      </w:pPr>
      <w:r>
        <w:rPr>
          <w:b/>
          <w:bCs/>
        </w:rPr>
        <w:t xml:space="preserve">Limitations and future directions.</w:t>
      </w:r>
      <w:r>
        <w:t xml:space="preserve"> </w:t>
      </w:r>
      <w:r>
        <w:t xml:space="preserve">Syn2b’s orientation ratio does not report</w:t>
      </w:r>
      <w:r>
        <w:t xml:space="preserve"> </w:t>
      </w:r>
      <w:r>
        <w:t xml:space="preserve">the number of rearrangement events,</w:t>
      </w:r>
      <w:r>
        <w:t xml:space="preserve"> </w:t>
      </w:r>
      <w:r>
        <w:t xml:space="preserve">and per-pair biological interpretation of the inverted fraction requires</w:t>
      </w:r>
      <w:r>
        <w:t xml:space="preserve"> </w:t>
      </w:r>
      <w:r>
        <w:t xml:space="preserve">orientation-consistent assemblies, because arbitrary contig orientation in draft</w:t>
      </w:r>
      <w:r>
        <w:t xml:space="preserve"> </w:t>
      </w:r>
      <w:r>
        <w:t xml:space="preserve">assemblies drives fixed-reference fractions toward 0.5 even between identical</w:t>
      </w:r>
      <w:r>
        <w:t xml:space="preserve"> </w:t>
      </w:r>
      <w:r>
        <w:t xml:space="preserve">genomes; inversion counts are free of this convention but carry the</w:t>
      </w:r>
      <w:r>
        <w:t xml:space="preserve"> </w:t>
      </w:r>
      <w:r>
        <w:t xml:space="preserve">fragmentation dependence of all transition counts, and are best used on</w:t>
      </w:r>
      <w:r>
        <w:t xml:space="preserve"> </w:t>
      </w:r>
      <w:r>
        <w:t xml:space="preserve">low-contig or contig-corrected assemblies. Repeated sequences and</w:t>
      </w:r>
      <w:r>
        <w:t xml:space="preserve"> </w:t>
      </w:r>
      <w:r>
        <w:t xml:space="preserve">horizontal gene transfer can create spurious tag adjacencies; Syn2b currently</w:t>
      </w:r>
      <w:r>
        <w:t xml:space="preserve"> </w:t>
      </w:r>
      <w:r>
        <w:t xml:space="preserve">treats multi-copy tags as uninformative, which conservatively removes these</w:t>
      </w:r>
      <w:r>
        <w:t xml:space="preserve"> </w:t>
      </w:r>
      <w:r>
        <w:t xml:space="preserve">regions from ratio calculations but may reduce sensitivity in repeat-rich</w:t>
      </w:r>
      <w:r>
        <w:t xml:space="preserve"> </w:t>
      </w:r>
      <w:r>
        <w:t xml:space="preserve">genomes. Future work will extend Syn2b to metagenomic contig sets, add</w:t>
      </w:r>
      <w:r>
        <w:t xml:space="preserve"> </w:t>
      </w:r>
      <w:r>
        <w:t xml:space="preserve">repeat-aware filtering, and explore additional Type IIG enzymes for taxa with</w:t>
      </w:r>
      <w:r>
        <w:t xml:space="preserve"> </w:t>
      </w:r>
      <w:r>
        <w:t xml:space="preserve">different GC contents.</w:t>
      </w:r>
    </w:p>
    <w:p>
      <w:r>
        <w:pict>
          <v:rect style="width:0;height:1.5pt" o:hralign="center" o:hrstd="t" o:hr="t"/>
        </w:pict>
      </w:r>
    </w:p>
    <w:bookmarkEnd w:id="22"/>
    <w:bookmarkStart w:id="34" w:name="methods"/>
    <w:p>
      <w:pPr>
        <w:pStyle w:val="Heading2"/>
      </w:pPr>
      <w:r>
        <w:t xml:space="preserve">Methods</w:t>
      </w:r>
    </w:p>
    <w:bookmarkStart w:id="23" w:name="in-silico-genome-simulation"/>
    <w:p>
      <w:pPr>
        <w:pStyle w:val="Heading3"/>
      </w:pPr>
      <w:r>
        <w:t xml:space="preserve">In-silico genome simulation</w:t>
      </w:r>
    </w:p>
    <w:p>
      <w:pPr>
        <w:pStyle w:val="FirstParagraph"/>
      </w:pPr>
      <w:r>
        <w:t xml:space="preserve">Simulations used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K-12 MG1655 (NC_000913.3, 4,641,652 bp). Point</w:t>
      </w:r>
      <w:r>
        <w:t xml:space="preserve"> </w:t>
      </w:r>
      <w:r>
        <w:t xml:space="preserve">mutations, inversions, translocations, insertions, and deletions were</w:t>
      </w:r>
      <w:r>
        <w:t xml:space="preserve"> </w:t>
      </w:r>
      <w:r>
        <w:t xml:space="preserve">introduced with custom Python scripts (</w:t>
      </w:r>
      <w:r>
        <w:rPr>
          <w:rStyle w:val="VerbatimChar"/>
        </w:rPr>
        <w:t xml:space="preserve">scripts/generate_figure2_rust.py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scripts/generate_supplementary_figure3.py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scripts/measure_detection_size.py</w:t>
      </w:r>
      <w:r>
        <w:t xml:space="preserve">; seed = 42). All metrics reported for</w:t>
      </w:r>
      <w:r>
        <w:t xml:space="preserve"> </w:t>
      </w:r>
      <w:r>
        <w:t xml:space="preserve">simulated genomes are measured by running the Rust Syn2b binary; no value is</w:t>
      </w:r>
      <w:r>
        <w:t xml:space="preserve"> </w:t>
      </w:r>
      <w:r>
        <w:t xml:space="preserve">hardcoded.</w:t>
      </w:r>
    </w:p>
    <w:bookmarkEnd w:id="23"/>
    <w:bookmarkStart w:id="24" w:name="type-iib-enzyme-digestion"/>
    <w:p>
      <w:pPr>
        <w:pStyle w:val="Heading3"/>
      </w:pPr>
      <w:r>
        <w:t xml:space="preserve">Type IIB enzyme digestion</w:t>
      </w:r>
    </w:p>
    <w:p>
      <w:pPr>
        <w:pStyle w:val="FirstParagraph"/>
      </w:pPr>
      <w:r>
        <w:t xml:space="preserve">The production panel used for all GTDB-R207 validation is</w:t>
      </w:r>
      <w:r>
        <w:t xml:space="preserve"> </w:t>
      </w:r>
      <w:r>
        <w:rPr>
          <w:b/>
          <w:bCs/>
        </w:rPr>
        <w:t xml:space="preserve">BcgI+AlfI+AloI+FalI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BcgI</w:t>
      </w:r>
      <w:r>
        <w:t xml:space="preserve"> </w:t>
      </w:r>
      <w:r>
        <w:t xml:space="preserve">(32-bp tag): forward strand offset 10=CGA, offset 19=TGC; reverse</w:t>
      </w:r>
      <w:r>
        <w:t xml:space="preserve"> </w:t>
      </w:r>
      <w:r>
        <w:t xml:space="preserve">strand offset 10=GCA, offset 19=TCG.</w:t>
      </w:r>
    </w:p>
    <w:p>
      <w:pPr>
        <w:pStyle w:val="BodyText"/>
      </w:pPr>
      <w:r>
        <w:rPr>
          <w:b/>
          <w:bCs/>
        </w:rPr>
        <w:t xml:space="preserve">AlfI</w:t>
      </w:r>
      <w:r>
        <w:t xml:space="preserve"> </w:t>
      </w:r>
      <w:r>
        <w:t xml:space="preserve">(32-bp tag): offset 10=GCA, offset 19=TGC (palindromic).</w:t>
      </w:r>
    </w:p>
    <w:p>
      <w:pPr>
        <w:pStyle w:val="BodyText"/>
      </w:pPr>
      <w:r>
        <w:rPr>
          <w:b/>
          <w:bCs/>
        </w:rPr>
        <w:t xml:space="preserve">AloI</w:t>
      </w:r>
      <w:r>
        <w:t xml:space="preserve"> </w:t>
      </w:r>
      <w:r>
        <w:t xml:space="preserve">(27-bp tag): forward strand offset 7=GAAC, offset 17=TCC; reverse</w:t>
      </w:r>
      <w:r>
        <w:t xml:space="preserve"> </w:t>
      </w:r>
      <w:r>
        <w:t xml:space="preserve">strand offset 7=GGA, offset 16=GTTC.</w:t>
      </w:r>
    </w:p>
    <w:p>
      <w:pPr>
        <w:pStyle w:val="BodyText"/>
      </w:pPr>
      <w:r>
        <w:rPr>
          <w:b/>
          <w:bCs/>
        </w:rPr>
        <w:t xml:space="preserve">FalI</w:t>
      </w:r>
      <w:r>
        <w:t xml:space="preserve"> </w:t>
      </w:r>
      <w:r>
        <w:t xml:space="preserve">(27-bp tag): offset 8=AAG, offset 16=CTT (palindromic).</w:t>
      </w:r>
    </w:p>
    <w:bookmarkEnd w:id="24"/>
    <w:bookmarkStart w:id="25" w:name="syn2b-metrics"/>
    <w:p>
      <w:pPr>
        <w:pStyle w:val="Heading3"/>
      </w:pPr>
      <w:r>
        <w:t xml:space="preserve">Syn2b metrics</w:t>
      </w:r>
    </w:p>
    <w:p>
      <w:pPr>
        <w:pStyle w:val="FirstParagraph"/>
      </w:pPr>
      <w:r>
        <w:rPr>
          <w:b/>
          <w:bCs/>
        </w:rPr>
        <w:t xml:space="preserve">Mash proxy.</w:t>
      </w:r>
      <w:r>
        <w:t xml:space="preserve"> </w:t>
      </w:r>
      <w:r>
        <w:t xml:space="preserve">21-mer canonical k-mer Jaccard enumerated at every position,</w:t>
      </w:r>
      <w:r>
        <w:t xml:space="preserve"> </w:t>
      </w:r>
      <w:r>
        <w:t xml:space="preserve">converted to Mash distance¹⁸.</w:t>
      </w:r>
    </w:p>
    <w:p>
      <w:pPr>
        <w:pStyle w:val="BodyText"/>
      </w:pPr>
      <w:r>
        <w:rPr>
          <w:b/>
          <w:bCs/>
        </w:rPr>
        <w:t xml:space="preserve">Adjacency Jaccard.</w:t>
      </w:r>
      <w:r>
        <w:t xml:space="preserve"> </w:t>
      </w:r>
      <w:r>
        <w:t xml:space="preserve">Jaccard similarity of adjacent tag-pair sets.</w:t>
      </w:r>
    </w:p>
    <w:p>
      <w:pPr>
        <w:pStyle w:val="BodyText"/>
      </w:pPr>
      <w:r>
        <w:rPr>
          <w:b/>
          <w:bCs/>
        </w:rPr>
        <w:t xml:space="preserve">Breakpoint / junction count.</w:t>
      </w:r>
      <w:r>
        <w:t xml:space="preserve"> </w:t>
      </w:r>
      <w:r>
        <w:t xml:space="preserve">Adjacent tag pairs present in one genome but</w:t>
      </w:r>
      <w:r>
        <w:t xml:space="preserve"> </w:t>
      </w:r>
      <w:r>
        <w:t xml:space="preserve">not the other. This is a transition count and inherits a fragmentation-dependent</w:t>
      </w:r>
      <w:r>
        <w:t xml:space="preserve"> </w:t>
      </w:r>
      <w:r>
        <w:t xml:space="preserve">term (Supplementary Note 1); Syn2b avoids the dominant term by never forming</w:t>
      </w:r>
      <w:r>
        <w:t xml:space="preserve"> </w:t>
      </w:r>
      <w:r>
        <w:t xml:space="preserve">adjacencies across contig boundaries, so contig starts cannot register as</w:t>
      </w:r>
      <w:r>
        <w:t xml:space="preserve"> </w:t>
      </w:r>
      <w:r>
        <w:t xml:space="preserve">junctions.</w:t>
      </w:r>
    </w:p>
    <w:p>
      <w:pPr>
        <w:pStyle w:val="BodyText"/>
      </w:pPr>
      <w:r>
        <w:rPr>
          <w:b/>
          <w:bCs/>
        </w:rPr>
        <w:t xml:space="preserve">SCJ distance.</w:t>
      </w:r>
      <w:r>
        <w:t xml:space="preserve"> </w:t>
      </w:r>
      <w:r>
        <w:t xml:space="preserve">Single-cut-or-join distance between the two genomes’ tag</w:t>
      </w:r>
      <w:r>
        <w:t xml:space="preserve"> </w:t>
      </w:r>
      <w:r>
        <w:t xml:space="preserve">adjacency orders: the minimum number of adjacency cuts and joins that</w:t>
      </w:r>
      <w:r>
        <w:t xml:space="preserve"> </w:t>
      </w:r>
      <w:r>
        <w:t xml:space="preserve">transforms one tag order into the other.</w:t>
      </w:r>
    </w:p>
    <w:p>
      <w:pPr>
        <w:pStyle w:val="BodyText"/>
      </w:pPr>
      <w:r>
        <w:rPr>
          <w:b/>
          <w:bCs/>
        </w:rPr>
        <w:t xml:space="preserve">Inverted landmark fraction (length-weighted inverted fraction).</w:t>
      </w:r>
      <w:r>
        <w:t xml:space="preserve"> </w:t>
      </w:r>
      <w:r>
        <w:t xml:space="preserve">For</w:t>
      </w:r>
      <w:r>
        <w:t xml:space="preserve"> </w:t>
      </w:r>
      <w:r>
        <w:t xml:space="preserve">shared, orientation-informative tags, the fraction whose stored strand differs</w:t>
      </w:r>
      <w:r>
        <w:t xml:space="preserve"> </w:t>
      </w:r>
      <w:r>
        <w:t xml:space="preserve">from the reference, a landmark-count fraction, not a base-pair-weighted one.</w:t>
      </w:r>
      <w:r>
        <w:t xml:space="preserve"> </w:t>
      </w:r>
      <w:r>
        <w:t xml:space="preserve">Because Type IIB sites are approximately uniformly distributed, the landmark</w:t>
      </w:r>
      <w:r>
        <w:t xml:space="preserve"> </w:t>
      </w:r>
      <w:r>
        <w:t xml:space="preserve">fraction estimates the length-weighted inverted fraction; the residual</w:t>
      </w:r>
      <w:r>
        <w:t xml:space="preserve"> </w:t>
      </w:r>
      <w:r>
        <w:t xml:space="preserve">difference between the two is absorbed by the overdispersion coefficient of</w:t>
      </w:r>
      <w:r>
        <w:t xml:space="preserve"> </w:t>
      </w:r>
      <w:r>
        <w:t xml:space="preserve">the error model (Supplementary Note 2). Reported as majority-frame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inverted_fraction</w:t>
      </w:r>
      <w:r>
        <w:t xml:space="preserve">) and fixed-reference (</w:t>
      </w:r>
      <w:r>
        <w:rPr>
          <w:rStyle w:val="VerbatimChar"/>
        </w:rPr>
        <w:t xml:space="preserve">raw_inverted_fraction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Observable fraction.</w:t>
      </w:r>
      <w:r>
        <w:t xml:space="preserve"> </w:t>
      </w:r>
      <w:r>
        <w:t xml:space="preserve">The fraction of reference landmark adjacencies</w:t>
      </w:r>
      <w:r>
        <w:t xml:space="preserve"> </w:t>
      </w:r>
      <w:r>
        <w:t xml:space="preserve">observable in both genomes; adjacencies falling on fragment (contig)</w:t>
      </w:r>
      <w:r>
        <w:t xml:space="preserve"> </w:t>
      </w:r>
      <w:r>
        <w:t xml:space="preserve">boundaries are unobservable rather than absent (Supplementary Note 1).</w:t>
      </w:r>
    </w:p>
    <w:p>
      <w:pPr>
        <w:pStyle w:val="BodyText"/>
      </w:pPr>
      <w:r>
        <w:rPr>
          <w:b/>
          <w:bCs/>
        </w:rPr>
        <w:t xml:space="preserve">Synteny blocks; Kendall tau.</w:t>
      </w:r>
      <w:r>
        <w:t xml:space="preserve"> </w:t>
      </w:r>
      <w:r>
        <w:t xml:space="preserve">Contiguous runs of conserved tag adjacency,</w:t>
      </w:r>
      <w:r>
        <w:t xml:space="preserve"> </w:t>
      </w:r>
      <w:r>
        <w:t xml:space="preserve">and the rank correlation of shared-tag positions, respectively. Because any</w:t>
      </w:r>
      <w:r>
        <w:t xml:space="preserve"> </w:t>
      </w:r>
      <w:r>
        <w:t xml:space="preserve">chaining scheme starts a new block at every contig boundary, block counts are</w:t>
      </w:r>
      <w:r>
        <w:t xml:space="preserve"> </w:t>
      </w:r>
      <w:r>
        <w:t xml:space="preserve">dominated by assembly structure and are reported as assembly-quality rather</w:t>
      </w:r>
      <w:r>
        <w:t xml:space="preserve"> </w:t>
      </w:r>
      <w:r>
        <w:t xml:space="preserve">than rearrangement statistics.</w:t>
      </w:r>
    </w:p>
    <w:bookmarkEnd w:id="25"/>
    <w:bookmarkStart w:id="26" w:name="X39675246b3082499ca6b05f9581ce087bee8765"/>
    <w:p>
      <w:pPr>
        <w:pStyle w:val="Heading3"/>
      </w:pPr>
      <w:r>
        <w:t xml:space="preserve">GTDB-R207 effective within-species census</w:t>
      </w:r>
    </w:p>
    <w:p>
      <w:pPr>
        <w:pStyle w:val="FirstParagraph"/>
      </w:pPr>
      <w:r>
        <w:t xml:space="preserve">GTDB-R207 species clusters with multiple genomes were decomposed into 500-genome block pairs. Of 274,374 planned genomes, 261,737 genomes in 21,973 clusters produced non-empty digestion TGTs. Structural tasks covered 653,584,719 effective unique pairs; 646,012,820 pairs remained after mapping legacy contig identifiers to accessions, canonicalizing unordered genome pairs, and global external-sort deduplication. Per-cluster row counts and SV-positive fractions were computed streamingly. One cluster (</w:t>
      </w:r>
      <w:r>
        <w:rPr>
          <w:i/>
          <w:iCs/>
        </w:rPr>
        <w:t xml:space="preserve">E. coli</w:t>
      </w:r>
      <w:r>
        <w:t xml:space="preserve">) had a 7.57M-pair shortfall relative to its effective expectation and was retained as an unresolved QC exception. The effective summary is stored in</w:t>
      </w:r>
      <w:r>
        <w:t xml:space="preserve"> </w:t>
      </w:r>
      <w:r>
        <w:rPr>
          <w:rStyle w:val="VerbatimChar"/>
        </w:rPr>
        <w:t xml:space="preserve">results/census/gtdb/effective/</w:t>
      </w:r>
      <w:r>
        <w:t xml:space="preserve">.</w:t>
      </w:r>
    </w:p>
    <w:bookmarkEnd w:id="26"/>
    <w:bookmarkStart w:id="27" w:name="hrom-within-species-census"/>
    <w:p>
      <w:pPr>
        <w:pStyle w:val="Heading3"/>
      </w:pPr>
      <w:r>
        <w:t xml:space="preserve">HROM within-species census</w:t>
      </w:r>
    </w:p>
    <w:p>
      <w:pPr>
        <w:pStyle w:val="FirstParagraph"/>
      </w:pPr>
      <w:r>
        <w:t xml:space="preserve">HROM conspecific genomes were obtained from the Human Reference Oral Microbiome</w:t>
      </w:r>
      <w:r>
        <w:t xml:space="preserve"> </w:t>
      </w:r>
      <w:r>
        <w:t xml:space="preserve">database. All 142,277 genomes in 2,241 multi-genome clusters were retained and</w:t>
      </w:r>
      <w:r>
        <w:t xml:space="preserve"> </w:t>
      </w:r>
      <w:r>
        <w:t xml:space="preserve">compared with the BcgI+AlfI+AloI+FalI production panel. TGTs</w:t>
      </w:r>
      <w:r>
        <w:t xml:space="preserve"> </w:t>
      </w:r>
      <w:r>
        <w:t xml:space="preserve">were keyed by filename genome accession because HROM FASTA headers are contig</w:t>
      </w:r>
      <w:r>
        <w:t xml:space="preserve"> </w:t>
      </w:r>
      <w:r>
        <w:t xml:space="preserve">identifiers. Species clusters were decomposed into 250-genome block pairs, and</w:t>
      </w:r>
      <w:r>
        <w:t xml:space="preserve"> </w:t>
      </w:r>
      <w:r>
        <w:t xml:space="preserve">all 62,872,901 unordered pairs were evaluated with Syn2b and skani 0.3.2. The</w:t>
      </w:r>
      <w:r>
        <w:t xml:space="preserve"> </w:t>
      </w:r>
      <w:r>
        <w:t xml:space="preserve">merge step canonicalized unordered genome pairs and suppressed 10,644,750</w:t>
      </w:r>
      <w:r>
        <w:t xml:space="preserve"> </w:t>
      </w:r>
      <w:r>
        <w:t xml:space="preserve">within-block duplicates introduced by the first block-pair implementation. The</w:t>
      </w:r>
      <w:r>
        <w:t xml:space="preserve"> </w:t>
      </w:r>
      <w:r>
        <w:t xml:space="preserve">final table contained exactly the expected cluster-level sum of C(n,2) rows, and</w:t>
      </w:r>
      <w:r>
        <w:t xml:space="preserve"> </w:t>
      </w:r>
      <w:r>
        <w:t xml:space="preserve">every structural row received a skani ANI value. Per-cluster summaries, ANI-bin</w:t>
      </w:r>
      <w:r>
        <w:t xml:space="preserve"> </w:t>
      </w:r>
      <w:r>
        <w:t xml:space="preserve">summaries, and QC reports are stored in</w:t>
      </w:r>
      <w:r>
        <w:t xml:space="preserve"> </w:t>
      </w:r>
      <w:r>
        <w:rPr>
          <w:rStyle w:val="VerbatimChar"/>
        </w:rPr>
        <w:t xml:space="preserve">results/census/hrom/</w:t>
      </w:r>
      <w:r>
        <w:t xml:space="preserve">.</w:t>
      </w:r>
    </w:p>
    <w:bookmarkEnd w:id="27"/>
    <w:bookmarkStart w:id="28" w:name="gtdb-r207-validation"/>
    <w:p>
      <w:pPr>
        <w:pStyle w:val="Heading3"/>
      </w:pPr>
      <w:r>
        <w:t xml:space="preserve">GTDB-R207 validation</w:t>
      </w:r>
    </w:p>
    <w:p>
      <w:pPr>
        <w:pStyle w:val="FirstParagraph"/>
      </w:pPr>
      <w:r>
        <w:t xml:space="preserve">Pairs were drawn from the GTDB-R207 representative genome set. A total of</w:t>
      </w:r>
      <w:r>
        <w:t xml:space="preserve"> </w:t>
      </w:r>
      <w:r>
        <w:t xml:space="preserve">43,334 pairs were designated as a held-out validation set independent of the</w:t>
      </w:r>
      <w:r>
        <w:t xml:space="preserve"> </w:t>
      </w:r>
      <w:r>
        <w:t xml:space="preserve">training data used for the companion Syn2bANI tool; 43,312 of these pairs had</w:t>
      </w:r>
      <w:r>
        <w:t xml:space="preserve"> </w:t>
      </w:r>
      <w:r>
        <w:t xml:space="preserve">complete Syn2b and dnadiff structural metrics and were used for the broad-band</w:t>
      </w:r>
      <w:r>
        <w:t xml:space="preserve"> </w:t>
      </w:r>
      <w:r>
        <w:t xml:space="preserve">correlation analyses (per-pair metrics in Supplementary Table 1). To cover the</w:t>
      </w:r>
      <w:r>
        <w:t xml:space="preserve"> </w:t>
      </w:r>
      <w:r>
        <w:t xml:space="preserve">strain-level regime, additional candidate pairs were sampled from GTDB-R207</w:t>
      </w:r>
      <w:r>
        <w:t xml:space="preserve"> </w:t>
      </w:r>
      <w:r>
        <w:t xml:space="preserve">genomes enriched for close relatives (candidate strata of the companion</w:t>
      </w:r>
      <w:r>
        <w:t xml:space="preserve"> </w:t>
      </w:r>
      <w:r>
        <w:t xml:space="preserve">Syn2bANI benchmark, initially ranked by predicted ANI) and retained only if</w:t>
      </w:r>
      <w:r>
        <w:t xml:space="preserve"> </w:t>
      </w:r>
      <w:r>
        <w:t xml:space="preserve">their alignment-based ANIm was ≥ 95%. This ANIm-verified sample contributed</w:t>
      </w:r>
      <w:r>
        <w:t xml:space="preserve"> </w:t>
      </w:r>
      <w:r>
        <w:t xml:space="preserve">4,436 pairs; 3,826 unique pairs remained after deduplication for the correlation analyses at ≥ 97% ANIm. The non-redundant discordance survey retained 3,828 pairs at ≥ 97% ANIm because two of the additional deduplicated pairs had usable inversion-event records but were not represented in the correlation table. Candidates that failed ANIm verification were excluded from all headline results. For each pair, ANIm</w:t>
      </w:r>
      <w:r>
        <w:t xml:space="preserve"> </w:t>
      </w:r>
      <w:r>
        <w:t xml:space="preserve">was computed with minimap2²² (</w:t>
      </w:r>
      <w:r>
        <w:rPr>
          <w:rStyle w:val="VerbatimChar"/>
        </w:rPr>
        <w:t xml:space="preserve">-cx asm20</w:t>
      </w:r>
      <w:r>
        <w:t xml:space="preserve">) and dnadiff (MUMmer 4.0²³) was run</w:t>
      </w:r>
      <w:r>
        <w:t xml:space="preserve"> </w:t>
      </w:r>
      <w:r>
        <w:t xml:space="preserve">with default</w:t>
      </w:r>
      <w:r>
        <w:t xml:space="preserve"> </w:t>
      </w:r>
      <w:r>
        <w:t xml:space="preserve">parameters; the</w:t>
      </w:r>
      <w:r>
        <w:t xml:space="preserve"> </w:t>
      </w:r>
      <w:r>
        <w:rPr>
          <w:rStyle w:val="VerbatimChar"/>
        </w:rPr>
        <w:t xml:space="preserve">.1coords</w:t>
      </w:r>
      <w:r>
        <w:t xml:space="preserve"> </w:t>
      </w:r>
      <w:r>
        <w:t xml:space="preserve">output was used to derive the inverted aligned</w:t>
      </w:r>
      <w:r>
        <w:t xml:space="preserve"> </w:t>
      </w:r>
      <w:r>
        <w:t xml:space="preserve">fraction, and the</w:t>
      </w:r>
      <w:r>
        <w:t xml:space="preserve"> </w:t>
      </w:r>
      <w:r>
        <w:rPr>
          <w:rStyle w:val="VerbatimChar"/>
        </w:rPr>
        <w:t xml:space="preserve">.report</w:t>
      </w:r>
      <w:r>
        <w:t xml:space="preserve"> </w:t>
      </w:r>
      <w:r>
        <w:t xml:space="preserve">output was used for breakpoint and structural-event</w:t>
      </w:r>
      <w:r>
        <w:t xml:space="preserve"> </w:t>
      </w:r>
      <w:r>
        <w:t xml:space="preserve">counts. Syn2b was run with the BcgI+AlfI+AloI+FalI multi-enzyme panel,</w:t>
      </w:r>
      <w:r>
        <w:t xml:space="preserve"> </w:t>
      </w:r>
      <w:r>
        <w:t xml:space="preserve">reporting both majority-frame and fixed-reference inverted fractions. Pearson</w:t>
      </w:r>
      <w:r>
        <w:t xml:space="preserve"> </w:t>
      </w:r>
      <w:r>
        <w:t xml:space="preserve">and Spearman correlations, linear regressions, and partial correlations</w:t>
      </w:r>
      <w:r>
        <w:t xml:space="preserve"> </w:t>
      </w:r>
      <w:r>
        <w:t xml:space="preserve">(controlling for contig count) were computed in Python with scipy and</w:t>
      </w:r>
      <w:r>
        <w:t xml:space="preserve"> </w:t>
      </w:r>
      <w:r>
        <w:t xml:space="preserve">statsmodels. Confidence intervals for Pearson correlations were obtained by</w:t>
      </w:r>
      <w:r>
        <w:t xml:space="preserve"> </w:t>
      </w:r>
      <w:r>
        <w:t xml:space="preserve">Fisher z-transformation.</w:t>
      </w:r>
    </w:p>
    <w:bookmarkEnd w:id="28"/>
    <w:bookmarkStart w:id="29" w:name="skani-ani-for-cohort-analysis"/>
    <w:p>
      <w:pPr>
        <w:pStyle w:val="Heading3"/>
      </w:pPr>
      <w:r>
        <w:t xml:space="preserve">skani ANI for cohort analysis</w:t>
      </w:r>
    </w:p>
    <w:p>
      <w:pPr>
        <w:pStyle w:val="FirstParagraph"/>
      </w:pPr>
      <w:r>
        <w:t xml:space="preserve">skani²¹ v0.1.0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was run with default parameters on the four SynTracker</w:t>
      </w:r>
      <w:r>
        <w:t xml:space="preserve"> </w:t>
      </w:r>
      <w:r>
        <w:t xml:space="preserve">cohort assembly sets to obtain the ANI values used in Figure 4. The full set</w:t>
      </w:r>
      <w:r>
        <w:t xml:space="preserve"> </w:t>
      </w:r>
      <w:r>
        <w:t xml:space="preserve">was re-run with skani v0.3.2 (unique-pair triangles,</w:t>
      </w:r>
      <w:r>
        <w:t xml:space="preserve"> </w:t>
      </w:r>
      <w:r>
        <w:rPr>
          <w:rStyle w:val="VerbatimChar"/>
        </w:rPr>
        <w:t xml:space="preserve">results/syntracker_validation/rerun_v032/</w:t>
      </w:r>
      <w:r>
        <w:t xml:space="preserve">): every value quoted in the text</w:t>
      </w:r>
      <w:r>
        <w:t xml:space="preserve"> </w:t>
      </w:r>
      <w:r>
        <w:t xml:space="preserve">reproduces exactly in the ≥94.6% ANI regime these cohorts occupy.</w:t>
      </w:r>
    </w:p>
    <w:bookmarkEnd w:id="29"/>
    <w:bookmarkStart w:id="30" w:name="X6a6b7d43cb1ec6d1ead97acaebef98c7d7d0912"/>
    <w:p>
      <w:pPr>
        <w:pStyle w:val="Heading3"/>
      </w:pPr>
      <w:r>
        <w:t xml:space="preserve">Known-biology complete-genome collections</w:t>
      </w:r>
    </w:p>
    <w:p>
      <w:pPr>
        <w:pStyle w:val="FirstParagraph"/>
      </w:pPr>
      <w:r>
        <w:t xml:space="preserve">Complete-genome (assembly-level) sets for</w:t>
      </w:r>
      <w:r>
        <w:t xml:space="preserve"> </w:t>
      </w:r>
      <w:r>
        <w:rPr>
          <w:i/>
          <w:iCs/>
        </w:rPr>
        <w:t xml:space="preserve">S. flexneri</w:t>
      </w:r>
      <w:r>
        <w:t xml:space="preserve"> </w:t>
      </w:r>
      <w:r>
        <w:t xml:space="preserve">(n = 25),</w:t>
      </w:r>
      <w:r>
        <w:t xml:space="preserve"> </w:t>
      </w:r>
      <w:r>
        <w:rPr>
          <w:i/>
          <w:iCs/>
        </w:rPr>
        <w:t xml:space="preserve">S. sonnei</w:t>
      </w:r>
      <w:r>
        <w:t xml:space="preserve"> </w:t>
      </w:r>
      <w:r>
        <w:t xml:space="preserve">(n = 15),</w:t>
      </w:r>
      <w:r>
        <w:t xml:space="preserve"> </w:t>
      </w:r>
      <w:r>
        <w:rPr>
          <w:i/>
          <w:iCs/>
        </w:rPr>
        <w:t xml:space="preserve">S.</w:t>
      </w:r>
      <w:r>
        <w:t xml:space="preserve"> </w:t>
      </w:r>
      <w:r>
        <w:t xml:space="preserve">Typhimurium (n = 20),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(n = 20) and</w:t>
      </w:r>
      <w:r>
        <w:t xml:space="preserve"> </w:t>
      </w:r>
      <w:r>
        <w:rPr>
          <w:i/>
          <w:iCs/>
        </w:rPr>
        <w:t xml:space="preserve">M. tuberculosis</w:t>
      </w:r>
      <w:r>
        <w:t xml:space="preserve"> </w:t>
      </w:r>
      <w:r>
        <w:t xml:space="preserve">(n = 20) were retrieved from NCBI Assembly with a complete-genome 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scripts/fetch_vignette_genomes.py</w:t>
      </w:r>
      <w:r>
        <w:t xml:space="preserve">, September 2026). Assemblies sharing an</w:t>
      </w:r>
      <w:r>
        <w:t xml:space="preserve"> </w:t>
      </w:r>
      <w:r>
        <w:t xml:space="preserve">identical chromosome sequence identifier with another member of the set are</w:t>
      </w:r>
      <w:r>
        <w:t xml:space="preserve"> </w:t>
      </w:r>
      <w:r>
        <w:t xml:space="preserve">retained once. All within-collection pairs were compared with Syn2b</w:t>
      </w:r>
      <w:r>
        <w:t xml:space="preserve"> </w:t>
      </w:r>
      <w:r>
        <w:t xml:space="preserve">(BcgI+AlfI+AloI+FalI) and skani v0.1.0</w:t>
      </w:r>
      <w:r>
        <w:t xml:space="preserve"> </w:t>
      </w:r>
      <w:r>
        <w:rPr>
          <w:rStyle w:val="VerbatimChar"/>
        </w:rPr>
        <w:t xml:space="preserve">triangle</w:t>
      </w:r>
      <w:r>
        <w:t xml:space="preserve"> </w:t>
      </w:r>
      <w:r>
        <w:t xml:space="preserve">for ANI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scripts/analyze_known_biology.py</w:t>
      </w:r>
      <w:r>
        <w:t xml:space="preserve">; per-pair data in</w:t>
      </w:r>
      <w:r>
        <w:t xml:space="preserve"> </w:t>
      </w:r>
      <w:r>
        <w:rPr>
          <w:rStyle w:val="VerbatimChar"/>
        </w:rPr>
        <w:t xml:space="preserve">results/known_biology/vignette_pairs.tsv</w:t>
      </w:r>
      <w:r>
        <w:t xml:space="preserve">). The minimap2 reference timing</w:t>
      </w:r>
      <w:r>
        <w:t xml:space="preserve"> </w:t>
      </w:r>
      <w:r>
        <w:t xml:space="preserve">(</w:t>
      </w:r>
      <w:r>
        <w:rPr>
          <w:rStyle w:val="VerbatimChar"/>
        </w:rPr>
        <w:t xml:space="preserve">-cx asm5</w:t>
      </w:r>
      <w:r>
        <w:t xml:space="preserve">, one thread, MG1655 vs Sakai O157:H7) is archived in</w:t>
      </w:r>
      <w:r>
        <w:t xml:space="preserve"> </w:t>
      </w:r>
      <w:r>
        <w:rPr>
          <w:rStyle w:val="VerbatimChar"/>
        </w:rPr>
        <w:t xml:space="preserve">results/efficiency_v8/minimap2_timing.tsv</w:t>
      </w:r>
      <w:r>
        <w:t xml:space="preserve">.</w:t>
      </w:r>
    </w:p>
    <w:bookmarkEnd w:id="30"/>
    <w:bookmarkStart w:id="31" w:name="X8a39519311735125bd69615251976c20069db80"/>
    <w:p>
      <w:pPr>
        <w:pStyle w:val="Heading3"/>
      </w:pPr>
      <w:r>
        <w:t xml:space="preserve">Genome-wide ANI–rearrangement discordance analysis</w:t>
      </w:r>
    </w:p>
    <w:p>
      <w:pPr>
        <w:pStyle w:val="FirstParagraph"/>
      </w:pPr>
      <w:r>
        <w:t xml:space="preserve">The held-out set and the ANIm-verified high-ANI sample were merged on</w:t>
      </w:r>
      <w:r>
        <w:t xml:space="preserve"> </w:t>
      </w:r>
      <w:r>
        <w:rPr>
          <w:rStyle w:val="VerbatimChar"/>
        </w:rPr>
        <w:t xml:space="preserve">pairid</w:t>
      </w:r>
      <w:r>
        <w:t xml:space="preserve"> </w:t>
      </w:r>
      <w:r>
        <w:t xml:space="preserve">(no overlap between the two sets). Per-pair ANIm, dnadiff inversion</w:t>
      </w:r>
      <w:r>
        <w:t xml:space="preserve"> </w:t>
      </w:r>
      <w:r>
        <w:t xml:space="preserve">counts (</w:t>
      </w:r>
      <w:r>
        <w:rPr>
          <w:rStyle w:val="VerbatimChar"/>
        </w:rPr>
        <w:t xml:space="preserve">max</w:t>
      </w:r>
      <w:r>
        <w:t xml:space="preserve"> </w:t>
      </w:r>
      <w:r>
        <w:t xml:space="preserve">of the reference-side and query-side</w:t>
      </w:r>
      <w:r>
        <w:t xml:space="preserve"> </w:t>
      </w:r>
      <w:r>
        <w:rPr>
          <w:rStyle w:val="VerbatimChar"/>
        </w:rPr>
        <w:t xml:space="preserve">dd_inversions</w:t>
      </w:r>
      <w:r>
        <w:t xml:space="preserve"> </w:t>
      </w:r>
      <w:r>
        <w:t xml:space="preserve">columns of</w:t>
      </w:r>
      <w:r>
        <w:t xml:space="preserve"> </w:t>
      </w:r>
      <w:r>
        <w:t xml:space="preserve">the dnadiff</w:t>
      </w:r>
      <w:r>
        <w:t xml:space="preserve"> </w:t>
      </w:r>
      <w:r>
        <w:rPr>
          <w:rStyle w:val="VerbatimChar"/>
        </w:rPr>
        <w:t xml:space="preserve">.report</w:t>
      </w:r>
      <w:r>
        <w:t xml:space="preserve"> </w:t>
      </w:r>
      <w:r>
        <w:t xml:space="preserve">output), dnadiff breakpoint counts, Syn2b junction</w:t>
      </w:r>
      <w:r>
        <w:t xml:space="preserve"> </w:t>
      </w:r>
      <w:r>
        <w:t xml:space="preserve">counts, and per-genome contig numbers (from GTDB-R207 metadata) were combined</w:t>
      </w:r>
      <w:r>
        <w:t xml:space="preserve"> </w:t>
      </w:r>
      <w:r>
        <w:t xml:space="preserve">with the analysis script</w:t>
      </w:r>
      <w:r>
        <w:t xml:space="preserve"> </w:t>
      </w:r>
      <w:r>
        <w:rPr>
          <w:rStyle w:val="VerbatimChar"/>
        </w:rPr>
        <w:t xml:space="preserve">scripts/analyze_ani_synteny_discordance.py</w:t>
      </w:r>
      <w:r>
        <w:t xml:space="preserve">, which</w:t>
      </w:r>
      <w:r>
        <w:t xml:space="preserve"> </w:t>
      </w:r>
      <w:r>
        <w:t xml:space="preserve">also produces Figure 5 and all discordance summary statistics. A pair was</w:t>
      </w:r>
      <w:r>
        <w:t xml:space="preserve"> </w:t>
      </w:r>
      <w:r>
        <w:t xml:space="preserve">called discordant if ANIm ≥ 97% and it carried ≥2 dnadiff inversion events.</w:t>
      </w:r>
      <w:r>
        <w:t xml:space="preserve"> </w:t>
      </w:r>
      <w:r>
        <w:t xml:space="preserve">Phylum-level enrichment was computed against the concordant (ANIm ≥ 97%,</w:t>
      </w:r>
      <w:r>
        <w:t xml:space="preserve"> </w:t>
      </w:r>
      <w:r>
        <w:t xml:space="preserve">&lt;2 inversions) background. Syn2b flagging performance was quantified as the</w:t>
      </w:r>
      <w:r>
        <w:t xml:space="preserve"> </w:t>
      </w:r>
      <w:r>
        <w:t xml:space="preserve">ROC AUC of the Syn2b junction count for discriminating discordant from</w:t>
      </w:r>
      <w:r>
        <w:t xml:space="preserve"> </w:t>
      </w:r>
      <w:r>
        <w:t xml:space="preserve">concordant pairs; junction density (count divided by shared landmarks) was</w:t>
      </w:r>
      <w:r>
        <w:t xml:space="preserve"> </w:t>
      </w:r>
      <w:r>
        <w:t xml:space="preserve">evaluated as an alternative feature. Prevalence percentages are reported with</w:t>
      </w:r>
      <w:r>
        <w:t xml:space="preserve"> </w:t>
      </w:r>
      <w:r>
        <w:t xml:space="preserve">95% bootstrap confidence intervals (10,000 resamples over pairs).</w:t>
      </w:r>
      <w:r>
        <w:t xml:space="preserve"> </w:t>
      </w:r>
      <w:r>
        <w:t xml:space="preserve">Fragmentation dependence of breakpoint-style counts was</w:t>
      </w:r>
      <w:r>
        <w:t xml:space="preserve"> </w:t>
      </w:r>
      <w:r>
        <w:t xml:space="preserve">assessed by Spearman correlation with the per-pair maximum contig count and by</w:t>
      </w:r>
      <w:r>
        <w:t xml:space="preserve"> </w:t>
      </w:r>
      <w:r>
        <w:t xml:space="preserve">partial correlation controlling for ANIm; the contig-count distributions of</w:t>
      </w:r>
      <w:r>
        <w:t xml:space="preserve"> </w:t>
      </w:r>
      <w:r>
        <w:t xml:space="preserve">discordant versus concordant pairs were compared with a Mann–Whitney U test.</w:t>
      </w:r>
    </w:p>
    <w:bookmarkEnd w:id="31"/>
    <w:bookmarkStart w:id="32" w:name="software-availability"/>
    <w:p>
      <w:pPr>
        <w:pStyle w:val="Heading3"/>
      </w:pPr>
      <w:r>
        <w:t xml:space="preserve">Software availability</w:t>
      </w:r>
    </w:p>
    <w:p>
      <w:pPr>
        <w:pStyle w:val="FirstParagraph"/>
      </w:pPr>
      <w:r>
        <w:t xml:space="preserve">Syn2b: https://github.com/HuangShiLab/Syn2b</w:t>
      </w:r>
      <w:r>
        <w:t xml:space="preserve"> </w:t>
      </w:r>
      <w:r>
        <w:t xml:space="preserve">Analysis scripts and data: https://github.com/HuangShiLab/Syn2b-paper</w:t>
      </w:r>
      <w:r>
        <w:t xml:space="preserve"> </w:t>
      </w:r>
      <w:r>
        <w:t xml:space="preserve">Companion ANI tool and paper: https://github.com/HuangShiLab/Syn2bANI-paper</w:t>
      </w:r>
    </w:p>
    <w:bookmarkEnd w:id="32"/>
    <w:bookmarkStart w:id="33" w:name="data-availability"/>
    <w:p>
      <w:pPr>
        <w:pStyle w:val="Heading3"/>
      </w:pPr>
      <w:r>
        <w:t xml:space="preserve">Data availability</w:t>
      </w:r>
    </w:p>
    <w:p>
      <w:pPr>
        <w:pStyle w:val="FirstParagraph"/>
      </w:pPr>
      <w:r>
        <w:t xml:space="preserve">All analysis scripts, summary data, and figure source files are available in the</w:t>
      </w:r>
      <w:r>
        <w:t xml:space="preserve"> </w:t>
      </w:r>
      <w:r>
        <w:t xml:space="preserve">Syn2b-paper repository (https://github.com/HuangShiLab/Syn2b-paper). Raw GTDB-R207</w:t>
      </w:r>
      <w:r>
        <w:t xml:space="preserve"> </w:t>
      </w:r>
      <w:r>
        <w:t xml:space="preserve">genomes were downloaded from the GTDB release R207 (ref. 20). The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K-12</w:t>
      </w:r>
      <w:r>
        <w:t xml:space="preserve"> </w:t>
      </w:r>
      <w:r>
        <w:t xml:space="preserve">MG1655 reference genome (NC_000913.3) and the</w:t>
      </w:r>
      <w:r>
        <w:t xml:space="preserve"> </w:t>
      </w:r>
      <w:r>
        <w:rPr>
          <w:i/>
          <w:iCs/>
        </w:rPr>
        <w:t xml:space="preserve">H. pylori</w:t>
      </w:r>
      <w:r>
        <w:t xml:space="preserve"> </w:t>
      </w:r>
      <w:r>
        <w:t xml:space="preserve">26695 reference genome</w:t>
      </w:r>
      <w:r>
        <w:t xml:space="preserve"> </w:t>
      </w:r>
      <w:r>
        <w:t xml:space="preserve">(NC_000915.1) were obtained from NCBI RefSeq. The four SynTracker cohort isolate</w:t>
      </w:r>
      <w:r>
        <w:t xml:space="preserve"> </w:t>
      </w:r>
      <w:r>
        <w:t xml:space="preserve">sets and their participant metadata are included in the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data/syntracker_validation/</w:t>
      </w:r>
      <w:r>
        <w:t xml:space="preserve">). Simulated isolate parameters are</w:t>
      </w:r>
      <w:r>
        <w:t xml:space="preserve"> </w:t>
      </w:r>
      <w:r>
        <w:t xml:space="preserve">described in Supplementary Table 3. The HROM resource was obtained from</w:t>
      </w:r>
      <w:r>
        <w:t xml:space="preserve"> </w:t>
      </w:r>
      <w:r>
        <w:t xml:space="preserve">https://www.decodebiome.org/HROM/. Repository summaries and QC tables for the</w:t>
      </w:r>
      <w:r>
        <w:t xml:space="preserve"> </w:t>
      </w:r>
      <w:r>
        <w:t xml:space="preserve">GTDB and HROM censuses are included in</w:t>
      </w:r>
      <w:r>
        <w:t xml:space="preserve"> </w:t>
      </w:r>
      <w:r>
        <w:rPr>
          <w:rStyle w:val="VerbatimChar"/>
        </w:rPr>
        <w:t xml:space="preserve">results/census/</w:t>
      </w:r>
      <w:r>
        <w:t xml:space="preserve">; the corresponding</w:t>
      </w:r>
      <w:r>
        <w:t xml:space="preserve"> </w:t>
      </w:r>
      <w:r>
        <w:t xml:space="preserve">compressed full pair tables are prepared for deposit in a permanent archive</w:t>
      </w:r>
      <w:r>
        <w:t xml:space="preserve"> </w:t>
      </w:r>
      <w:r>
        <w:t xml:space="preserve">(Zenodo or figshare) rather than repository hosting.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Zhao, S., et al. Adaptive evolution within the gut microbiome of individual</w:t>
      </w:r>
      <w:r>
        <w:t xml:space="preserve"> </w:t>
      </w:r>
      <w:r>
        <w:t xml:space="preserve">people.</w:t>
      </w:r>
      <w:r>
        <w:t xml:space="preserve"> </w:t>
      </w:r>
      <w:r>
        <w:rPr>
          <w:i/>
          <w:iCs/>
        </w:rPr>
        <w:t xml:space="preserve">Cell Host Microbe</w:t>
      </w:r>
      <w:r>
        <w:t xml:space="preserve"> </w:t>
      </w:r>
      <w:r>
        <w:rPr>
          <w:b/>
          <w:bCs/>
        </w:rPr>
        <w:t xml:space="preserve">31</w:t>
      </w:r>
      <w:r>
        <w:t xml:space="preserve">, 1594–1607 (2023).</w:t>
      </w:r>
    </w:p>
    <w:p>
      <w:pPr>
        <w:pStyle w:val="Compact"/>
        <w:numPr>
          <w:ilvl w:val="0"/>
          <w:numId w:val="1003"/>
        </w:numPr>
      </w:pPr>
      <w:r>
        <w:t xml:space="preserve">Suerbaum, S., et al. Free recombination within</w:t>
      </w:r>
      <w:r>
        <w:t xml:space="preserve"> </w:t>
      </w:r>
      <w:r>
        <w:rPr>
          <w:i/>
          <w:iCs/>
        </w:rPr>
        <w:t xml:space="preserve">Helicobacter pylori</w:t>
      </w:r>
      <w:r>
        <w:t xml:space="preserve">.</w:t>
      </w:r>
      <w:r>
        <w:t xml:space="preserve"> </w:t>
      </w:r>
      <w:r>
        <w:rPr>
          <w:i/>
          <w:iCs/>
        </w:rPr>
        <w:t xml:space="preserve">Proc. Natl. Acad. Sci. USA</w:t>
      </w:r>
      <w:r>
        <w:t xml:space="preserve"> </w:t>
      </w:r>
      <w:r>
        <w:rPr>
          <w:b/>
          <w:bCs/>
        </w:rPr>
        <w:t xml:space="preserve">95</w:t>
      </w:r>
      <w:r>
        <w:t xml:space="preserve">, 12619–12624 (1998).</w:t>
      </w:r>
    </w:p>
    <w:p>
      <w:pPr>
        <w:pStyle w:val="Compact"/>
        <w:numPr>
          <w:ilvl w:val="0"/>
          <w:numId w:val="1003"/>
        </w:numPr>
      </w:pPr>
      <w:r>
        <w:t xml:space="preserve">Raffaele, S. &amp; Kamoun, S. Genome evolution in filamentous plant pathogens:</w:t>
      </w:r>
      <w:r>
        <w:t xml:space="preserve"> </w:t>
      </w:r>
      <w:r>
        <w:t xml:space="preserve">why bigger can be worse.</w:t>
      </w:r>
      <w:r>
        <w:t xml:space="preserve"> </w:t>
      </w:r>
      <w:r>
        <w:rPr>
          <w:i/>
          <w:iCs/>
        </w:rPr>
        <w:t xml:space="preserve">Annu. Rev. Microbiol.</w:t>
      </w:r>
      <w:r>
        <w:t xml:space="preserve"> </w:t>
      </w:r>
      <w:r>
        <w:rPr>
          <w:b/>
          <w:bCs/>
        </w:rPr>
        <w:t xml:space="preserve">66</w:t>
      </w:r>
      <w:r>
        <w:t xml:space="preserve">, 417–430 (2012).</w:t>
      </w:r>
    </w:p>
    <w:p>
      <w:pPr>
        <w:pStyle w:val="Compact"/>
        <w:numPr>
          <w:ilvl w:val="0"/>
          <w:numId w:val="1003"/>
        </w:numPr>
      </w:pPr>
      <w:r>
        <w:t xml:space="preserve">Olm, M. R., et al. inStrain profiles population microdynamics from</w:t>
      </w:r>
      <w:r>
        <w:t xml:space="preserve"> </w:t>
      </w:r>
      <w:r>
        <w:t xml:space="preserve">metagenomic data and sensitively identifies shared microbial strains.</w:t>
      </w:r>
      <w:r>
        <w:t xml:space="preserve"> </w:t>
      </w:r>
      <w:r>
        <w:rPr>
          <w:i/>
          <w:iCs/>
        </w:rPr>
        <w:t xml:space="preserve">Nat.</w:t>
      </w:r>
      <w:r>
        <w:rPr>
          <w:i/>
          <w:iCs/>
        </w:rPr>
        <w:t xml:space="preserve"> </w:t>
      </w:r>
      <w:r>
        <w:rPr>
          <w:i/>
          <w:iCs/>
        </w:rPr>
        <w:t xml:space="preserve">Biotechnol.</w:t>
      </w:r>
      <w:r>
        <w:t xml:space="preserve"> </w:t>
      </w:r>
      <w:r>
        <w:rPr>
          <w:b/>
          <w:bCs/>
        </w:rPr>
        <w:t xml:space="preserve">39</w:t>
      </w:r>
      <w:r>
        <w:t xml:space="preserve">, 727–736 (2021).</w:t>
      </w:r>
    </w:p>
    <w:p>
      <w:pPr>
        <w:pStyle w:val="Compact"/>
        <w:numPr>
          <w:ilvl w:val="0"/>
          <w:numId w:val="1003"/>
        </w:numPr>
      </w:pPr>
      <w:r>
        <w:t xml:space="preserve">Nayfach, S., Rodriguez-Mueller, B., Garud, N. &amp; Pollard, K. S. An integrated</w:t>
      </w:r>
      <w:r>
        <w:t xml:space="preserve"> </w:t>
      </w:r>
      <w:r>
        <w:t xml:space="preserve">metagenomics pipeline for strain profiling reveals novel patterns of bacterial</w:t>
      </w:r>
      <w:r>
        <w:t xml:space="preserve"> </w:t>
      </w:r>
      <w:r>
        <w:t xml:space="preserve">transmission and biogeography.</w:t>
      </w:r>
      <w:r>
        <w:t xml:space="preserve"> </w:t>
      </w:r>
      <w:r>
        <w:rPr>
          <w:i/>
          <w:iCs/>
        </w:rPr>
        <w:t xml:space="preserve">Genome Res.</w:t>
      </w:r>
      <w:r>
        <w:t xml:space="preserve"> </w:t>
      </w:r>
      <w:r>
        <w:rPr>
          <w:b/>
          <w:bCs/>
        </w:rPr>
        <w:t xml:space="preserve">26</w:t>
      </w:r>
      <w:r>
        <w:t xml:space="preserve">, 1612–1625 (2016).</w:t>
      </w:r>
    </w:p>
    <w:p>
      <w:pPr>
        <w:pStyle w:val="Compact"/>
        <w:numPr>
          <w:ilvl w:val="0"/>
          <w:numId w:val="1003"/>
        </w:numPr>
      </w:pPr>
      <w:r>
        <w:t xml:space="preserve">Beghini, F., et al. Integrating taxonomic, functional, and strain-level</w:t>
      </w:r>
      <w:r>
        <w:t xml:space="preserve"> </w:t>
      </w:r>
      <w:r>
        <w:t xml:space="preserve">profiling of diverse microbial communities with bioBakery 3.</w:t>
      </w:r>
      <w:r>
        <w:t xml:space="preserve"> </w:t>
      </w:r>
      <w:r>
        <w:rPr>
          <w:i/>
          <w:iCs/>
        </w:rPr>
        <w:t xml:space="preserve">eLife</w:t>
      </w:r>
      <w:r>
        <w:t xml:space="preserve"> </w:t>
      </w:r>
      <w:r>
        <w:rPr>
          <w:b/>
          <w:bCs/>
        </w:rPr>
        <w:t xml:space="preserve">10</w:t>
      </w:r>
      <w:r>
        <w:t xml:space="preserve">,</w:t>
      </w:r>
      <w:r>
        <w:t xml:space="preserve"> </w:t>
      </w:r>
      <w:r>
        <w:t xml:space="preserve">e65088 (2021).</w:t>
      </w:r>
    </w:p>
    <w:p>
      <w:pPr>
        <w:pStyle w:val="Compact"/>
        <w:numPr>
          <w:ilvl w:val="0"/>
          <w:numId w:val="1003"/>
        </w:numPr>
      </w:pPr>
      <w:r>
        <w:t xml:space="preserve">Anyansi, C., et al. Computational methods for strain-level microbial</w:t>
      </w:r>
      <w:r>
        <w:t xml:space="preserve"> </w:t>
      </w:r>
      <w:r>
        <w:t xml:space="preserve">detection in colony and metagenome sequencing data.</w:t>
      </w:r>
      <w:r>
        <w:t xml:space="preserve"> </w:t>
      </w:r>
      <w:r>
        <w:rPr>
          <w:i/>
          <w:iCs/>
        </w:rPr>
        <w:t xml:space="preserve">Front. Microbiol.</w:t>
      </w:r>
      <w:r>
        <w:t xml:space="preserve"> </w:t>
      </w:r>
      <w:r>
        <w:rPr>
          <w:b/>
          <w:bCs/>
        </w:rPr>
        <w:t xml:space="preserve">11</w:t>
      </w:r>
      <w:r>
        <w:t xml:space="preserve">, 1925 (2020).</w:t>
      </w:r>
    </w:p>
    <w:p>
      <w:pPr>
        <w:pStyle w:val="Compact"/>
        <w:numPr>
          <w:ilvl w:val="0"/>
          <w:numId w:val="1003"/>
        </w:numPr>
      </w:pPr>
      <w:r>
        <w:t xml:space="preserve">Croucher, N. J., et al. Population genomics of post-vaccine changes in</w:t>
      </w:r>
      <w:r>
        <w:t xml:space="preserve"> </w:t>
      </w:r>
      <w:r>
        <w:t xml:space="preserve">pneumococcal epidemiology.</w:t>
      </w:r>
      <w:r>
        <w:t xml:space="preserve"> </w:t>
      </w:r>
      <w:r>
        <w:rPr>
          <w:i/>
          <w:iCs/>
        </w:rPr>
        <w:t xml:space="preserve">Nat. Genet.</w:t>
      </w:r>
      <w:r>
        <w:t xml:space="preserve"> </w:t>
      </w:r>
      <w:r>
        <w:rPr>
          <w:b/>
          <w:bCs/>
        </w:rPr>
        <w:t xml:space="preserve">45</w:t>
      </w:r>
      <w:r>
        <w:t xml:space="preserve">, 656–663 (2013).</w:t>
      </w:r>
    </w:p>
    <w:p>
      <w:pPr>
        <w:pStyle w:val="Compact"/>
        <w:numPr>
          <w:ilvl w:val="0"/>
          <w:numId w:val="1003"/>
        </w:numPr>
      </w:pPr>
      <w:r>
        <w:t xml:space="preserve">Joseph, B., et al. Virulence evolution of the human pathogen</w:t>
      </w:r>
      <w:r>
        <w:t xml:space="preserve"> </w:t>
      </w:r>
      <w:r>
        <w:rPr>
          <w:i/>
          <w:iCs/>
        </w:rPr>
        <w:t xml:space="preserve">Neisseria</w:t>
      </w:r>
      <w:r>
        <w:rPr>
          <w:i/>
          <w:iCs/>
        </w:rPr>
        <w:t xml:space="preserve"> </w:t>
      </w:r>
      <w:r>
        <w:rPr>
          <w:i/>
          <w:iCs/>
        </w:rPr>
        <w:t xml:space="preserve">meningitidis</w:t>
      </w:r>
      <w:r>
        <w:t xml:space="preserve"> </w:t>
      </w:r>
      <w:r>
        <w:t xml:space="preserve">by recombination in the core and accessory genome.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rPr>
          <w:b/>
          <w:bCs/>
        </w:rPr>
        <w:t xml:space="preserve">6</w:t>
      </w:r>
      <w:r>
        <w:t xml:space="preserve">, e18441 (2011).</w:t>
      </w:r>
    </w:p>
    <w:p>
      <w:pPr>
        <w:pStyle w:val="Compact"/>
        <w:numPr>
          <w:ilvl w:val="0"/>
          <w:numId w:val="1003"/>
        </w:numPr>
      </w:pPr>
      <w:r>
        <w:t xml:space="preserve">van der Woude, M. W. Phase and antigenic variation in bacteria.</w:t>
      </w:r>
      <w:r>
        <w:t xml:space="preserve"> </w:t>
      </w:r>
      <w:r>
        <w:rPr>
          <w:i/>
          <w:iCs/>
        </w:rPr>
        <w:t xml:space="preserve">Clin.</w:t>
      </w:r>
      <w:r>
        <w:rPr>
          <w:i/>
          <w:iCs/>
        </w:rPr>
        <w:t xml:space="preserve"> </w:t>
      </w:r>
      <w:r>
        <w:rPr>
          <w:i/>
          <w:iCs/>
        </w:rPr>
        <w:t xml:space="preserve">Microbiol. Rev.</w:t>
      </w:r>
      <w:r>
        <w:t xml:space="preserve"> </w:t>
      </w:r>
      <w:r>
        <w:rPr>
          <w:b/>
          <w:bCs/>
        </w:rPr>
        <w:t xml:space="preserve">17</w:t>
      </w:r>
      <w:r>
        <w:t xml:space="preserve">, 581–611 (2004).</w:t>
      </w:r>
    </w:p>
    <w:p>
      <w:pPr>
        <w:pStyle w:val="Compact"/>
        <w:numPr>
          <w:ilvl w:val="0"/>
          <w:numId w:val="1003"/>
        </w:numPr>
      </w:pPr>
      <w:r>
        <w:t xml:space="preserve">Tan, A., Atack, J. M., Jennings, M. P. &amp; Seib, K. L. The capricious nature</w:t>
      </w:r>
      <w:r>
        <w:t xml:space="preserve"> </w:t>
      </w:r>
      <w:r>
        <w:t xml:space="preserve">of bacterial pathogens: phasevarions and vaccine development.</w:t>
      </w:r>
      <w:r>
        <w:t xml:space="preserve"> </w:t>
      </w:r>
      <w:r>
        <w:rPr>
          <w:i/>
          <w:iCs/>
        </w:rPr>
        <w:t xml:space="preserve">Front.</w:t>
      </w:r>
      <w:r>
        <w:rPr>
          <w:i/>
          <w:iCs/>
        </w:rPr>
        <w:t xml:space="preserve"> </w:t>
      </w:r>
      <w:r>
        <w:rPr>
          <w:i/>
          <w:iCs/>
        </w:rPr>
        <w:t xml:space="preserve">Immunol.</w:t>
      </w:r>
      <w:r>
        <w:t xml:space="preserve"> </w:t>
      </w:r>
      <w:r>
        <w:rPr>
          <w:b/>
          <w:bCs/>
        </w:rPr>
        <w:t xml:space="preserve">7</w:t>
      </w:r>
      <w:r>
        <w:t xml:space="preserve">, 586 (2016).</w:t>
      </w:r>
    </w:p>
    <w:p>
      <w:pPr>
        <w:pStyle w:val="Compact"/>
        <w:numPr>
          <w:ilvl w:val="0"/>
          <w:numId w:val="1003"/>
        </w:numPr>
      </w:pPr>
      <w:r>
        <w:t xml:space="preserve">Moxon, R., Bayliss, C. &amp; Hood, D. Bacterial contingency loci: the role of</w:t>
      </w:r>
      <w:r>
        <w:t xml:space="preserve"> </w:t>
      </w:r>
      <w:r>
        <w:t xml:space="preserve">simple sequence DNA repeats in bacterial adaptation.</w:t>
      </w:r>
      <w:r>
        <w:t xml:space="preserve"> </w:t>
      </w:r>
      <w:r>
        <w:rPr>
          <w:i/>
          <w:iCs/>
        </w:rPr>
        <w:t xml:space="preserve">Annu. Rev. Genet.</w:t>
      </w:r>
      <w:r>
        <w:t xml:space="preserve"> </w:t>
      </w:r>
      <w:r>
        <w:rPr>
          <w:b/>
          <w:bCs/>
        </w:rPr>
        <w:t xml:space="preserve">40</w:t>
      </w:r>
      <w:r>
        <w:t xml:space="preserve">, 307–333 (2006).</w:t>
      </w:r>
    </w:p>
    <w:p>
      <w:pPr>
        <w:pStyle w:val="Compact"/>
        <w:numPr>
          <w:ilvl w:val="0"/>
          <w:numId w:val="1003"/>
        </w:numPr>
      </w:pPr>
      <w:r>
        <w:t xml:space="preserve">Mehta, H. H., Barrozo, E. R., Le, N. &amp; Darwin, A. J. The essential role of</w:t>
      </w:r>
      <w:r>
        <w:t xml:space="preserve"> </w:t>
      </w:r>
      <w:r>
        <w:t xml:space="preserve">hypermutation in rapid adaptation to antibiotic stress.</w:t>
      </w:r>
      <w:r>
        <w:t xml:space="preserve"> </w:t>
      </w:r>
      <w:r>
        <w:rPr>
          <w:i/>
          <w:iCs/>
        </w:rPr>
        <w:t xml:space="preserve">mBio</w:t>
      </w:r>
      <w:r>
        <w:t xml:space="preserve"> </w:t>
      </w:r>
      <w:r>
        <w:rPr>
          <w:b/>
          <w:bCs/>
        </w:rPr>
        <w:t xml:space="preserve">10</w:t>
      </w:r>
      <w:r>
        <w:t xml:space="preserve">,</w:t>
      </w:r>
      <w:r>
        <w:t xml:space="preserve"> </w:t>
      </w:r>
      <w:r>
        <w:t xml:space="preserve">e02658-18 (2019).</w:t>
      </w:r>
    </w:p>
    <w:p>
      <w:pPr>
        <w:pStyle w:val="Compact"/>
        <w:numPr>
          <w:ilvl w:val="0"/>
          <w:numId w:val="1003"/>
        </w:numPr>
      </w:pPr>
      <w:r>
        <w:t xml:space="preserve">Didelot, X. &amp; Wilson, D. J. ClonalFrameML: efficient inference of</w:t>
      </w:r>
      <w:r>
        <w:t xml:space="preserve"> </w:t>
      </w:r>
      <w:r>
        <w:t xml:space="preserve">recombination in whole bacterial genomes.</w:t>
      </w:r>
      <w:r>
        <w:t xml:space="preserve"> </w:t>
      </w:r>
      <w:r>
        <w:rPr>
          <w:i/>
          <w:iCs/>
        </w:rPr>
        <w:t xml:space="preserve">PLoS Comput. Biol.</w:t>
      </w:r>
      <w:r>
        <w:t xml:space="preserve"> </w:t>
      </w:r>
      <w:r>
        <w:rPr>
          <w:b/>
          <w:bCs/>
        </w:rPr>
        <w:t xml:space="preserve">11</w:t>
      </w:r>
      <w:r>
        <w:t xml:space="preserve">,</w:t>
      </w:r>
      <w:r>
        <w:t xml:space="preserve"> </w:t>
      </w:r>
      <w:r>
        <w:t xml:space="preserve">e1004041 (2015).</w:t>
      </w:r>
    </w:p>
    <w:p>
      <w:pPr>
        <w:pStyle w:val="Compact"/>
        <w:numPr>
          <w:ilvl w:val="0"/>
          <w:numId w:val="1003"/>
        </w:numPr>
      </w:pPr>
      <w:r>
        <w:t xml:space="preserve">Didelot, X., Walker, A. S., Peto, T. E., Crook, D. W. &amp; Wilson, D. J.</w:t>
      </w:r>
      <w:r>
        <w:t xml:space="preserve"> </w:t>
      </w:r>
      <w:r>
        <w:t xml:space="preserve">Within-host evolution of bacterial pathogens.</w:t>
      </w:r>
      <w:r>
        <w:t xml:space="preserve"> </w:t>
      </w:r>
      <w:r>
        <w:rPr>
          <w:i/>
          <w:iCs/>
        </w:rPr>
        <w:t xml:space="preserve">Nat. Rev. Microbiol.</w:t>
      </w:r>
      <w:r>
        <w:t xml:space="preserve"> </w:t>
      </w:r>
      <w:r>
        <w:rPr>
          <w:b/>
          <w:bCs/>
        </w:rPr>
        <w:t xml:space="preserve">14</w:t>
      </w:r>
      <w:r>
        <w:t xml:space="preserve">, 150–162</w:t>
      </w:r>
      <w:r>
        <w:t xml:space="preserve"> </w:t>
      </w:r>
      <w:r>
        <w:t xml:space="preserve">(2016).</w:t>
      </w:r>
    </w:p>
    <w:p>
      <w:pPr>
        <w:pStyle w:val="Compact"/>
        <w:numPr>
          <w:ilvl w:val="0"/>
          <w:numId w:val="1003"/>
        </w:numPr>
      </w:pPr>
      <w:r>
        <w:t xml:space="preserve">Enav, H., et al. SynTracker: a tool for tracking microbial strains across</w:t>
      </w:r>
      <w:r>
        <w:t xml:space="preserve"> </w:t>
      </w:r>
      <w:r>
        <w:t xml:space="preserve">metagenomic samples.</w:t>
      </w:r>
      <w:r>
        <w:t xml:space="preserve"> </w:t>
      </w:r>
      <w:r>
        <w:rPr>
          <w:i/>
          <w:iCs/>
        </w:rPr>
        <w:t xml:space="preserve">Nat. Biotechnol.</w:t>
      </w:r>
      <w:r>
        <w:t xml:space="preserve"> </w:t>
      </w:r>
      <w:r>
        <w:rPr>
          <w:b/>
          <w:bCs/>
        </w:rPr>
        <w:t xml:space="preserve">42</w:t>
      </w:r>
      <w:r>
        <w:t xml:space="preserve">, 1502–1512 (2024).</w:t>
      </w:r>
    </w:p>
    <w:p>
      <w:pPr>
        <w:pStyle w:val="Compact"/>
        <w:numPr>
          <w:ilvl w:val="0"/>
          <w:numId w:val="1003"/>
        </w:numPr>
      </w:pPr>
      <w:r>
        <w:t xml:space="preserve">Pingoud, A., Wilson, G. G. &amp; Wende, W. Type II restriction</w:t>
      </w:r>
      <w:r>
        <w:t xml:space="preserve"> </w:t>
      </w:r>
      <w:r>
        <w:t xml:space="preserve">endonucleases: a historical perspective and more.</w:t>
      </w:r>
      <w:r>
        <w:t xml:space="preserve"> </w:t>
      </w:r>
      <w:r>
        <w:rPr>
          <w:i/>
          <w:iCs/>
        </w:rPr>
        <w:t xml:space="preserve">Nucleic Acids Res.</w:t>
      </w:r>
      <w:r>
        <w:t xml:space="preserve"> </w:t>
      </w:r>
      <w:r>
        <w:rPr>
          <w:b/>
          <w:bCs/>
        </w:rPr>
        <w:t xml:space="preserve">42</w:t>
      </w:r>
      <w:r>
        <w:t xml:space="preserve">, 7489–7527 (2014).</w:t>
      </w:r>
    </w:p>
    <w:p>
      <w:pPr>
        <w:pStyle w:val="Compact"/>
        <w:numPr>
          <w:ilvl w:val="0"/>
          <w:numId w:val="1003"/>
        </w:numPr>
      </w:pPr>
      <w:r>
        <w:t xml:space="preserve">Ondov, B. D., et al. Mash: fast genome and metagenome distance estimation</w:t>
      </w:r>
      <w:r>
        <w:t xml:space="preserve"> </w:t>
      </w:r>
      <w:r>
        <w:t xml:space="preserve">using MinHash.</w:t>
      </w:r>
      <w:r>
        <w:t xml:space="preserve"> </w:t>
      </w:r>
      <w:r>
        <w:rPr>
          <w:i/>
          <w:iCs/>
        </w:rPr>
        <w:t xml:space="preserve">Genome Biol.</w:t>
      </w:r>
      <w:r>
        <w:t xml:space="preserve"> </w:t>
      </w:r>
      <w:r>
        <w:rPr>
          <w:b/>
          <w:bCs/>
        </w:rPr>
        <w:t xml:space="preserve">17</w:t>
      </w:r>
      <w:r>
        <w:t xml:space="preserve">, 132 (2016).</w:t>
      </w:r>
    </w:p>
    <w:p>
      <w:pPr>
        <w:pStyle w:val="Compact"/>
        <w:numPr>
          <w:ilvl w:val="0"/>
          <w:numId w:val="1003"/>
        </w:numPr>
      </w:pPr>
      <w:r>
        <w:t xml:space="preserve">Wright, E. S. DECIPHER: harnessing local sequence context to improve</w:t>
      </w:r>
      <w:r>
        <w:t xml:space="preserve"> </w:t>
      </w:r>
      <w:r>
        <w:t xml:space="preserve">protein multiple sequence alignment.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 </w:t>
      </w:r>
      <w:r>
        <w:rPr>
          <w:b/>
          <w:bCs/>
        </w:rPr>
        <w:t xml:space="preserve">16</w:t>
      </w:r>
      <w:r>
        <w:t xml:space="preserve">, 322 (2015).</w:t>
      </w:r>
    </w:p>
    <w:p>
      <w:pPr>
        <w:pStyle w:val="Compact"/>
        <w:numPr>
          <w:ilvl w:val="0"/>
          <w:numId w:val="1003"/>
        </w:numPr>
      </w:pPr>
      <w:r>
        <w:t xml:space="preserve">Parks, D. H., et al. GTDB: an ongoing census of bacterial and archaeal</w:t>
      </w:r>
      <w:r>
        <w:t xml:space="preserve"> </w:t>
      </w:r>
      <w:r>
        <w:t xml:space="preserve">diversity through a phylogenetically consistent, rank normalized and complete</w:t>
      </w:r>
      <w:r>
        <w:t xml:space="preserve"> </w:t>
      </w:r>
      <w:r>
        <w:t xml:space="preserve">genome-based taxonomy.</w:t>
      </w:r>
      <w:r>
        <w:t xml:space="preserve"> </w:t>
      </w:r>
      <w:r>
        <w:rPr>
          <w:i/>
          <w:iCs/>
        </w:rPr>
        <w:t xml:space="preserve">Nucleic Acids Res.</w:t>
      </w:r>
      <w:r>
        <w:t xml:space="preserve"> </w:t>
      </w:r>
      <w:r>
        <w:rPr>
          <w:b/>
          <w:bCs/>
        </w:rPr>
        <w:t xml:space="preserve">50</w:t>
      </w:r>
      <w:r>
        <w:t xml:space="preserve">, D785–D794 (2022).</w:t>
      </w:r>
    </w:p>
    <w:p>
      <w:pPr>
        <w:pStyle w:val="Compact"/>
        <w:numPr>
          <w:ilvl w:val="0"/>
          <w:numId w:val="1003"/>
        </w:numPr>
      </w:pPr>
      <w:r>
        <w:t xml:space="preserve">Shaw, J. &amp; Yu, Y. W. Fast and robust metagenomic sequence comparison</w:t>
      </w:r>
      <w:r>
        <w:t xml:space="preserve"> </w:t>
      </w:r>
      <w:r>
        <w:t xml:space="preserve">through sparse chaining with skani.</w:t>
      </w:r>
      <w:r>
        <w:t xml:space="preserve"> </w:t>
      </w:r>
      <w:r>
        <w:rPr>
          <w:i/>
          <w:iCs/>
        </w:rPr>
        <w:t xml:space="preserve">Nat. Methods</w:t>
      </w:r>
      <w:r>
        <w:t xml:space="preserve"> </w:t>
      </w:r>
      <w:r>
        <w:rPr>
          <w:b/>
          <w:bCs/>
        </w:rPr>
        <w:t xml:space="preserve">20</w:t>
      </w:r>
      <w:r>
        <w:t xml:space="preserve">, 1661–1665 (2023).</w:t>
      </w:r>
    </w:p>
    <w:p>
      <w:pPr>
        <w:pStyle w:val="Compact"/>
        <w:numPr>
          <w:ilvl w:val="0"/>
          <w:numId w:val="1003"/>
        </w:numPr>
      </w:pPr>
      <w:r>
        <w:t xml:space="preserve">Li, H. Minimap2: pairwise alignment for nucleotide sequences.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rPr>
          <w:b/>
          <w:bCs/>
        </w:rPr>
        <w:t xml:space="preserve">34</w:t>
      </w:r>
      <w:r>
        <w:t xml:space="preserve">, 3094–3100 (2018).</w:t>
      </w:r>
    </w:p>
    <w:p>
      <w:pPr>
        <w:pStyle w:val="Compact"/>
        <w:numPr>
          <w:ilvl w:val="0"/>
          <w:numId w:val="1003"/>
        </w:numPr>
      </w:pPr>
      <w:r>
        <w:t xml:space="preserve">Marçais, G., et al. MUMmer4: a fast and versatile genome alignment system.</w:t>
      </w:r>
      <w:r>
        <w:t xml:space="preserve"> </w:t>
      </w:r>
      <w:r>
        <w:rPr>
          <w:i/>
          <w:iCs/>
        </w:rPr>
        <w:t xml:space="preserve">PLoS Comput. Biol.</w:t>
      </w:r>
      <w:r>
        <w:t xml:space="preserve"> </w:t>
      </w:r>
      <w:r>
        <w:rPr>
          <w:b/>
          <w:bCs/>
        </w:rPr>
        <w:t xml:space="preserve">14</w:t>
      </w:r>
      <w:r>
        <w:t xml:space="preserve">, e1005944 (2018).</w:t>
      </w:r>
    </w:p>
    <w:p>
      <w:pPr>
        <w:pStyle w:val="Compact"/>
        <w:numPr>
          <w:ilvl w:val="0"/>
          <w:numId w:val="1003"/>
        </w:numPr>
      </w:pPr>
      <w:r>
        <w:t xml:space="preserve">Altschul, S. F., et al. Gapped BLAST and PSI-BLAST: a new generation of</w:t>
      </w:r>
      <w:r>
        <w:t xml:space="preserve"> </w:t>
      </w:r>
      <w:r>
        <w:t xml:space="preserve">protein database search programs.</w:t>
      </w:r>
      <w:r>
        <w:t xml:space="preserve"> </w:t>
      </w:r>
      <w:r>
        <w:rPr>
          <w:i/>
          <w:iCs/>
        </w:rPr>
        <w:t xml:space="preserve">Nucleic Acids Res.</w:t>
      </w:r>
      <w:r>
        <w:t xml:space="preserve"> </w:t>
      </w:r>
      <w:r>
        <w:rPr>
          <w:b/>
          <w:bCs/>
        </w:rPr>
        <w:t xml:space="preserve">25</w:t>
      </w:r>
      <w:r>
        <w:t xml:space="preserve">, 3389–3402</w:t>
      </w:r>
      <w:r>
        <w:t xml:space="preserve"> </w:t>
      </w:r>
      <w:r>
        <w:t xml:space="preserve">(1997).</w:t>
      </w:r>
    </w:p>
    <w:p>
      <w:r>
        <w:pict>
          <v:rect style="width:0;height:1.5pt" o:hralign="center" o:hrstd="t" o:hr="t"/>
        </w:pict>
      </w:r>
    </w:p>
    <w:bookmarkEnd w:id="35"/>
    <w:bookmarkStart w:id="36" w:name="figures-and-tables"/>
    <w:p>
      <w:pPr>
        <w:pStyle w:val="Heading2"/>
      </w:pPr>
      <w:r>
        <w:t xml:space="preserve">Figures and Tables</w:t>
      </w:r>
    </w:p>
    <w:p>
      <w:pPr>
        <w:pStyle w:val="FirstParagraph"/>
      </w:pPr>
      <w:r>
        <w:rPr>
          <w:b/>
          <w:bCs/>
        </w:rPr>
        <w:t xml:space="preserve">Figure 1. Syn2b algorithm.</w:t>
      </w:r>
      <w:r>
        <w:t xml:space="preserve"> </w:t>
      </w:r>
      <w:r>
        <w:t xml:space="preserve">(a) Type IIB/IIG enzyme recognition produces 27–32</w:t>
      </w:r>
      <w:r>
        <w:t xml:space="preserve"> </w:t>
      </w:r>
      <w:r>
        <w:t xml:space="preserve">bp tags flanking the motif. (b) An inversion reverses the order of tags inside</w:t>
      </w:r>
      <w:r>
        <w:t xml:space="preserve"> </w:t>
      </w:r>
      <w:r>
        <w:t xml:space="preserve">the affected segment (tag orientation is flipped accordingly; strand marks</w:t>
      </w:r>
      <w:r>
        <w:t xml:space="preserve"> </w:t>
      </w:r>
      <w:r>
        <w:t xml:space="preserve">omitted for clarity). (c) Length-weighted ratios are invariant to</w:t>
      </w:r>
      <w:r>
        <w:t xml:space="preserve"> </w:t>
      </w:r>
      <w:r>
        <w:t xml:space="preserve">assembly fragmentation, whereas transition counts acquire a bias that grows with</w:t>
      </w:r>
      <w:r>
        <w:t xml:space="preserve"> </w:t>
      </w:r>
      <w:r>
        <w:t xml:space="preserve">the number of fragments K.</w:t>
      </w:r>
    </w:p>
    <w:p>
      <w:pPr>
        <w:pStyle w:val="BodyText"/>
      </w:pPr>
      <w:r>
        <w:rPr>
          <w:b/>
          <w:bCs/>
        </w:rPr>
        <w:t xml:space="preserve">Figure 2. Sensitivity to structural variation and insensitivity to SNPs.</w:t>
      </w:r>
      <w:r>
        <w:t xml:space="preserve"> </w:t>
      </w:r>
      <w:r>
        <w:t xml:space="preserve">Controlled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K-12 genomes analysed with the Rust Syn2b implementation</w:t>
      </w:r>
      <w:r>
        <w:t xml:space="preserve"> </w:t>
      </w:r>
      <w:r>
        <w:t xml:space="preserve">and the production four-enzyme panel (BcgI, AlfI, AloI, FalI); every value is</w:t>
      </w:r>
      <w:r>
        <w:t xml:space="preserve"> </w:t>
      </w:r>
      <w:r>
        <w:t xml:space="preserve">measured by running the tool. The SNP-only control (1%</w:t>
      </w:r>
      <w:r>
        <w:t xml:space="preserve"> </w:t>
      </w:r>
      <w:r>
        <w:t xml:space="preserve">random substitutions outside recognition sites) is compared against the</w:t>
      </w:r>
      <w:r>
        <w:t xml:space="preserve"> </w:t>
      </w:r>
      <w:r>
        <w:t xml:space="preserve">unmutated reference and produces zero junctions; a single 100-kb or 500-kb</w:t>
      </w:r>
      <w:r>
        <w:t xml:space="preserve"> </w:t>
      </w:r>
      <w:r>
        <w:t xml:space="preserve">inversion produces two junctions; a single 500-kb translocation produces three.</w:t>
      </w:r>
      <w:r>
        <w:t xml:space="preserve"> </w:t>
      </w:r>
      <w:r>
        <w:t xml:space="preserve">The raw inverted landmark fraction scales with inverted segment size.</w:t>
      </w:r>
      <w:r>
        <w:t xml:space="preserve"> </w:t>
      </w:r>
      <w:r>
        <w:t xml:space="preserve">Small insertions and deletions are not shown here because junction counts</w:t>
      </w:r>
      <w:r>
        <w:t xml:space="preserve"> </w:t>
      </w:r>
      <w:r>
        <w:t xml:space="preserve">depend on whether tags straddle the breakpoint (Supplementary Figure 3). Mash</w:t>
      </w:r>
      <w:r>
        <w:t xml:space="preserve"> </w:t>
      </w:r>
      <w:r>
        <w:t xml:space="preserve">distance (k=21) reports the 1% SNP background at ≈1e-2, whereas every</w:t>
      </w:r>
      <w:r>
        <w:t xml:space="preserve"> </w:t>
      </w:r>
      <w:r>
        <w:t xml:space="preserve">structural variant adds only ~1e-7, confirming that k-mer methods cannot</w:t>
      </w:r>
      <w:r>
        <w:t xml:space="preserve"> </w:t>
      </w:r>
      <w:r>
        <w:t xml:space="preserve">distinguish SV from point mutation. Single-enzyme versus panel metrics are</w:t>
      </w:r>
      <w:r>
        <w:t xml:space="preserve"> </w:t>
      </w:r>
      <w:r>
        <w:t xml:space="preserve">compared in Table 2.</w:t>
      </w:r>
    </w:p>
    <w:p>
      <w:pPr>
        <w:pStyle w:val="BodyText"/>
      </w:pPr>
      <w:r>
        <w:rPr>
          <w:b/>
          <w:bCs/>
        </w:rPr>
        <w:t xml:space="preserve">Figure 3. GTDB-R207 validation.</w:t>
      </w:r>
      <w:r>
        <w:t xml:space="preserve"> </w:t>
      </w:r>
      <w:r>
        <w:t xml:space="preserve">(a) Syn2b</w:t>
      </w:r>
      <w:r>
        <w:t xml:space="preserve"> </w:t>
      </w:r>
      <w:r>
        <w:rPr>
          <w:rStyle w:val="VerbatimChar"/>
        </w:rPr>
        <w:t xml:space="preserve">raw_inverted_fraction</w:t>
      </w:r>
      <w:r>
        <w:t xml:space="preserve"> </w:t>
      </w:r>
      <w:r>
        <w:t xml:space="preserve">vs</w:t>
      </w:r>
      <w:r>
        <w:t xml:space="preserve"> </w:t>
      </w:r>
      <w:r>
        <w:t xml:space="preserve">dnadiff across 43,312 held-out pairs with complete metrics. (b) Agreement by</w:t>
      </w:r>
      <w:r>
        <w:t xml:space="preserve"> </w:t>
      </w:r>
      <w:r>
        <w:t xml:space="preserve">predicted-ANI band (four-enzyme model), improving monotonically as divergence</w:t>
      </w:r>
      <w:r>
        <w:t xml:space="preserve"> </w:t>
      </w:r>
      <w:r>
        <w:t xml:space="preserve">decreases; the y-axis is truncated at 0.85 for readability. (c)</w:t>
      </w:r>
      <w:r>
        <w:t xml:space="preserve"> </w:t>
      </w:r>
      <w:r>
        <w:t xml:space="preserve">Majority-frame</w:t>
      </w:r>
      <w:r>
        <w:t xml:space="preserve"> </w:t>
      </w:r>
      <w:r>
        <w:rPr>
          <w:rStyle w:val="VerbatimChar"/>
        </w:rPr>
        <w:t xml:space="preserve">inverted_fraction</w:t>
      </w:r>
      <w:r>
        <w:t xml:space="preserve"> </w:t>
      </w:r>
      <w:r>
        <w:t xml:space="preserve">saturates at 0.5; the fixed-reference</w:t>
      </w:r>
      <w:r>
        <w:t xml:space="preserve"> </w:t>
      </w:r>
      <w:r>
        <w:rPr>
          <w:rStyle w:val="VerbatimChar"/>
        </w:rPr>
        <w:t xml:space="preserve">raw_inverted_fraction</w:t>
      </w:r>
      <w:r>
        <w:t xml:space="preserve"> </w:t>
      </w:r>
      <w:r>
        <w:t xml:space="preserve">shown in panel a is not subject to this saturation.</w:t>
      </w:r>
      <w:r>
        <w:t xml:space="preserve"> </w:t>
      </w:r>
      <w:r>
        <w:t xml:space="preserve">(d) Residuals of Syn2b</w:t>
      </w:r>
      <w:r>
        <w:t xml:space="preserve"> </w:t>
      </w:r>
      <w:r>
        <w:rPr>
          <w:rStyle w:val="VerbatimChar"/>
        </w:rPr>
        <w:t xml:space="preserve">raw_inverted_fraction</w:t>
      </w:r>
      <w:r>
        <w:t xml:space="preserve"> </w:t>
      </w:r>
      <w:r>
        <w:t xml:space="preserve">against dnadiff show no</w:t>
      </w:r>
      <w:r>
        <w:t xml:space="preserve"> </w:t>
      </w:r>
      <w:r>
        <w:t xml:space="preserve">systematic dependence on assembly fragmentation (max contigs per pair),</w:t>
      </w:r>
      <w:r>
        <w:t xml:space="preserve"> </w:t>
      </w:r>
      <w:r>
        <w:t xml:space="preserve">illustrating the fragmentation invariance of length-weighted ratios.</w:t>
      </w:r>
    </w:p>
    <w:p>
      <w:pPr>
        <w:pStyle w:val="BodyText"/>
      </w:pPr>
      <w:r>
        <w:rPr>
          <w:b/>
          <w:bCs/>
        </w:rPr>
        <w:t xml:space="preserve">Figure 4. SynTracker cohorts show ANI–synteny decoupling.</w:t>
      </w:r>
      <w:r>
        <w:t xml:space="preserve"> </w:t>
      </w:r>
      <w:r>
        <w:t xml:space="preserve">Pairwise</w:t>
      </w:r>
      <w:r>
        <w:t xml:space="preserve"> </w:t>
      </w:r>
      <w:r>
        <w:t xml:space="preserve">comparisons of four published SynTracker cohorts (n = 3,435 pairs) using skani</w:t>
      </w:r>
      <w:r>
        <w:t xml:space="preserve"> </w:t>
      </w:r>
      <w:r>
        <w:t xml:space="preserve">ANI and Syn2b structural metrics. (a) ANI versus breakpoint count; the inset</w:t>
      </w:r>
      <w:r>
        <w:t xml:space="preserve"> </w:t>
      </w:r>
      <w:r>
        <w:t xml:space="preserve">zooms into the near-clonal, near-zero-breakpoint clusters. (b) ANI</w:t>
      </w:r>
      <w:r>
        <w:t xml:space="preserve"> </w:t>
      </w:r>
      <w:r>
        <w:t xml:space="preserve">versus raw inverted fraction. (c) Breakpoint distributions differ markedly by</w:t>
      </w:r>
      <w:r>
        <w:t xml:space="preserve"> </w:t>
      </w:r>
      <w:r>
        <w:t xml:space="preserve">species, with</w:t>
      </w:r>
      <w:r>
        <w:t xml:space="preserve"> </w:t>
      </w:r>
      <w:r>
        <w:rPr>
          <w:i/>
          <w:iCs/>
        </w:rPr>
        <w:t xml:space="preserve">S. rimosus</w:t>
      </w:r>
      <w:r>
        <w:t xml:space="preserve"> </w:t>
      </w:r>
      <w:r>
        <w:t xml:space="preserve">showing the highest structural divergence despite</w:t>
      </w:r>
      <w:r>
        <w:t xml:space="preserve"> </w:t>
      </w:r>
      <w:r>
        <w:t xml:space="preserve">near-clonal ANI. (d) Within-participant</w:t>
      </w:r>
      <w:r>
        <w:t xml:space="preserve"> </w:t>
      </w:r>
      <w:r>
        <w:rPr>
          <w:i/>
          <w:iCs/>
        </w:rPr>
        <w:t xml:space="preserve">H. pylori</w:t>
      </w:r>
      <w:r>
        <w:t xml:space="preserve"> </w:t>
      </w:r>
      <w:r>
        <w:t xml:space="preserve">pairs (n = 476) are</w:t>
      </w:r>
      <w:r>
        <w:t xml:space="preserve"> </w:t>
      </w:r>
      <w:r>
        <w:t xml:space="preserve">structurally more similar than between-participant pairs (n = 2,450;</w:t>
      </w:r>
      <w:r>
        <w:t xml:space="preserve"> </w:t>
      </w:r>
      <w:r>
        <w:t xml:space="preserve">permutation p &lt; 1e-4, Cliff’s delta = −0.92), demonstrating that Syn2b</w:t>
      </w:r>
      <w:r>
        <w:t xml:space="preserve"> </w:t>
      </w:r>
      <w:r>
        <w:t xml:space="preserve">captures epidemiologically relevant structure beyond ANI.</w:t>
      </w:r>
    </w:p>
    <w:p>
      <w:pPr>
        <w:pStyle w:val="BodyText"/>
      </w:pPr>
      <w:r>
        <w:rPr>
          <w:b/>
          <w:bCs/>
        </w:rPr>
        <w:t xml:space="preserve">Figure 5. Genome-wide ANI–rearrangement discordance in GTDB-R207.</w:t>
      </w:r>
      <w:r>
        <w:t xml:space="preserve"> </w:t>
      </w:r>
      <w:r>
        <w:t xml:space="preserve">(a) Pair-density map of ANIm versus dnadiff inversion-event count across</w:t>
      </w:r>
      <w:r>
        <w:t xml:space="preserve"> </w:t>
      </w:r>
      <w:r>
        <w:t xml:space="preserve">47,748 pairs (held-out set plus ANIm-verified high-ANI sample); the red line</w:t>
      </w:r>
      <w:r>
        <w:t xml:space="preserve"> </w:t>
      </w:r>
      <w:r>
        <w:t xml:space="preserve">marks the species-level ANI threshold and the annotation gives the number of</w:t>
      </w:r>
      <w:r>
        <w:t xml:space="preserve"> </w:t>
      </w:r>
      <w:r>
        <w:t xml:space="preserve">discordant pairs (ANIm ≥ 97%, ≥2 inversions). (b) Percentage of pairs carrying</w:t>
      </w:r>
      <w:r>
        <w:t xml:space="preserve"> </w:t>
      </w:r>
      <w:r>
        <w:t xml:space="preserve">at least 1, 2, or 5 dnadiff inversions per 1% ANIm bin, rearrangement</w:t>
      </w:r>
      <w:r>
        <w:t xml:space="preserve"> </w:t>
      </w:r>
      <w:r>
        <w:t xml:space="preserve">prevalence decays slowly as ANI approaches 100%. (c) Phylum composition of</w:t>
      </w:r>
      <w:r>
        <w:t xml:space="preserve"> </w:t>
      </w:r>
      <w:r>
        <w:t xml:space="preserve">discordant pairs (dark blue) versus concordant ANIm ≥ 97% pairs (light blue);</w:t>
      </w:r>
      <w:r>
        <w:t xml:space="preserve"> </w:t>
      </w:r>
      <w:r>
        <w:t xml:space="preserve">numbers give the enrichment fold. (</w:t>
      </w:r>
      <w:r>
        <w:rPr>
          <w:rStyle w:val="VerbatimChar"/>
        </w:rPr>
        <w:t xml:space="preserve">figures/main/fig5_discordance_overview.pdf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Figure 6. Runtime and scaling.</w:t>
      </w:r>
      <w:r>
        <w:t xml:space="preserve"> </w:t>
      </w:r>
      <w:r>
        <w:t xml:space="preserve">(a) Measured single-genome digestion time</w:t>
      </w:r>
      <w:r>
        <w:t xml:space="preserve"> </w:t>
      </w:r>
      <w:r>
        <w:t xml:space="preserve">per enzyme of the production panel on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K-12 (4.6 Mb) using the Rust</w:t>
      </w:r>
      <w:r>
        <w:t xml:space="preserve"> </w:t>
      </w:r>
      <w:r>
        <w:t xml:space="preserve">Syn2b binary (timings archived in the repository). (b)</w:t>
      </w:r>
      <w:r>
        <w:t xml:space="preserve"> </w:t>
      </w:r>
      <w:r>
        <w:t xml:space="preserve">Amortized per-pair comparison time on unique pairs C(n,2); the n = 2 point is</w:t>
      </w:r>
      <w:r>
        <w:t xml:space="preserve"> </w:t>
      </w:r>
      <w:r>
        <w:t xml:space="preserve">excluded because startup overhead dominates. (c) Total wall time scales linearly</w:t>
      </w:r>
      <w:r>
        <w:t xml:space="preserve"> </w:t>
      </w:r>
      <w:r>
        <w:t xml:space="preserve">with the number of unique pairs.</w:t>
      </w:r>
    </w:p>
    <w:p>
      <w:pPr>
        <w:pStyle w:val="BodyText"/>
      </w:pPr>
      <w:r>
        <w:rPr>
          <w:b/>
          <w:bCs/>
        </w:rPr>
        <w:t xml:space="preserve">Table 1. Enzyme tag densities in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E. coli</w:t>
      </w:r>
      <w:r>
        <w:rPr>
          <w:b/>
          <w:bCs/>
        </w:rPr>
        <w:t xml:space="preserve"> </w:t>
      </w:r>
      <w:r>
        <w:rPr>
          <w:b/>
          <w:bCs/>
        </w:rPr>
        <w:t xml:space="preserve">K-12 (NC_000913.3, 4,641,652 bp).</w:t>
      </w:r>
    </w:p>
    <w:p>
      <w:pPr>
        <w:pStyle w:val="BodyText"/>
      </w:pPr>
      <w:r>
        <w:t xml:space="preserve">Tag counts are deterministic in-silico counts from the Rust implementation.</w:t>
      </w:r>
      <w:r>
        <w:t xml:space="preserve"> </w:t>
      </w:r>
      <w:r>
        <w:t xml:space="preserve">The production panel is BcgI+AlfI+AloI+FalI.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enzyme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tag 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density (/kb)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BcgI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AlfI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AloI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BcgI+AlfI+AloI+FalI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6,216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1.339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2. SV detection metrics across enzymes and SV types.</w:t>
      </w:r>
    </w:p>
    <w:p>
      <w:pPr>
        <w:pStyle w:val="BodyText"/>
      </w:pPr>
      <w:r>
        <w:t xml:space="preserve">Controlled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K-12 variants on a 1% SNP background (seed 42), measured</w:t>
      </w:r>
      <w:r>
        <w:t xml:space="preserve"> </w:t>
      </w:r>
      <w:r>
        <w:t xml:space="preserve">with the Rust implementation. Source:</w:t>
      </w:r>
      <w:r>
        <w:t xml:space="preserve"> </w:t>
      </w:r>
      <w:r>
        <w:rPr>
          <w:rStyle w:val="VerbatimChar"/>
        </w:rPr>
        <w:t xml:space="preserve">results/table2_sv_metrics.csv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SV condition</w:t>
            </w:r>
          </w:p>
        </w:tc>
        <w:tc>
          <w:tcPr/>
          <w:p>
            <w:pPr>
              <w:pStyle w:val="Compact"/>
            </w:pPr>
            <w:r>
              <w:t xml:space="preserve">enzyme 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SCJ distance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 inverted fraction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shared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SNP 1% (vs reference)</w:t>
            </w:r>
          </w:p>
        </w:tc>
        <w:tc>
          <w:tcPr/>
          <w:p>
            <w:pPr>
              <w:pStyle w:val="Compact"/>
            </w:pPr>
            <w:r>
              <w:t xml:space="preserve">BcgI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SNP 1% (vs reference)</w:t>
            </w:r>
          </w:p>
        </w:tc>
        <w:tc>
          <w:tcPr/>
          <w:p>
            <w:pPr>
              <w:pStyle w:val="Compact"/>
            </w:pPr>
            <w:r>
              <w:t xml:space="preserve">4-enzyme panel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Inversion 100 kb</w:t>
            </w:r>
          </w:p>
        </w:tc>
        <w:tc>
          <w:tcPr/>
          <w:p>
            <w:pPr>
              <w:pStyle w:val="Compact"/>
            </w:pPr>
            <w:r>
              <w:t xml:space="preserve">BcgI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Inversion 100 kb</w:t>
            </w:r>
          </w:p>
        </w:tc>
        <w:tc>
          <w:tcPr/>
          <w:p>
            <w:pPr>
              <w:pStyle w:val="Compact"/>
            </w:pPr>
            <w:r>
              <w:t xml:space="preserve">4-enzyme panel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Inversion 500 kb</w:t>
            </w:r>
          </w:p>
        </w:tc>
        <w:tc>
          <w:tcPr/>
          <w:p>
            <w:pPr>
              <w:pStyle w:val="Compact"/>
            </w:pPr>
            <w:r>
              <w:t xml:space="preserve">BcgI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Inversion 500 kb</w:t>
            </w:r>
          </w:p>
        </w:tc>
        <w:tc>
          <w:tcPr/>
          <w:p>
            <w:pPr>
              <w:pStyle w:val="Compact"/>
            </w:pPr>
            <w:r>
              <w:t xml:space="preserve">4-enzyme panel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Translocation 500 kb</w:t>
            </w:r>
          </w:p>
        </w:tc>
        <w:tc>
          <w:tcPr/>
          <w:p>
            <w:pPr>
              <w:pStyle w:val="Compact"/>
            </w:pPr>
            <w:r>
              <w:t xml:space="preserve">BcgI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Translocation 500 kb</w:t>
            </w:r>
          </w:p>
        </w:tc>
        <w:tc>
          <w:tcPr/>
          <w:p>
            <w:pPr>
              <w:pStyle w:val="Compact"/>
            </w:pPr>
            <w:r>
              <w:t xml:space="preserve">4-enzyme panel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5,704</w:t>
            </w:r>
          </w:p>
        </w:tc>
      </w:tr>
    </w:tbl>
    <w:p>
      <w:pPr>
        <w:pStyle w:val="BodyText"/>
      </w:pPr>
      <w:r>
        <w:t xml:space="preserve">Junction and SCJ counts are identical across arms; the panel’s 2.1-fold higher</w:t>
      </w:r>
      <w:r>
        <w:t xml:space="preserve"> </w:t>
      </w:r>
      <w:r>
        <w:t xml:space="preserve">tag density roughly doubles the shared-tag count, which improves stability at</w:t>
      </w:r>
      <w:r>
        <w:t xml:space="preserve"> </w:t>
      </w:r>
      <w:r>
        <w:t xml:space="preserve">higher divergence (error model in Supplementary Note 2).</w:t>
      </w:r>
    </w:p>
    <w:p>
      <w:pPr>
        <w:pStyle w:val="BodyText"/>
      </w:pPr>
      <w:r>
        <w:rPr>
          <w:b/>
          <w:bCs/>
        </w:rPr>
        <w:t xml:space="preserve">Table 3. Runtime and scaling of Syn2b structural comparison.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“n pairs (raw)”</w:t>
      </w:r>
      <w:r>
        <w:t xml:space="preserve"> </w:t>
      </w:r>
      <w:r>
        <w:t xml:space="preserve">column includes self-comparisons and both directional</w:t>
      </w:r>
      <w:r>
        <w:t xml:space="preserve"> </w:t>
      </w:r>
      <w:r>
        <w:t xml:space="preserve">comparisons as recorded by the benchmark;</w:t>
      </w:r>
      <w:r>
        <w:t xml:space="preserve"> </w:t>
      </w:r>
      <w:r>
        <w:t xml:space="preserve">“n unique pairs”</w:t>
      </w:r>
      <w:r>
        <w:t xml:space="preserve"> </w:t>
      </w:r>
      <w:r>
        <w:t xml:space="preserve">is the number of</w:t>
      </w:r>
      <w:r>
        <w:t xml:space="preserve"> </w:t>
      </w:r>
      <w:r>
        <w:t xml:space="preserve">unordered genome pairs used for the per-pair estimate. Per-pair times are</w:t>
      </w:r>
      <w:r>
        <w:t xml:space="preserve"> </w:t>
      </w:r>
      <w:r>
        <w:t xml:space="preserve">reported per unique pair throughout the paper.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 genomes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pairs (raw)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unique pairs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wall 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per-pair time (ms)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515.7*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</w:t>
            </w:r>
          </w:p>
        </w:tc>
      </w:tr>
    </w:tbl>
    <w:p>
      <w:pPr>
        <w:pStyle w:val="BodyText"/>
      </w:pPr>
      <w:r>
        <w:t xml:space="preserve">* The n = 2 per-pair estimate is dominated by process startup overhead and is</w:t>
      </w:r>
      <w:r>
        <w:t xml:space="preserve"> </w:t>
      </w:r>
      <w:r>
        <w:t xml:space="preserve">excluded from the amortized scaling curve in Figure 6b.</w:t>
      </w:r>
    </w:p>
    <w:p>
      <w:r>
        <w:pict>
          <v:rect style="width:0;height:1.5pt" o:hralign="center" o:hrstd="t" o:hr="t"/>
        </w:pict>
      </w:r>
    </w:p>
    <w:bookmarkEnd w:id="36"/>
    <w:bookmarkStart w:id="40" w:name="supplementary-information"/>
    <w:p>
      <w:pPr>
        <w:pStyle w:val="Heading2"/>
      </w:pPr>
      <w:r>
        <w:t xml:space="preserve">Supplementary Information</w:t>
      </w:r>
    </w:p>
    <w:bookmarkStart w:id="37" w:name="supplementary-notes"/>
    <w:p>
      <w:pPr>
        <w:pStyle w:val="Heading3"/>
      </w:pPr>
      <w:r>
        <w:t xml:space="preserve">Supplementary Notes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Supplementary Note 1:</w:t>
      </w:r>
      <w:r>
        <w:t xml:space="preserve"> </w:t>
      </w:r>
      <w:r>
        <w:t xml:space="preserve">Mathematical derivation of the fragmentation principle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supplementary/Supplementary_Note_1.md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Supplementary Note 2:</w:t>
      </w:r>
      <w:r>
        <w:t xml:space="preserve"> </w:t>
      </w:r>
      <w:r>
        <w:t xml:space="preserve">Error model and per-pair standard errors for</w:t>
      </w:r>
      <w:r>
        <w:t xml:space="preserve"> </w:t>
      </w:r>
      <w:r>
        <w:rPr>
          <w:rStyle w:val="VerbatimChar"/>
        </w:rPr>
        <w:t xml:space="preserve">raw_inverted_fraction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supplementary/Supplementary_Note_2.md</w:t>
      </w:r>
      <w:r>
        <w:t xml:space="preserve">).</w:t>
      </w:r>
    </w:p>
    <w:bookmarkEnd w:id="37"/>
    <w:bookmarkStart w:id="38" w:name="supplementary-tables"/>
    <w:p>
      <w:pPr>
        <w:pStyle w:val="Heading3"/>
      </w:pPr>
      <w:r>
        <w:t xml:space="preserve">Supplementary Tables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Supplementary Table 1:</w:t>
      </w:r>
      <w:r>
        <w:t xml:space="preserve"> </w:t>
      </w:r>
      <w:r>
        <w:t xml:space="preserve">GTDB-R207 per-pair structural 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results/gtdb50k/inverted_fraction_truth_four.tsv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Supplementary Table 2:</w:t>
      </w:r>
      <w:r>
        <w:t xml:space="preserve"> </w:t>
      </w:r>
      <w:r>
        <w:t xml:space="preserve">Runtime scaling of Syn2b structural comparison,</w:t>
      </w:r>
      <w:r>
        <w:t xml:space="preserve"> </w:t>
      </w:r>
      <w:r>
        <w:t xml:space="preserve">skani, dnadiff, skani+dnadiff, and SynTracker across panel sizes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supplementary/Supplementary_Table_2.tsv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Supplementary Table 3:</w:t>
      </w:r>
      <w:r>
        <w:t xml:space="preserve"> </w:t>
      </w:r>
      <w:r>
        <w:t xml:space="preserve">Parameters for the controlled SV simulations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supplementary/Supplementary_Table_3.tsv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Supplementary Table 4:</w:t>
      </w:r>
      <w:r>
        <w:t xml:space="preserve"> </w:t>
      </w:r>
      <w:r>
        <w:t xml:space="preserve">Head-to-head runtime on the 22-genome panel</w:t>
      </w:r>
      <w:r>
        <w:t xml:space="preserve"> </w:t>
      </w:r>
      <w:r>
        <w:t xml:space="preserve">(231 unique pairs) (</w:t>
      </w:r>
      <w:r>
        <w:rPr>
          <w:rStyle w:val="VerbatimChar"/>
        </w:rPr>
        <w:t xml:space="preserve">supplementary/Supplementary_Table_4.tsv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Supplementary Table 5:</w:t>
      </w:r>
      <w:r>
        <w:t xml:space="preserve"> </w:t>
      </w:r>
      <w:r>
        <w:t xml:space="preserve">Within-host versus between-host</w:t>
      </w:r>
      <w:r>
        <w:t xml:space="preserve"> </w:t>
      </w:r>
      <w:r>
        <w:rPr>
          <w:i/>
          <w:iCs/>
        </w:rPr>
        <w:t xml:space="preserve">H. pylori</w:t>
      </w:r>
      <w:r>
        <w:t xml:space="preserve"> </w:t>
      </w:r>
      <w:r>
        <w:t xml:space="preserve">structural divergence: permutation test statistics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supplementary/Supplementary_Table_5.tsv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Supplementary Table 6:</w:t>
      </w:r>
      <w:r>
        <w:t xml:space="preserve"> </w:t>
      </w:r>
      <w:r>
        <w:t xml:space="preserve">ANI–rearrangement discordance across GTDB-R207:</w:t>
      </w:r>
      <w:r>
        <w:t xml:space="preserve"> </w:t>
      </w:r>
      <w:r>
        <w:t xml:space="preserve">inversion-event rates per ANIm band, top discordant pairs with taxonomy,</w:t>
      </w:r>
      <w:r>
        <w:t xml:space="preserve"> </w:t>
      </w:r>
      <w:r>
        <w:t xml:space="preserve">Syn2b flagging performance, flagging-feature comparison, and prevalence</w:t>
      </w:r>
      <w:r>
        <w:t xml:space="preserve"> </w:t>
      </w:r>
      <w:r>
        <w:t xml:space="preserve">bootstrap CIs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results/discordance/discordance_by_band.tsv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results/discordance/discordant_pairs_top.tsv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results/discordance/syn2b_flagging.tsv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results/discordance/flagging_features.tsv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results/discordance/prevalence_ci.tsv</w:t>
      </w:r>
      <w:r>
        <w:t xml:space="preserve">).</w:t>
      </w:r>
    </w:p>
    <w:bookmarkEnd w:id="38"/>
    <w:bookmarkStart w:id="39" w:name="supplementary-figures"/>
    <w:p>
      <w:pPr>
        <w:pStyle w:val="Heading3"/>
      </w:pPr>
      <w:r>
        <w:t xml:space="preserve">Supplementary Figures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Supplementary Figure 1:</w:t>
      </w:r>
      <w:r>
        <w:t xml:space="preserve"> </w:t>
      </w:r>
      <w:r>
        <w:t xml:space="preserve">Inter-tag distance distribution for the</w:t>
      </w:r>
      <w:r>
        <w:t xml:space="preserve"> </w:t>
      </w:r>
      <w:r>
        <w:t xml:space="preserve">production four-enzyme panel in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K-12. Distances were extracted</w:t>
      </w:r>
      <w:r>
        <w:t xml:space="preserve"> </w:t>
      </w:r>
      <w:r>
        <w:t xml:space="preserve">from the TGT output of</w:t>
      </w:r>
      <w:r>
        <w:t xml:space="preserve"> </w:t>
      </w:r>
      <w:r>
        <w:rPr>
          <w:rStyle w:val="VerbatimChar"/>
        </w:rPr>
        <w:t xml:space="preserve">syn2b digest</w:t>
      </w:r>
      <w:r>
        <w:t xml:space="preserve"> </w:t>
      </w:r>
      <w:r>
        <w:t xml:space="preserve">as recorded between consecutive tags</w:t>
      </w:r>
      <w:r>
        <w:t xml:space="preserve"> </w:t>
      </w:r>
      <w:r>
        <w:t xml:space="preserve">in the TGT path (n = 6,215 recorded intervals; median 1,533 bp, mean 2,980</w:t>
      </w:r>
      <w:r>
        <w:t xml:space="preserve"> </w:t>
      </w:r>
      <w:r>
        <w:t xml:space="preserve">bp). Because the TGT path links the two tags flanking each cut site, the</w:t>
      </w:r>
      <w:r>
        <w:t xml:space="preserve"> </w:t>
      </w:r>
      <w:r>
        <w:t xml:space="preserve">recorded intervals are not a partition of the genome and overestimate the</w:t>
      </w:r>
      <w:r>
        <w:t xml:space="preserve"> </w:t>
      </w:r>
      <w:r>
        <w:t xml:space="preserve">average landmark spacing (genome length / 6,216 tags ≈ 747 bp)</w:t>
      </w:r>
      <w:r>
        <w:t xml:space="preserve"> </w:t>
      </w:r>
      <w:r>
        <w:t xml:space="preserve">(</w:t>
      </w:r>
      <w:r>
        <w:rPr>
          <w:rStyle w:val="VerbatimChar"/>
        </w:rPr>
        <w:t xml:space="preserve">figures/supplementary/fig1_tag_spacing.pdf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Supplementary Figure 2:</w:t>
      </w:r>
      <w:r>
        <w:t xml:space="preserve"> </w:t>
      </w:r>
      <w:r>
        <w:t xml:space="preserve">Closed-genome inversion validation on 100</w:t>
      </w:r>
      <w:r>
        <w:t xml:space="preserve"> </w:t>
      </w:r>
      <w:r>
        <w:t xml:space="preserve">complete-genome pairs selected for high expected structural divergence.</w:t>
      </w:r>
    </w:p>
    <w:p>
      <w:pPr>
        <w:pStyle w:val="Compact"/>
        <w:numPr>
          <w:ilvl w:val="1"/>
          <w:numId w:val="1007"/>
        </w:numPr>
      </w:pPr>
      <w:r>
        <w:t xml:space="preserve">Number of junctions reported by Syn2b versus dnadiff. (b) Fraction of</w:t>
      </w:r>
      <w:r>
        <w:t xml:space="preserve"> </w:t>
      </w:r>
      <w:r>
        <w:t xml:space="preserve">dnadiff junctions that match a Syn2b junction. (c) Median distance between</w:t>
      </w:r>
      <w:r>
        <w:t xml:space="preserve"> </w:t>
      </w:r>
      <w:r>
        <w:t xml:space="preserve">matched Syn2b and dnadiff junction positions. The low recovery and coarse</w:t>
      </w:r>
      <w:r>
        <w:t xml:space="preserve"> </w:t>
      </w:r>
      <w:r>
        <w:t xml:space="preserve">position resolution reflect that many dnadiff inversions fall in regions</w:t>
      </w:r>
      <w:r>
        <w:t xml:space="preserve"> </w:t>
      </w:r>
      <w:r>
        <w:t xml:space="preserve">without a nearby restriction-enzyme landmark</w:t>
      </w:r>
      <w:r>
        <w:t xml:space="preserve"> </w:t>
      </w:r>
      <w:r>
        <w:t xml:space="preserve">(</w:t>
      </w:r>
      <w:r>
        <w:rPr>
          <w:rStyle w:val="VerbatimChar"/>
        </w:rPr>
        <w:t xml:space="preserve">figures/supplementary/fig2_closed_genome_validation.pdf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Supplementary Figure 3:</w:t>
      </w:r>
      <w:r>
        <w:t xml:space="preserve"> </w:t>
      </w:r>
      <w:r>
        <w:t xml:space="preserve">Sensitivity of Syn2b junction counts and raw</w:t>
      </w:r>
      <w:r>
        <w:t xml:space="preserve"> </w:t>
      </w:r>
      <w:r>
        <w:t xml:space="preserve">inverted fraction to SV size. Controlled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K-12 variants carrying a</w:t>
      </w:r>
      <w:r>
        <w:t xml:space="preserve"> </w:t>
      </w:r>
      <w:r>
        <w:t xml:space="preserve">single inversion, insertion, deletion, or translocation on a 1% SNP</w:t>
      </w:r>
      <w:r>
        <w:t xml:space="preserve"> </w:t>
      </w:r>
      <w:r>
        <w:t xml:space="preserve">background were analysed with the four-enzyme panel. Inversions yield two</w:t>
      </w:r>
      <w:r>
        <w:t xml:space="preserve"> </w:t>
      </w:r>
      <w:r>
        <w:t xml:space="preserve">junctions irrespective of size, while the inverted fraction increases with</w:t>
      </w:r>
      <w:r>
        <w:t xml:space="preserve"> </w:t>
      </w:r>
      <w:r>
        <w:t xml:space="preserve">inverted segment length. Insertions and deletions produce zero junctions</w:t>
      </w:r>
      <w:r>
        <w:t xml:space="preserve"> </w:t>
      </w:r>
      <w:r>
        <w:t xml:space="preserve">unless a landmark straddles the breakpoint; translocation of a 500-kb segment</w:t>
      </w:r>
      <w:r>
        <w:t xml:space="preserve"> </w:t>
      </w:r>
      <w:r>
        <w:t xml:space="preserve">yields three junctions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figures/supplementary/fig3_sv_size_sensitivity.pdf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Supplementary Figure 4:</w:t>
      </w:r>
      <w:r>
        <w:t xml:space="preserve"> </w:t>
      </w:r>
      <w:r>
        <w:t xml:space="preserve">Inversion detection-size resolution. Fraction of</w:t>
      </w:r>
      <w:r>
        <w:t xml:space="preserve"> </w:t>
      </w:r>
      <w:r>
        <w:t xml:space="preserve">replicates (10 random positions per size) in which both junctions of an</w:t>
      </w:r>
      <w:r>
        <w:t xml:space="preserve"> </w:t>
      </w:r>
      <w:r>
        <w:t xml:space="preserve">inverted segment are recovered, for the production four-enzyme panel and for</w:t>
      </w:r>
      <w:r>
        <w:t xml:space="preserve"> </w:t>
      </w:r>
      <w:r>
        <w:t xml:space="preserve">BcgI alone, on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K-12 with a 1% SNP background. The panel recovers</w:t>
      </w:r>
      <w:r>
        <w:t xml:space="preserve"> </w:t>
      </w:r>
      <w:r>
        <w:t xml:space="preserve">4-kb inversions in 10/10 replicates; BcgI alone requires ~8 kb for comparable</w:t>
      </w:r>
      <w:r>
        <w:t xml:space="preserve"> </w:t>
      </w:r>
      <w:r>
        <w:t xml:space="preserve">detection (</w:t>
      </w:r>
      <w:r>
        <w:rPr>
          <w:rStyle w:val="VerbatimChar"/>
        </w:rPr>
        <w:t xml:space="preserve">figures/supplementary/fig4_detection_size.pdf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Supplementary Figure 5:</w:t>
      </w:r>
      <w:r>
        <w:t xml:space="preserve"> </w:t>
      </w:r>
      <w:r>
        <w:t xml:space="preserve">Known-biology calibration of the junction</w:t>
      </w:r>
      <w:r>
        <w:t xml:space="preserve"> </w:t>
      </w:r>
      <w:r>
        <w:t xml:space="preserve">channel on complete genomes. (a) skani ANI versus Syn2b junction count for</w:t>
      </w:r>
      <w:r>
        <w:t xml:space="preserve"> </w:t>
      </w:r>
      <w:r>
        <w:t xml:space="preserve">within-collection pairs of</w:t>
      </w:r>
      <w:r>
        <w:t xml:space="preserve"> </w:t>
      </w:r>
      <w:r>
        <w:rPr>
          <w:i/>
          <w:iCs/>
        </w:rPr>
        <w:t xml:space="preserve">M. tuberculosis</w:t>
      </w:r>
      <w:r>
        <w:t xml:space="preserve">,</w:t>
      </w:r>
      <w:r>
        <w:t xml:space="preserve"> </w:t>
      </w:r>
      <w:r>
        <w:rPr>
          <w:i/>
          <w:iCs/>
        </w:rPr>
        <w:t xml:space="preserve">E. coli</w:t>
      </w:r>
      <w:r>
        <w:t xml:space="preserve">,</w:t>
      </w:r>
      <w:r>
        <w:t xml:space="preserve"> </w:t>
      </w:r>
      <w:r>
        <w:rPr>
          <w:i/>
          <w:iCs/>
        </w:rPr>
        <w:t xml:space="preserve">S.</w:t>
      </w:r>
      <w:r>
        <w:t xml:space="preserve"> </w:t>
      </w:r>
      <w:r>
        <w:t xml:space="preserve">Typhimurium,</w:t>
      </w:r>
      <w:r>
        <w:t xml:space="preserve"> </w:t>
      </w:r>
      <w:r>
        <w:rPr>
          <w:i/>
          <w:iCs/>
        </w:rPr>
        <w:t xml:space="preserve">S. sonnei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S. flexneri</w:t>
      </w:r>
      <w:r>
        <w:t xml:space="preserve"> </w:t>
      </w:r>
      <w:r>
        <w:t xml:space="preserve">complete assemblies (n = 975 pairs). (b)</w:t>
      </w:r>
      <w:r>
        <w:t xml:space="preserve"> </w:t>
      </w:r>
      <w:r>
        <w:t xml:space="preserve">Junction-count distributions by collection: the conserved</w:t>
      </w:r>
      <w:r>
        <w:t xml:space="preserve"> </w:t>
      </w:r>
      <w:r>
        <w:rPr>
          <w:i/>
          <w:iCs/>
        </w:rPr>
        <w:t xml:space="preserve">M. tuberculosis</w:t>
      </w:r>
      <w:r>
        <w:t xml:space="preserve"> </w:t>
      </w:r>
      <w:r>
        <w:t xml:space="preserve">control sits at a median of 0 junctions at 99.92% median ANI, while 84–88%</w:t>
      </w:r>
      <w:r>
        <w:t xml:space="preserve"> </w:t>
      </w:r>
      <w:r>
        <w:t xml:space="preserve">of ≥99%-ANI</w:t>
      </w:r>
      <w:r>
        <w:t xml:space="preserve"> </w:t>
      </w:r>
      <w:r>
        <w:rPr>
          <w:i/>
          <w:iCs/>
        </w:rPr>
        <w:t xml:space="preserve">Shigella</w:t>
      </w:r>
      <w:r>
        <w:t xml:space="preserve"> </w:t>
      </w:r>
      <w:r>
        <w:t xml:space="preserve">pairs carry ≥2 junctions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figures/supplementary/fig5_known_biology.pdf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Supplementary Figure 6:</w:t>
      </w:r>
      <w:r>
        <w:t xml:space="preserve"> </w:t>
      </w:r>
      <w:r>
        <w:t xml:space="preserve">Application-scale structural censuses.</w:t>
      </w:r>
    </w:p>
    <w:p>
      <w:pPr>
        <w:pStyle w:val="Compact"/>
        <w:numPr>
          <w:ilvl w:val="1"/>
          <w:numId w:val="1008"/>
        </w:numPr>
      </w:pPr>
      <w:r>
        <w:t xml:space="preserve">Distribution of species-level prevalence of ≥2 landmark-defined</w:t>
      </w:r>
      <w:r>
        <w:t xml:space="preserve"> </w:t>
      </w:r>
      <w:r>
        <w:t xml:space="preserve">breakpoints across 383 GTDB-R207 clusters with ≥1,000 effective pairs.</w:t>
      </w:r>
    </w:p>
    <w:p>
      <w:pPr>
        <w:pStyle w:val="Compact"/>
        <w:numPr>
          <w:ilvl w:val="1"/>
          <w:numId w:val="1008"/>
        </w:numPr>
      </w:pPr>
      <w:r>
        <w:t xml:space="preserve">Distribution across 367 HROM clusters with ≥1,000 pairs.</w:t>
      </w:r>
    </w:p>
    <w:p>
      <w:pPr>
        <w:pStyle w:val="Compact"/>
        <w:numPr>
          <w:ilvl w:val="1"/>
          <w:numId w:val="1008"/>
        </w:numPr>
      </w:pPr>
      <w:r>
        <w:t xml:space="preserve">HROM prevalence by skani ANI bin. The GTDB and HROM censuses show wide</w:t>
      </w:r>
      <w:r>
        <w:t xml:space="preserve"> </w:t>
      </w:r>
      <w:r>
        <w:t xml:space="preserve">taxon-specific variation but differ in overall prevalence because of different</w:t>
      </w:r>
      <w:r>
        <w:t xml:space="preserve"> </w:t>
      </w:r>
      <w:r>
        <w:t xml:space="preserve">catalogues, assemblies, clustering, and quality structure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figures/supplementary/fig6_structural_censuses.pdf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Funding information to be added.</w:t>
      </w:r>
    </w:p>
    <w:bookmarkEnd w:id="41"/>
    <w:bookmarkStart w:id="42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S.H. conceived the study. S.H. and Y.Z. developed the method, performed</w:t>
      </w:r>
      <w:r>
        <w:t xml:space="preserve"> </w:t>
      </w:r>
      <w:r>
        <w:t xml:space="preserve">benchmarking, and wrote the manuscript. All authors read and approved the final</w:t>
      </w:r>
      <w:r>
        <w:t xml:space="preserve"> </w:t>
      </w:r>
      <w:r>
        <w:t xml:space="preserve">manuscript.</w:t>
      </w:r>
    </w:p>
    <w:bookmarkEnd w:id="42"/>
    <w:bookmarkStart w:id="43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authors declare no competing interests.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2026-10-13T10:31:34Z</dcterms:created>
  <dcterms:modified xsi:type="dcterms:W3CDTF">2026-10-13T10:31:34Z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