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On 43,312 held-out pairs from</w:t>
      </w:r>
      <w:r>
        <w:t xml:space="preserve"> </w:t>
      </w:r>
      <w:r>
        <w:t xml:space="preserve">GTDB-R207 with complete structural metrics, Syn2b’s inverted aligned fraction</w:t>
      </w:r>
      <w:r>
        <w:t xml:space="preserve"> </w:t>
      </w:r>
      <w:r>
        <w:t xml:space="preserve">agrees with the alignment-based truth at Pearson r = 0.94 overall. In the</w:t>
      </w:r>
      <w:r>
        <w:t xml:space="preserve"> </w:t>
      </w:r>
      <w:r>
        <w:t xml:space="preserve">strain-level regime (ANIm ≥ 97%, n = 3,826), the correlation is r = 0.996,</w:t>
      </w:r>
      <w:r>
        <w:t xml:space="preserve"> </w:t>
      </w:r>
      <w:r>
        <w:t xml:space="preserve">slope = 1.006 and SD(error) = 0.0135. A multi-enzyme panel</w:t>
      </w:r>
      <w:r>
        <w:t xml:space="preserve"> </w:t>
      </w:r>
      <w:r>
        <w:t xml:space="preserve">(BcgI+AlfI+BplI+CjePI) reaches 3.19 tags/kb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K-12; combined with</w:t>
      </w:r>
      <w:r>
        <w:t xml:space="preserve"> </w:t>
      </w:r>
      <w:r>
        <w:t xml:space="preserve">the 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 (BcgI, AlfI, BplI) and the Type IIG enzyme</w:t>
      </w:r>
      <w:r>
        <w:t xml:space="preserve"> </w:t>
      </w:r>
      <w:r>
        <w:t xml:space="preserve">CjePI. Each enzyme recognizes a specific motif within a 27–32 bp window and</w:t>
      </w:r>
      <w:r>
        <w:t xml:space="preserve"> </w:t>
      </w:r>
      <w:r>
        <w:t xml:space="preserve">produces a tag of that length 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(4,543,028 bp),</w:t>
      </w:r>
      <w:r>
        <w:t xml:space="preserve"> </w:t>
      </w:r>
      <w:r>
        <w:t xml:space="preserve">BcgI yields 2,877 tags (0.63/kb), AlfI 1,939 (0.43/kb), BplI 383 (0.08/kb), and</w:t>
      </w:r>
      <w:r>
        <w:t xml:space="preserve"> </w:t>
      </w:r>
      <w:r>
        <w:t xml:space="preserve">CjePI 9,284 (2.04/kb). Combining all four yields 14,483 tags (3.19/kb), a 5.0×</w:t>
      </w:r>
      <w:r>
        <w:t xml:space="preserve"> </w:t>
      </w:r>
      <w:r>
        <w:t xml:space="preserve">increase over 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simulated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1% random SNPs, 500-kb inversions, 500-kb</w:t>
      </w:r>
      <w:r>
        <w:t xml:space="preserve"> </w:t>
      </w:r>
      <w:r>
        <w:t xml:space="preserve">translocations, and 10-kb insertions/deletions. The simulations in this section</w:t>
      </w:r>
      <w:r>
        <w:t xml:space="preserve"> </w:t>
      </w:r>
      <w:r>
        <w:t xml:space="preserve">were performed with a Python in-silico prototype (Supplementary Table 1). The</w:t>
      </w:r>
      <w:r>
        <w:t xml:space="preserve"> </w:t>
      </w:r>
      <w:r>
        <w:t xml:space="preserve">reported breakpoint counts are therefore illustrative estimates rather than</w:t>
      </w:r>
      <w:r>
        <w:t xml:space="preserve"> </w:t>
      </w:r>
      <w:r>
        <w:t xml:space="preserve">production outputs of the Rust Syn2b implementation; the quantitative validation</w:t>
      </w:r>
      <w:r>
        <w:t xml:space="preserve"> </w:t>
      </w:r>
      <w:r>
        <w:t xml:space="preserve">of length-weighted ratios on real genomes is given in Figure 3.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One percent SNPs produced a Mash proxy distance of 0.010,</w:t>
      </w:r>
      <w:r>
        <w:t xml:space="preserve"> </w:t>
      </w:r>
      <w:r>
        <w:t xml:space="preserve">but Syn2b’s adjacency Jaccard and Kendall tau remained near their unmutated</w:t>
      </w:r>
      <w:r>
        <w:t xml:space="preserve"> </w:t>
      </w:r>
      <w:r>
        <w:t xml:space="preserve">values, confirming that SNPs outside enzyme recognition sites do not affect tag</w:t>
      </w:r>
      <w:r>
        <w:t xml:space="preserve"> </w:t>
      </w:r>
      <w:r>
        <w:t xml:space="preserve">order. Breakpoints in the SNP-only control reflect polymorphic enzyme sites</w:t>
      </w:r>
      <w:r>
        <w:t xml:space="preserve"> </w:t>
      </w:r>
      <w:r>
        <w:t xml:space="preserve">introduced by the 1% mutation rate.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500-kb inversion produced a large breakpoint signal with every</w:t>
      </w:r>
      <w:r>
        <w:t xml:space="preserve"> </w:t>
      </w:r>
      <w:r>
        <w:t xml:space="preserve">enzyme, with the high-density CjePI layer giving the strongest single-enzyme</w:t>
      </w:r>
      <w:r>
        <w:t xml:space="preserve"> </w:t>
      </w:r>
      <w:r>
        <w:t xml:space="preserve">response and the four-enzyme panel yielding the highest overall count. Kendall</w:t>
      </w:r>
      <w:r>
        <w:t xml:space="preserve"> </w:t>
      </w:r>
      <w:r>
        <w:t xml:space="preserve">tau remained near 1.000 because inversions preserve the relative order of tags</w:t>
      </w:r>
      <w:r>
        <w:t xml:space="preserve"> </w:t>
      </w:r>
      <w:r>
        <w:t xml:space="preserve">inside the inverted segment. The length-weighted inverted fraction directly</w:t>
      </w:r>
      <w:r>
        <w:t xml:space="preserve"> </w:t>
      </w:r>
      <w:r>
        <w:t xml:space="preserve">reports the inverted segment and is insensitive to where contig 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500-kb translocation added only a small number of</w:t>
      </w:r>
      <w:r>
        <w:t xml:space="preserve"> </w:t>
      </w:r>
      <w:r>
        <w:t xml:space="preserve">breakpoints, because only the two breakpoint adjacencies change. However,</w:t>
      </w:r>
      <w:r>
        <w:t xml:space="preserve"> </w:t>
      </w:r>
      <w:r>
        <w:t xml:space="preserve">Kendall tau of matching tag positions dropped sharply (All_4), capturing the</w:t>
      </w:r>
      <w:r>
        <w:t xml:space="preserve"> </w:t>
      </w:r>
      <w:r>
        <w:t xml:space="preserve">global order disruption (Figure 2c, Table 2).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increased breakpoints most strongly</w:t>
      </w:r>
      <w:r>
        <w:t xml:space="preserve"> </w:t>
      </w:r>
      <w:r>
        <w:t xml:space="preserve">with CjePI; the sparser Type IIB enzymes gave weaker signals. CjePI’s higher</w:t>
      </w:r>
      <w:r>
        <w:t xml:space="preserve"> </w:t>
      </w:r>
      <w:r>
        <w:t xml:space="preserve">indel sensitivity validates the need for a high-density Type IIG layer to</w:t>
      </w:r>
      <w:r>
        <w:t xml:space="preserve"> </w:t>
      </w:r>
      <w:r>
        <w:t xml:space="preserve">detect small structural variants that traditional Type IIB enzymes miss (Figure</w:t>
      </w:r>
      <w:r>
        <w:t xml:space="preserve"> </w:t>
      </w:r>
      <w:r>
        <w:t xml:space="preserve">2d, Table 2).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proxy</w:t>
      </w:r>
      <w:r>
        <w:t xml:space="preserve"> </w:t>
      </w:r>
      <w:r>
        <w:t xml:space="preserve">distance remained 0.010, confirming that k-mer-based methods cannot distinguish</w:t>
      </w:r>
      <w:r>
        <w:t xml:space="preserve"> </w:t>
      </w:r>
      <w:r>
        <w:t xml:space="preserve">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final Syn2b panel combines three Type IIB enzymes (BcgI, AlfI, BplI) with</w:t>
      </w:r>
      <w:r>
        <w:t xml:space="preserve"> </w:t>
      </w:r>
      <w:r>
        <w:t xml:space="preserve">the Type IIG enzyme CjePI. The optimization criterion is tag density: every</w:t>
      </w:r>
      <w:r>
        <w:t xml:space="preserve"> </w:t>
      </w:r>
      <w:r>
        <w:t xml:space="preserve">additional recognition site improves the resolution of inversions and indels</w:t>
      </w:r>
      <w:r>
        <w:t xml:space="preserve"> </w:t>
      </w:r>
      <w:r>
        <w:t xml:space="preserve">and reduces the sampling variance of length-weighted ratios.</w:t>
      </w:r>
    </w:p>
    <w:p>
      <w:pPr>
        <w:pStyle w:val="BodyText"/>
      </w:pPr>
      <w:r>
        <w:rPr>
          <w:b/>
          <w:bCs/>
        </w:rPr>
        <w:t xml:space="preserve">Single-enzyme performance.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K-12, BcgI yields 2,877 tags</w:t>
      </w:r>
      <w:r>
        <w:t xml:space="preserve"> </w:t>
      </w:r>
      <w:r>
        <w:t xml:space="preserve">(0.63/kb), AlfI 1,939 (0.43/kb), BplI 383 (0.08/kb), and CjePI 9,284</w:t>
      </w:r>
      <w:r>
        <w:t xml:space="preserve"> </w:t>
      </w:r>
      <w:r>
        <w:t xml:space="preserve">(2.04/kb). In the prototype simulations, a 500-kb inversion produced the</w:t>
      </w:r>
      <w:r>
        <w:t xml:space="preserve"> </w:t>
      </w:r>
      <w:r>
        <w:t xml:space="preserve">largest breakpoint gain with CjePI and the smallest with BplI; a 10-kb indel</w:t>
      </w:r>
      <w:r>
        <w:t xml:space="preserve"> </w:t>
      </w:r>
      <w:r>
        <w:t xml:space="preserve">was detectable only with the dense CjePI layer (Figure 2, Table 2). BplI’s</w:t>
      </w:r>
      <w:r>
        <w:t xml:space="preserve"> </w:t>
      </w:r>
      <w:r>
        <w:t xml:space="preserve">lower density makes it the weakest single enzyme, while CjePI provides the</w:t>
      </w:r>
      <w:r>
        <w:t xml:space="preserve"> </w:t>
      </w:r>
      <w:r>
        <w:t xml:space="preserve">strongest single-enzyme signal.</w:t>
      </w:r>
    </w:p>
    <w:p>
      <w:pPr>
        <w:pStyle w:val="BodyText"/>
      </w:pPr>
      <w:r>
        <w:rPr>
          <w:b/>
          <w:bCs/>
        </w:rPr>
        <w:t xml:space="preserve">Multi-enzyme synergy.</w:t>
      </w:r>
      <w:r>
        <w:t xml:space="preserve"> </w:t>
      </w:r>
      <w:r>
        <w:t xml:space="preserve">Combining all four enzymes yields 14,483 tags</w:t>
      </w:r>
      <w:r>
        <w:t xml:space="preserve"> </w:t>
      </w:r>
      <w:r>
        <w:t xml:space="preserve">(3.19/kb), a 5.0× increase over BcgI alone. The prototype simulations show that</w:t>
      </w:r>
      <w:r>
        <w:t xml:space="preserve"> </w:t>
      </w:r>
      <w:r>
        <w:t xml:space="preserve">the combined panel amplifies both inversion and indel breakpoint signals beyond</w:t>
      </w:r>
      <w:r>
        <w:t xml:space="preserve"> </w:t>
      </w:r>
      <w:r>
        <w:t xml:space="preserve">any single enzyme. The total tag count is below the naive sum of the four</w:t>
      </w:r>
      <w:r>
        <w:t xml:space="preserve"> </w:t>
      </w:r>
      <w:r>
        <w:t xml:space="preserve">enzymes because 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are standard Type IIB enzymes with</w:t>
      </w:r>
      <w:r>
        <w:t xml:space="preserve"> </w:t>
      </w:r>
      <w:r>
        <w:t xml:space="preserve">well-characterized 32-bp tags. BplI adds a 27-bp arm with sparser, longer tags.</w:t>
      </w:r>
      <w:r>
        <w:t xml:space="preserve"> </w:t>
      </w:r>
      <w:r>
        <w:t xml:space="preserve">CjePI is a Type IIG enzyme that recognizes the shorter CCYGA motif and produces</w:t>
      </w:r>
      <w:r>
        <w:t xml:space="preserve"> </w:t>
      </w:r>
      <w:r>
        <w:t xml:space="preserve">a ~3.3× denser tag layer than BcgI; this layer is essential for detecting small</w:t>
      </w:r>
      <w:r>
        <w:t xml:space="preserve"> </w:t>
      </w:r>
      <w:r>
        <w:t xml:space="preserve">indels and fine-scale inversions that the Type IIB enzymes miss. The panel was</w:t>
      </w:r>
      <w:r>
        <w:t xml:space="preserve"> </w:t>
      </w:r>
      <w:r>
        <w:t xml:space="preserve">chosen to maximize tag density while using enzymes with experimentally</w:t>
      </w:r>
      <w:r>
        <w:t xml:space="preserve"> </w:t>
      </w:r>
      <w:r>
        <w:t xml:space="preserve">validated recognition specificities. In practice, recognition sites can be</w:t>
      </w:r>
      <w:r>
        <w:t xml:space="preserve"> </w:t>
      </w:r>
      <w:r>
        <w:t xml:space="preserve">affected by DNA methylation and by sequence polymorphism within the motif;</w:t>
      </w:r>
      <w:r>
        <w:t xml:space="preserve"> </w:t>
      </w:r>
      <w:r>
        <w:t xml:space="preserve">however, because Syn2b reports length-weighted ratios over many landmarks, the</w:t>
      </w:r>
      <w:r>
        <w:t xml:space="preserve"> </w:t>
      </w:r>
      <w:r>
        <w:t xml:space="preserve">metric is robust to the occasional missing or extra site (Supplementary Note</w:t>
      </w:r>
      <w:r>
        <w:t xml:space="preserve"> </w:t>
      </w:r>
      <w:r>
        <w:t xml:space="preserve">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</w:t>
      </w:r>
      <w:r>
        <w:t xml:space="preserve"> </w:t>
      </w:r>
      <w:r>
        <w:t xml:space="preserve">panel 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 biologically</w:t>
      </w:r>
      <w:r>
        <w:t xml:space="preserve"> </w:t>
      </w:r>
      <w:r>
        <w:t xml:space="preserve">motivated default rather than the absolute optimal density choice. We retain</w:t>
      </w:r>
      <w:r>
        <w:t xml:space="preserve"> </w:t>
      </w:r>
      <w:r>
        <w:t xml:space="preserve">enzyme landmarks because they are deterministic, interpretable, and avoid the</w:t>
      </w:r>
      <w:r>
        <w:t xml:space="preserve"> </w:t>
      </w:r>
      <w:r>
        <w:t xml:space="preserve">memory and runtime cost of the densest FracMinHash sketches, but the method</w:t>
      </w:r>
      <w:r>
        <w:t xml:space="preserve"> </w:t>
      </w:r>
      <w:r>
        <w:t xml:space="preserve">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cohorts (2,926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, 253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hypermutator, 190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66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isolate pairs)</w:t>
      </w:r>
      <w:r>
        <w:t xml:space="preserve"> </w:t>
      </w:r>
      <w:r>
        <w:t xml:space="preserve">with skani ANI and Syn2b structural metrics. Unlike Figure 3, which validates</w:t>
      </w:r>
      <w:r>
        <w:t xml:space="preserve"> </w:t>
      </w:r>
      <w:r>
        <w:t xml:space="preserve">Syn2b against alignment-based inverted fractions, this comparison asks whether</w:t>
      </w:r>
      <w:r>
        <w:t xml:space="preserve"> </w:t>
      </w:r>
      <w:r>
        <w:t xml:space="preserve">Syn2b’s fast structural signal adds information beyond a state-of-the-art ANI</w:t>
      </w:r>
      <w:r>
        <w:t xml:space="preserve"> </w:t>
      </w:r>
      <w:r>
        <w:t xml:space="preserve">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range, showing that clonal</w:t>
      </w:r>
      <w:r>
        <w:t xml:space="preserve"> </w:t>
      </w:r>
      <w:r>
        <w:t xml:space="preserve">sequence similarity does not 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 (94.5–96.5%) with low breakpoint counts,</w:t>
      </w:r>
      <w:r>
        <w:t xml:space="preserve"> </w:t>
      </w:r>
      <w:r>
        <w:t xml:space="preserve">consistent with a 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</w:t>
      </w:r>
      <w:r>
        <w:t xml:space="preserve"> </w:t>
      </w:r>
      <w:r>
        <w:t xml:space="preserve">together but 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Same-host pairs tend to have both high</w:t>
      </w:r>
      <w:r>
        <w:t xml:space="preserve"> </w:t>
      </w:r>
      <w:r>
        <w:t xml:space="preserve">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p>
      <w:pPr>
        <w:pStyle w:val="BodyText"/>
      </w:pPr>
      <w:r>
        <w:rPr>
          <w:b/>
          <w:bCs/>
        </w:rPr>
        <w:t xml:space="preserve">SynTracker isolate cohorts.</w:t>
      </w:r>
      <w:r>
        <w:t xml:space="preserve"> </w:t>
      </w:r>
      <w:r>
        <w:t xml:space="preserve">We re-analysed the four isolate cohorts</w:t>
      </w:r>
      <w:r>
        <w:t xml:space="preserve"> </w:t>
      </w:r>
      <w:r>
        <w:t xml:space="preserve">reported by SynTracker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t xml:space="preserve">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 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</w:t>
      </w:r>
      <w:r>
        <w:t xml:space="preserve"> </w:t>
      </w:r>
      <w:r>
        <w:t xml:space="preserve">with Syn2b. For</w:t>
      </w:r>
      <w:r>
        <w:t xml:space="preserve"> </w:t>
      </w:r>
      <w:r>
        <w:rPr>
          <w:i/>
          <w:iCs/>
        </w:rPr>
        <w:t xml:space="preserve">H. pylori</w:t>
      </w:r>
      <w:r>
        <w:t xml:space="preserve">, 476 pairs were derived from the same patient.</w:t>
      </w:r>
      <w:r>
        <w:t xml:space="preserve"> </w:t>
      </w:r>
      <w:r>
        <w:t xml:space="preserve">Within-patient pairs showed very low 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 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 substantially</w:t>
      </w:r>
      <w:r>
        <w:t xml:space="preserve"> </w:t>
      </w:r>
      <w:r>
        <w:t xml:space="preserve">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 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The other three cohorts lacked within-host</w:t>
      </w:r>
      <w:r>
        <w:t xml:space="preserve"> </w:t>
      </w:r>
      <w:r>
        <w:t xml:space="preserve">replicates in the released data, but cross-pair 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was</w:t>
      </w:r>
      <w:r>
        <w:t xml:space="preserve"> </w:t>
      </w:r>
      <w:r>
        <w:t xml:space="preserve">0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hypermutator), 3 (</w:t>
      </w:r>
      <w:r>
        <w:rPr>
          <w:i/>
          <w:iCs/>
        </w:rPr>
        <w:t xml:space="preserve">N. gonorrhoeae</w:t>
      </w:r>
      <w:r>
        <w:t xml:space="preserve">), and 10 (</w:t>
      </w:r>
      <w:r>
        <w:rPr>
          <w:i/>
          <w:iCs/>
        </w:rPr>
        <w:t xml:space="preserve">S. rimosus</w:t>
      </w:r>
      <w:r>
        <w:t xml:space="preserve">),</w:t>
      </w:r>
      <w:r>
        <w:t xml:space="preserve"> </w:t>
      </w:r>
      <w:r>
        <w:t xml:space="preserve">consistent with the simulated evolutionary regimes above.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(Table 4).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Because</w:t>
      </w:r>
      <w:r>
        <w:t xml:space="preserve"> </w:t>
      </w:r>
      <w:r>
        <w:t xml:space="preserve">Syn2b avoids pairwise alignment and BLAST database construction, it is expected</w:t>
      </w:r>
      <w:r>
        <w:t xml:space="preserve"> </w:t>
      </w:r>
      <w:r>
        <w:t xml:space="preserve">to be orders of magnitude faster than alignment-based methods such as</w:t>
      </w:r>
      <w:r>
        <w:t xml:space="preserve"> </w:t>
      </w:r>
      <w:r>
        <w:t xml:space="preserve">SynTracker; a direct head-to-head comparison is provided in Supplementary Table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SynTracker.</w:t>
      </w:r>
      <w:r>
        <w:t xml:space="preserve"> </w:t>
      </w:r>
      <w:r>
        <w:t xml:space="preserve">SynTracker pioneered microsynteny for strain</w:t>
      </w:r>
      <w:r>
        <w:t xml:space="preserve"> </w:t>
      </w:r>
      <w:r>
        <w:t xml:space="preserve">comparison but requires BLAST databases and all-versus-all DECIPHER alignments.</w:t>
      </w:r>
      <w:r>
        <w:t xml:space="preserve"> </w:t>
      </w:r>
      <w:r>
        <w:t xml:space="preserve">Syn2b achieves the same biological goal through Type IIB tag adjacency, without</w:t>
      </w:r>
      <w:r>
        <w:t xml:space="preserve"> </w:t>
      </w:r>
      <w:r>
        <w:t xml:space="preserve">pairwise alignment or a pre-built database, and is therefore expected to be</w:t>
      </w:r>
      <w:r>
        <w:t xml:space="preserve"> </w:t>
      </w:r>
      <w:r>
        <w:t xml:space="preserve">orders of magnitude faster for large panels (Supplementary Table 4). The GTDB</w:t>
      </w:r>
      <w:r>
        <w:t xml:space="preserve"> </w:t>
      </w:r>
      <w:r>
        <w:t xml:space="preserve">validation shows that the orientation ratio alone matches dnadiff at r = 0.94</w:t>
      </w:r>
      <w:r>
        <w:t xml:space="preserve"> </w:t>
      </w:r>
      <w:r>
        <w:t xml:space="preserve">overall and r = 0.996 at 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CjePI’s high density enables detection of 10-kb indels, while multi-enzyme</w:t>
      </w:r>
      <w:r>
        <w:t xml:space="preserve"> </w:t>
      </w:r>
      <w:r>
        <w:t xml:space="preserve">panels provide the highest resolution. For very closely related strains, even</w:t>
      </w:r>
      <w:r>
        <w:t xml:space="preserve"> </w:t>
      </w:r>
      <w:r>
        <w:t xml:space="preserve">single Type IIB enzymes suffice because shared landmark counts are high; for</w:t>
      </w:r>
      <w:r>
        <w:t xml:space="preserve"> </w:t>
      </w:r>
      <w:r>
        <w:t xml:space="preserve">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iig-enzyme-digestion"/>
    <w:p>
      <w:pPr>
        <w:pStyle w:val="Heading3"/>
      </w:pPr>
      <w:r>
        <w:t xml:space="preserve">Type IIB/IIG enzyme digestion</w:t>
      </w:r>
    </w:p>
    <w:p>
      <w:pPr>
        <w:pStyle w:val="FirstParagraph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BplI</w:t>
      </w:r>
      <w:r>
        <w:t xml:space="preserve"> </w:t>
      </w:r>
      <w:r>
        <w:t xml:space="preserve">(27-bp tag): offset 8=GAG, offset 16=CTC.</w:t>
      </w:r>
    </w:p>
    <w:p>
      <w:pPr>
        <w:pStyle w:val="BodyText"/>
      </w:pPr>
      <w:r>
        <w:rPr>
          <w:b/>
          <w:bCs/>
        </w:rPr>
        <w:t xml:space="preserve">CjePI</w:t>
      </w:r>
      <w:r>
        <w:t xml:space="preserve"> </w:t>
      </w:r>
      <w:r>
        <w:t xml:space="preserve">(32-bp tag): recognition motif CCYGA (Y=C or T) at offset 10.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BcgI+AlfI+BplI+CjePI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IIB/IIG enzyme recognition produces</w:t>
      </w:r>
      <w:r>
        <w:t xml:space="preserve"> </w:t>
      </w:r>
      <w:r>
        <w:t xml:space="preserve">27–32 bp tags flanking the motif. (b) An inversion reverses the order and</w:t>
      </w:r>
      <w:r>
        <w:t xml:space="preserve"> </w:t>
      </w:r>
      <w:r>
        <w:t xml:space="preserve">orientation of tags inside the affected segment. (c) Length-weighted ratios are</w:t>
      </w:r>
      <w:r>
        <w:t xml:space="preserve"> </w:t>
      </w:r>
      <w:r>
        <w:t xml:space="preserve">invariant to assembly fragmentation, whereas transition counts acquire a bias</w:t>
      </w:r>
      <w:r>
        <w:t xml:space="preserve"> </w:t>
      </w:r>
      <w:r>
        <w:t xml:space="preserve">that grows with 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In-silico prototype simulations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1% SNPs plus a single</w:t>
      </w:r>
      <w:r>
        <w:t xml:space="preserve"> </w:t>
      </w:r>
      <w:r>
        <w:t xml:space="preserve">structural variant. Breakpoint counts are illustrative estimates from the</w:t>
      </w:r>
      <w:r>
        <w:t xml:space="preserve"> </w:t>
      </w:r>
      <w:r>
        <w:t xml:space="preserve">Python prototype; quantitative validation on real genomes is shown in Figure 3.</w:t>
      </w:r>
      <w:r>
        <w:t xml:space="preserve"> </w:t>
      </w:r>
      <w:r>
        <w:t xml:space="preserve">(a) Breakpoint counts across enzymes for control and four SV types. (b)</w:t>
      </w:r>
      <w:r>
        <w:t xml:space="preserve"> </w:t>
      </w:r>
      <w:r>
        <w:t xml:space="preserve">Global order disruption measured by Kendall tau. (c) Mash proxy distance is</w:t>
      </w:r>
      <w:r>
        <w:t xml:space="preserve"> </w:t>
      </w:r>
      <w:r>
        <w:t xml:space="preserve">unchanged by structural variation. (d) 10-kb insertion and deletion sensitivity.</w:t>
      </w:r>
      <w:r>
        <w:t xml:space="preserve"> </w:t>
      </w:r>
      <w:r>
        <w:t xml:space="preserve">(e) Tag density (bars, left axis) drives the inversion breakpoint signal</w:t>
      </w:r>
      <w:r>
        <w:t xml:space="preserve"> </w:t>
      </w:r>
      <w:r>
        <w:t xml:space="preserve">(line, right axis). (f) Local adjacency Jaccard.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and structural-variation sensitivity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(Python prototype).</w:t>
      </w:r>
    </w:p>
    <w:p>
      <w:pPr>
        <w:pStyle w:val="BodyText"/>
      </w:pPr>
      <w:r>
        <w:t xml:space="preserve">Tag counts are deterministic in-silico counts; breakpoint deltas are prototype</w:t>
      </w:r>
      <w:r>
        <w:t xml:space="preserve"> </w:t>
      </w:r>
      <w:r>
        <w:t xml:space="preserve">estimates for qualitative comparison.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inversion 500 kb Δbreakpoints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insertion 10 kb Δbreakpoints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CjePI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+2,018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BcgI+AlfI+BplI+CjePI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+3,201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29" w:name="supplementary-information"/>
    <w:p>
      <w:pPr>
        <w:pStyle w:val="Heading2"/>
      </w:pPr>
      <w:r>
        <w:t xml:space="preserve">Supplementary Information</w:t>
      </w:r>
    </w:p>
    <w:p>
      <w:pPr>
        <w:pStyle w:val="FirstParagraph"/>
      </w:pPr>
      <w:r>
        <w:t xml:space="preserve">Supplementary Note 1: Mathematical derivation of the fragmentation principle.</w:t>
      </w:r>
      <w:r>
        <w:t xml:space="preserve"> </w:t>
      </w:r>
      <w:r>
        <w:t xml:space="preserve">Supplementary Note 2: Error model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.</w:t>
      </w:r>
      <w:r>
        <w:t xml:space="preserve"> </w:t>
      </w:r>
      <w:r>
        <w:t xml:space="preserve">Supplementary Table 1: Raw simulation data (</w:t>
      </w:r>
      <w:r>
        <w:rPr>
          <w:rStyle w:val="VerbatimChar"/>
        </w:rPr>
        <w:t xml:space="preserve">data/enzyme_comparison.csv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data/multi_enzyme_results.csv</w:t>
      </w:r>
      <w:r>
        <w:t xml:space="preserve">).</w:t>
      </w:r>
      <w:r>
        <w:t xml:space="preserve"> </w:t>
      </w:r>
      <w:r>
        <w:t xml:space="preserve">Supplementary Table 2: 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  <w:r>
        <w:t xml:space="preserve"> </w:t>
      </w:r>
      <w:r>
        <w:t xml:space="preserve">Supplementary Table 3: Runtime comparison with alignment-based methods.</w:t>
      </w:r>
      <w:r>
        <w:t xml:space="preserve"> </w:t>
      </w:r>
      <w:r>
        <w:t xml:space="preserve">Supplementary Figure 1: Tag spacing distributions.</w:t>
      </w:r>
      <w:r>
        <w:t xml:space="preserve"> </w:t>
      </w:r>
      <w:r>
        <w:t xml:space="preserve">Supplementary Figure 2: Closed-genome inversion validation.</w:t>
      </w:r>
      <w:r>
        <w:t xml:space="preserve"> </w:t>
      </w:r>
      <w:r>
        <w:t xml:space="preserve">Supplementary Figure 3: Sensitivity analysis with varying SV sizes.</w:t>
      </w:r>
    </w:p>
    <w:p>
      <w:r>
        <w:pict>
          <v:rect style="width:0;height:1.5pt" o:hralign="center" o:hrstd="t" o:hr="t"/>
        </w:pict>
      </w:r>
    </w:p>
    <w:bookmarkEnd w:id="29"/>
    <w:bookmarkStart w:id="3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0"/>
    <w:bookmarkStart w:id="3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1"/>
    <w:bookmarkStart w:id="3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2026-09-06T00:44:20Z</dcterms:created>
  <dcterms:modified xsi:type="dcterms:W3CDTF">2026-09-06T00:44:20Z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